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Gardner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Marqeta,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 Grand Avenue, 6th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Oakland, CA 94612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Marqeta,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0001522540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Gardner: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Our references to prior comments refer to comments in our March 15,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page 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 page 14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elsewhere, you discuss outstanding warrants that will become exercisable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attainment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milestones. Please revise here or elsewhere to summarize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milestones.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Results of Operations, page 74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prior comment 8. We also note your disclosure on page 71, and elsewhere, that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Card Networks establish and adjust the interchange fees. Clarify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have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pass through any increases in these fees to your customers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you took this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1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consideration in determining whether the amount you earn is a Jason Gardner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Marqeta,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fee per transaction or whether you bear the risk of a variable margin.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11. Stock Incentive Plan, page F-29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26. Once you have an estimated offering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range, please explain to us the reasons for any differences between the recent valuations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common stock leading up to the IPO and the estimated offering price.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will help facilitate our review of your accounting for equity issuances,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stock-based compensation.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Mitchell Austin,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(202) 551-3574 or Jan Woo, Legal Branch Chief, at (202) 551-3453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LastNameJason Gardner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NameMarqeta,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Mitzi Chang,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2021-08-15T20:54:13Z</dcterms:created>
  <dcterms:modified xsi:type="dcterms:W3CDTF">2021-08-15T20:54:13Z</dcterms:modified>
</cp:coreProperties>
</file>