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156210</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38735</wp:posOffset>
            </wp:positionV>
            <wp:extent cx="19799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382" w:lineRule="exact"/>
        <w:rPr>
          <w:sz w:val="24"/>
          <w:szCs w:val="24"/>
          <w:color w:val="auto"/>
        </w:rPr>
      </w:pPr>
    </w:p>
    <w:p>
      <w:pPr>
        <w:ind w:left="4700"/>
        <w:spacing w:after="0"/>
        <w:rPr>
          <w:sz w:val="20"/>
          <w:szCs w:val="20"/>
          <w:color w:val="auto"/>
        </w:rPr>
      </w:pPr>
      <w:r>
        <w:rPr>
          <w:rFonts w:ascii="Arial" w:cs="Arial" w:eastAsia="Arial" w:hAnsi="Arial"/>
          <w:sz w:val="20"/>
          <w:szCs w:val="20"/>
          <w:b w:val="1"/>
          <w:bCs w:val="1"/>
          <w:color w:val="auto"/>
        </w:rPr>
        <w:t>CURRENT REPORT</w:t>
      </w:r>
    </w:p>
    <w:p>
      <w:pPr>
        <w:spacing w:after="0" w:line="33" w:lineRule="exact"/>
        <w:rPr>
          <w:sz w:val="24"/>
          <w:szCs w:val="24"/>
          <w:color w:val="auto"/>
        </w:rPr>
      </w:pPr>
    </w:p>
    <w:p>
      <w:pPr>
        <w:ind w:left="3480"/>
        <w:spacing w:after="0"/>
        <w:rPr>
          <w:sz w:val="20"/>
          <w:szCs w:val="20"/>
          <w:color w:val="auto"/>
        </w:rPr>
      </w:pPr>
      <w:r>
        <w:rPr>
          <w:rFonts w:ascii="Arial" w:cs="Arial" w:eastAsia="Arial" w:hAnsi="Arial"/>
          <w:sz w:val="20"/>
          <w:szCs w:val="20"/>
          <w:b w:val="1"/>
          <w:bCs w:val="1"/>
          <w:color w:val="auto"/>
        </w:rPr>
        <w:t>PURSUANT TO SECTION 13 OR 15(d) OF THE</w:t>
      </w:r>
    </w:p>
    <w:p>
      <w:pPr>
        <w:jc w:val="center"/>
        <w:ind w:right="40"/>
        <w:spacing w:after="0"/>
        <w:rPr>
          <w:sz w:val="20"/>
          <w:szCs w:val="20"/>
          <w:color w:val="auto"/>
        </w:rPr>
      </w:pPr>
      <w:r>
        <w:rPr>
          <w:rFonts w:ascii="Arial" w:cs="Arial" w:eastAsia="Arial" w:hAnsi="Arial"/>
          <w:sz w:val="20"/>
          <w:szCs w:val="20"/>
          <w:b w:val="1"/>
          <w:bCs w:val="1"/>
          <w:color w:val="auto"/>
        </w:rPr>
        <w:t>SECURITIES EXCHANGE ACT OF 1934</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7"/>
          <w:szCs w:val="17"/>
          <w:color w:val="auto"/>
        </w:rPr>
        <w:t>May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230505</wp:posOffset>
            </wp:positionV>
            <wp:extent cx="19799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MARQETA,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121920</wp:posOffset>
            </wp:positionV>
            <wp:extent cx="19799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29" w:lineRule="exact"/>
        <w:rPr>
          <w:sz w:val="24"/>
          <w:szCs w:val="24"/>
          <w:color w:val="auto"/>
        </w:rPr>
      </w:pPr>
    </w:p>
    <w:tbl>
      <w:tblPr>
        <w:tblLayout w:type="fixed"/>
        <w:tblInd w:w="980" w:type="dxa"/>
        <w:tblCellMar>
          <w:top w:w="0" w:type="dxa"/>
          <w:left w:w="0" w:type="dxa"/>
          <w:bottom w:w="0" w:type="dxa"/>
          <w:right w:w="0" w:type="dxa"/>
        </w:tblCellMar>
      </w:tblPr>
      <w:tr>
        <w:trPr>
          <w:trHeight w:val="247"/>
        </w:trPr>
        <w:tc>
          <w:tcPr>
            <w:tcW w:w="1980" w:type="dxa"/>
            <w:vAlign w:val="bottom"/>
          </w:tcPr>
          <w:p>
            <w:pPr>
              <w:jc w:val="center"/>
              <w:ind w:right="262"/>
              <w:spacing w:after="0"/>
              <w:rPr>
                <w:sz w:val="20"/>
                <w:szCs w:val="20"/>
                <w:color w:val="auto"/>
              </w:rPr>
            </w:pPr>
            <w:r>
              <w:rPr>
                <w:rFonts w:ascii="Arial" w:cs="Arial" w:eastAsia="Arial" w:hAnsi="Arial"/>
                <w:sz w:val="18"/>
                <w:szCs w:val="18"/>
                <w:b w:val="1"/>
                <w:bCs w:val="1"/>
                <w:color w:val="auto"/>
              </w:rPr>
              <w:t>Delaware</w:t>
            </w:r>
          </w:p>
        </w:tc>
        <w:tc>
          <w:tcPr>
            <w:tcW w:w="4200" w:type="dxa"/>
            <w:vAlign w:val="bottom"/>
            <w:gridSpan w:val="2"/>
          </w:tcPr>
          <w:p>
            <w:pPr>
              <w:jc w:val="center"/>
              <w:ind w:left="1024"/>
              <w:spacing w:after="0"/>
              <w:rPr>
                <w:sz w:val="20"/>
                <w:szCs w:val="20"/>
                <w:color w:val="auto"/>
              </w:rPr>
            </w:pPr>
            <w:r>
              <w:rPr>
                <w:rFonts w:ascii="Arial" w:cs="Arial" w:eastAsia="Arial" w:hAnsi="Arial"/>
                <w:sz w:val="18"/>
                <w:szCs w:val="18"/>
                <w:b w:val="1"/>
                <w:bCs w:val="1"/>
                <w:color w:val="auto"/>
                <w:w w:val="99"/>
              </w:rPr>
              <w:t>001-40465</w:t>
            </w:r>
          </w:p>
        </w:tc>
        <w:tc>
          <w:tcPr>
            <w:tcW w:w="1220" w:type="dxa"/>
            <w:vAlign w:val="bottom"/>
          </w:tcPr>
          <w:p>
            <w:pPr>
              <w:spacing w:after="0"/>
              <w:rPr>
                <w:sz w:val="21"/>
                <w:szCs w:val="21"/>
                <w:color w:val="auto"/>
              </w:rPr>
            </w:pPr>
          </w:p>
        </w:tc>
        <w:tc>
          <w:tcPr>
            <w:tcW w:w="1620" w:type="dxa"/>
            <w:vAlign w:val="bottom"/>
          </w:tcPr>
          <w:p>
            <w:pPr>
              <w:jc w:val="center"/>
              <w:ind w:left="422"/>
              <w:spacing w:after="0"/>
              <w:rPr>
                <w:sz w:val="20"/>
                <w:szCs w:val="20"/>
                <w:color w:val="auto"/>
              </w:rPr>
            </w:pPr>
            <w:r>
              <w:rPr>
                <w:rFonts w:ascii="Arial" w:cs="Arial" w:eastAsia="Arial" w:hAnsi="Arial"/>
                <w:sz w:val="18"/>
                <w:szCs w:val="18"/>
                <w:b w:val="1"/>
                <w:bCs w:val="1"/>
                <w:color w:val="auto"/>
                <w:w w:val="99"/>
              </w:rPr>
              <w:t>27-4306690</w:t>
            </w:r>
          </w:p>
        </w:tc>
      </w:tr>
      <w:tr>
        <w:trPr>
          <w:trHeight w:val="208"/>
        </w:trPr>
        <w:tc>
          <w:tcPr>
            <w:tcW w:w="1980" w:type="dxa"/>
            <w:vAlign w:val="bottom"/>
          </w:tcPr>
          <w:p>
            <w:pPr>
              <w:jc w:val="center"/>
              <w:ind w:right="262"/>
              <w:spacing w:after="0"/>
              <w:rPr>
                <w:sz w:val="20"/>
                <w:szCs w:val="20"/>
                <w:color w:val="auto"/>
              </w:rPr>
            </w:pPr>
            <w:r>
              <w:rPr>
                <w:rFonts w:ascii="Arial" w:cs="Arial" w:eastAsia="Arial" w:hAnsi="Arial"/>
                <w:sz w:val="14"/>
                <w:szCs w:val="14"/>
                <w:color w:val="auto"/>
              </w:rPr>
              <w:t>(State or other jurisdiction</w:t>
            </w:r>
          </w:p>
        </w:tc>
        <w:tc>
          <w:tcPr>
            <w:tcW w:w="1100" w:type="dxa"/>
            <w:vAlign w:val="bottom"/>
          </w:tcPr>
          <w:p>
            <w:pPr>
              <w:spacing w:after="0"/>
              <w:rPr>
                <w:sz w:val="18"/>
                <w:szCs w:val="18"/>
                <w:color w:val="auto"/>
              </w:rPr>
            </w:pPr>
          </w:p>
        </w:tc>
        <w:tc>
          <w:tcPr>
            <w:tcW w:w="4320" w:type="dxa"/>
            <w:vAlign w:val="bottom"/>
            <w:gridSpan w:val="2"/>
          </w:tcPr>
          <w:p>
            <w:pPr>
              <w:jc w:val="center"/>
              <w:ind w:right="1200"/>
              <w:spacing w:after="0"/>
              <w:rPr>
                <w:sz w:val="20"/>
                <w:szCs w:val="20"/>
                <w:color w:val="auto"/>
              </w:rPr>
            </w:pPr>
            <w:r>
              <w:rPr>
                <w:rFonts w:ascii="Arial" w:cs="Arial" w:eastAsia="Arial" w:hAnsi="Arial"/>
                <w:sz w:val="14"/>
                <w:szCs w:val="14"/>
                <w:color w:val="auto"/>
              </w:rPr>
              <w:t>(Commission</w:t>
            </w:r>
          </w:p>
        </w:tc>
        <w:tc>
          <w:tcPr>
            <w:tcW w:w="1620" w:type="dxa"/>
            <w:vAlign w:val="bottom"/>
          </w:tcPr>
          <w:p>
            <w:pPr>
              <w:jc w:val="center"/>
              <w:ind w:left="422"/>
              <w:spacing w:after="0"/>
              <w:rPr>
                <w:sz w:val="20"/>
                <w:szCs w:val="20"/>
                <w:color w:val="auto"/>
              </w:rPr>
            </w:pPr>
            <w:r>
              <w:rPr>
                <w:rFonts w:ascii="Arial" w:cs="Arial" w:eastAsia="Arial" w:hAnsi="Arial"/>
                <w:sz w:val="14"/>
                <w:szCs w:val="14"/>
                <w:color w:val="auto"/>
              </w:rPr>
              <w:t>(IRS Employer</w:t>
            </w:r>
          </w:p>
        </w:tc>
      </w:tr>
      <w:tr>
        <w:trPr>
          <w:trHeight w:val="190"/>
        </w:trPr>
        <w:tc>
          <w:tcPr>
            <w:tcW w:w="1980" w:type="dxa"/>
            <w:vAlign w:val="bottom"/>
          </w:tcPr>
          <w:p>
            <w:pPr>
              <w:jc w:val="center"/>
              <w:ind w:right="262"/>
              <w:spacing w:after="0"/>
              <w:rPr>
                <w:sz w:val="20"/>
                <w:szCs w:val="20"/>
                <w:color w:val="auto"/>
              </w:rPr>
            </w:pPr>
            <w:r>
              <w:rPr>
                <w:rFonts w:ascii="Arial" w:cs="Arial" w:eastAsia="Arial" w:hAnsi="Arial"/>
                <w:sz w:val="14"/>
                <w:szCs w:val="14"/>
                <w:color w:val="auto"/>
              </w:rPr>
              <w:t>of incorporation)</w:t>
            </w:r>
          </w:p>
        </w:tc>
        <w:tc>
          <w:tcPr>
            <w:tcW w:w="1100" w:type="dxa"/>
            <w:vAlign w:val="bottom"/>
          </w:tcPr>
          <w:p>
            <w:pPr>
              <w:spacing w:after="0"/>
              <w:rPr>
                <w:sz w:val="16"/>
                <w:szCs w:val="16"/>
                <w:color w:val="auto"/>
              </w:rPr>
            </w:pPr>
          </w:p>
        </w:tc>
        <w:tc>
          <w:tcPr>
            <w:tcW w:w="4320" w:type="dxa"/>
            <w:vAlign w:val="bottom"/>
            <w:gridSpan w:val="2"/>
          </w:tcPr>
          <w:p>
            <w:pPr>
              <w:jc w:val="center"/>
              <w:ind w:right="1200"/>
              <w:spacing w:after="0"/>
              <w:rPr>
                <w:sz w:val="20"/>
                <w:szCs w:val="20"/>
                <w:color w:val="auto"/>
              </w:rPr>
            </w:pPr>
            <w:r>
              <w:rPr>
                <w:rFonts w:ascii="Arial" w:cs="Arial" w:eastAsia="Arial" w:hAnsi="Arial"/>
                <w:sz w:val="14"/>
                <w:szCs w:val="14"/>
                <w:color w:val="auto"/>
              </w:rPr>
              <w:t>File Number)</w:t>
            </w:r>
          </w:p>
        </w:tc>
        <w:tc>
          <w:tcPr>
            <w:tcW w:w="1620" w:type="dxa"/>
            <w:vAlign w:val="bottom"/>
          </w:tcPr>
          <w:p>
            <w:pPr>
              <w:jc w:val="center"/>
              <w:ind w:left="422"/>
              <w:spacing w:after="0"/>
              <w:rPr>
                <w:sz w:val="20"/>
                <w:szCs w:val="20"/>
                <w:color w:val="auto"/>
              </w:rPr>
            </w:pPr>
            <w:r>
              <w:rPr>
                <w:rFonts w:ascii="Arial" w:cs="Arial" w:eastAsia="Arial" w:hAnsi="Arial"/>
                <w:sz w:val="14"/>
                <w:szCs w:val="14"/>
                <w:color w:val="auto"/>
              </w:rPr>
              <w:t>Identification No.)</w:t>
            </w:r>
          </w:p>
        </w:tc>
      </w:tr>
      <w:tr>
        <w:trPr>
          <w:trHeight w:val="421"/>
        </w:trPr>
        <w:tc>
          <w:tcPr>
            <w:tcW w:w="1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32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99"/>
              </w:rPr>
              <w:t>180 Grand Avenue, 6th Floor</w:t>
            </w:r>
          </w:p>
        </w:tc>
        <w:tc>
          <w:tcPr>
            <w:tcW w:w="1620" w:type="dxa"/>
            <w:vAlign w:val="bottom"/>
          </w:tcPr>
          <w:p>
            <w:pPr>
              <w:spacing w:after="0"/>
              <w:rPr>
                <w:sz w:val="24"/>
                <w:szCs w:val="24"/>
                <w:color w:val="auto"/>
              </w:rPr>
            </w:pPr>
          </w:p>
        </w:tc>
      </w:tr>
      <w:tr>
        <w:trPr>
          <w:trHeight w:val="247"/>
        </w:trPr>
        <w:tc>
          <w:tcPr>
            <w:tcW w:w="19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32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rPr>
              <w:t>Oakland, California 94612</w:t>
            </w:r>
          </w:p>
        </w:tc>
        <w:tc>
          <w:tcPr>
            <w:tcW w:w="1620" w:type="dxa"/>
            <w:vAlign w:val="bottom"/>
          </w:tcPr>
          <w:p>
            <w:pPr>
              <w:spacing w:after="0"/>
              <w:rPr>
                <w:sz w:val="21"/>
                <w:szCs w:val="21"/>
                <w:color w:val="auto"/>
              </w:rPr>
            </w:pPr>
          </w:p>
        </w:tc>
      </w:tr>
      <w:tr>
        <w:trPr>
          <w:trHeight w:val="277"/>
        </w:trPr>
        <w:tc>
          <w:tcPr>
            <w:tcW w:w="1980" w:type="dxa"/>
            <w:vAlign w:val="bottom"/>
          </w:tcPr>
          <w:p>
            <w:pPr>
              <w:spacing w:after="0"/>
              <w:rPr>
                <w:sz w:val="24"/>
                <w:szCs w:val="24"/>
                <w:color w:val="auto"/>
              </w:rPr>
            </w:pPr>
          </w:p>
        </w:tc>
        <w:tc>
          <w:tcPr>
            <w:tcW w:w="5420" w:type="dxa"/>
            <w:vAlign w:val="bottom"/>
            <w:gridSpan w:val="3"/>
          </w:tcPr>
          <w:p>
            <w:pPr>
              <w:jc w:val="center"/>
              <w:ind w:right="140"/>
              <w:spacing w:after="0"/>
              <w:rPr>
                <w:sz w:val="20"/>
                <w:szCs w:val="20"/>
                <w:color w:val="auto"/>
              </w:rPr>
            </w:pPr>
            <w:r>
              <w:rPr>
                <w:rFonts w:ascii="Arial" w:cs="Arial" w:eastAsia="Arial" w:hAnsi="Arial"/>
                <w:sz w:val="14"/>
                <w:szCs w:val="14"/>
                <w:color w:val="auto"/>
              </w:rPr>
              <w:t>(Address of principal executive offices, including zip code)</w:t>
            </w:r>
          </w:p>
        </w:tc>
        <w:tc>
          <w:tcPr>
            <w:tcW w:w="1620" w:type="dxa"/>
            <w:vAlign w:val="bottom"/>
          </w:tcPr>
          <w:p>
            <w:pPr>
              <w:spacing w:after="0"/>
              <w:rPr>
                <w:sz w:val="24"/>
                <w:szCs w:val="24"/>
                <w:color w:val="auto"/>
              </w:rPr>
            </w:pPr>
          </w:p>
        </w:tc>
      </w:tr>
      <w:tr>
        <w:trPr>
          <w:trHeight w:val="330"/>
        </w:trPr>
        <w:tc>
          <w:tcPr>
            <w:tcW w:w="1980" w:type="dxa"/>
            <w:vAlign w:val="bottom"/>
          </w:tcPr>
          <w:p>
            <w:pPr>
              <w:spacing w:after="0"/>
              <w:rPr>
                <w:sz w:val="24"/>
                <w:szCs w:val="24"/>
                <w:color w:val="auto"/>
              </w:rPr>
            </w:pPr>
          </w:p>
        </w:tc>
        <w:tc>
          <w:tcPr>
            <w:tcW w:w="5420" w:type="dxa"/>
            <w:vAlign w:val="bottom"/>
            <w:gridSpan w:val="3"/>
          </w:tcPr>
          <w:p>
            <w:pPr>
              <w:jc w:val="center"/>
              <w:ind w:right="14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7"/>
                <w:szCs w:val="17"/>
                <w:b w:val="1"/>
                <w:bCs w:val="1"/>
                <w:color w:val="auto"/>
              </w:rPr>
              <w:t>(510) 671-5437</w:t>
            </w:r>
          </w:p>
        </w:tc>
        <w:tc>
          <w:tcPr>
            <w:tcW w:w="1620" w:type="dxa"/>
            <w:vAlign w:val="bottom"/>
          </w:tcPr>
          <w:p>
            <w:pPr>
              <w:spacing w:after="0"/>
              <w:rPr>
                <w:sz w:val="24"/>
                <w:szCs w:val="24"/>
                <w:color w:val="auto"/>
              </w:rPr>
            </w:pPr>
          </w:p>
        </w:tc>
      </w:tr>
      <w:tr>
        <w:trPr>
          <w:trHeight w:val="303"/>
        </w:trPr>
        <w:tc>
          <w:tcPr>
            <w:tcW w:w="1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32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rPr>
              <w:t>N/A</w:t>
            </w:r>
          </w:p>
        </w:tc>
        <w:tc>
          <w:tcPr>
            <w:tcW w:w="1620" w:type="dxa"/>
            <w:vAlign w:val="bottom"/>
          </w:tcPr>
          <w:p>
            <w:pPr>
              <w:spacing w:after="0"/>
              <w:rPr>
                <w:sz w:val="24"/>
                <w:szCs w:val="24"/>
                <w:color w:val="auto"/>
              </w:rPr>
            </w:pPr>
          </w:p>
        </w:tc>
      </w:tr>
      <w:tr>
        <w:trPr>
          <w:trHeight w:val="190"/>
        </w:trPr>
        <w:tc>
          <w:tcPr>
            <w:tcW w:w="1980" w:type="dxa"/>
            <w:vAlign w:val="bottom"/>
          </w:tcPr>
          <w:p>
            <w:pPr>
              <w:spacing w:after="0"/>
              <w:rPr>
                <w:sz w:val="16"/>
                <w:szCs w:val="16"/>
                <w:color w:val="auto"/>
              </w:rPr>
            </w:pPr>
          </w:p>
        </w:tc>
        <w:tc>
          <w:tcPr>
            <w:tcW w:w="5420" w:type="dxa"/>
            <w:vAlign w:val="bottom"/>
            <w:gridSpan w:val="3"/>
          </w:tcPr>
          <w:p>
            <w:pPr>
              <w:jc w:val="center"/>
              <w:ind w:right="80"/>
              <w:spacing w:after="0"/>
              <w:rPr>
                <w:sz w:val="20"/>
                <w:szCs w:val="20"/>
                <w:color w:val="auto"/>
              </w:rPr>
            </w:pPr>
            <w:r>
              <w:rPr>
                <w:rFonts w:ascii="Arial" w:cs="Arial" w:eastAsia="Arial" w:hAnsi="Arial"/>
                <w:sz w:val="14"/>
                <w:szCs w:val="14"/>
                <w:color w:val="auto"/>
              </w:rPr>
              <w:t>(Former name or former address, if changed since last report)</w:t>
            </w:r>
          </w:p>
        </w:tc>
        <w:tc>
          <w:tcPr>
            <w:tcW w:w="1620" w:type="dxa"/>
            <w:vAlign w:val="bottom"/>
          </w:tcPr>
          <w:p>
            <w:pPr>
              <w:spacing w:after="0"/>
              <w:rPr>
                <w:sz w:val="16"/>
                <w:szCs w:val="16"/>
                <w:color w:val="auto"/>
              </w:rPr>
            </w:pPr>
          </w:p>
        </w:tc>
      </w:tr>
      <w:tr>
        <w:trPr>
          <w:trHeight w:val="170"/>
        </w:trPr>
        <w:tc>
          <w:tcPr>
            <w:tcW w:w="1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100" w:type="dxa"/>
            <w:vAlign w:val="bottom"/>
            <w:tcBorders>
              <w:bottom w:val="single" w:sz="8" w:color="auto"/>
            </w:tcBorders>
          </w:tcPr>
          <w:p>
            <w:pPr>
              <w:spacing w:after="0"/>
              <w:rPr>
                <w:sz w:val="14"/>
                <w:szCs w:val="14"/>
                <w:color w:val="auto"/>
              </w:rPr>
            </w:pP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bl>
    <w:p>
      <w:pPr>
        <w:spacing w:after="0" w:line="188" w:lineRule="exact"/>
        <w:rPr>
          <w:sz w:val="24"/>
          <w:szCs w:val="24"/>
          <w:color w:val="auto"/>
        </w:rPr>
      </w:pPr>
    </w:p>
    <w:p>
      <w:pPr>
        <w:ind w:firstLine="324"/>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96" w:lineRule="exact"/>
        <w:rPr>
          <w:sz w:val="24"/>
          <w:szCs w:val="24"/>
          <w:color w:val="auto"/>
        </w:rPr>
      </w:pPr>
    </w:p>
    <w:p>
      <w:pPr>
        <w:ind w:left="320" w:hanging="29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02" w:lineRule="exact"/>
        <w:rPr>
          <w:rFonts w:ascii="MS PGothic" w:cs="MS PGothic" w:eastAsia="MS PGothic" w:hAnsi="MS PGothic"/>
          <w:sz w:val="16"/>
          <w:szCs w:val="16"/>
          <w:color w:val="auto"/>
        </w:rPr>
      </w:pPr>
    </w:p>
    <w:p>
      <w:pPr>
        <w:ind w:left="320" w:hanging="29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02" w:lineRule="exact"/>
        <w:rPr>
          <w:rFonts w:ascii="MS PGothic" w:cs="MS PGothic" w:eastAsia="MS PGothic" w:hAnsi="MS PGothic"/>
          <w:sz w:val="16"/>
          <w:szCs w:val="16"/>
          <w:color w:val="auto"/>
        </w:rPr>
      </w:pPr>
    </w:p>
    <w:p>
      <w:pPr>
        <w:ind w:left="320" w:hanging="29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02" w:lineRule="exact"/>
        <w:rPr>
          <w:rFonts w:ascii="MS PGothic" w:cs="MS PGothic" w:eastAsia="MS PGothic" w:hAnsi="MS PGothic"/>
          <w:sz w:val="16"/>
          <w:szCs w:val="16"/>
          <w:color w:val="auto"/>
        </w:rPr>
      </w:pPr>
    </w:p>
    <w:p>
      <w:pPr>
        <w:ind w:left="320" w:hanging="29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1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940" w:type="dxa"/>
            <w:vAlign w:val="bottom"/>
            <w:gridSpan w:val="2"/>
          </w:tcPr>
          <w:p>
            <w:pPr>
              <w:jc w:val="center"/>
              <w:ind w:right="100"/>
              <w:spacing w:after="0"/>
              <w:rPr>
                <w:sz w:val="20"/>
                <w:szCs w:val="20"/>
                <w:color w:val="auto"/>
              </w:rPr>
            </w:pPr>
            <w:r>
              <w:rPr>
                <w:rFonts w:ascii="Arial" w:cs="Arial" w:eastAsia="Arial" w:hAnsi="Arial"/>
                <w:sz w:val="14"/>
                <w:szCs w:val="14"/>
                <w:color w:val="auto"/>
              </w:rPr>
              <w:t>Title of each class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rPr>
              <w:t>Trading Symbol(s)</w:t>
            </w:r>
          </w:p>
        </w:tc>
        <w:tc>
          <w:tcPr>
            <w:tcW w:w="4840" w:type="dxa"/>
            <w:vAlign w:val="bottom"/>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9"/>
        </w:trPr>
        <w:tc>
          <w:tcPr>
            <w:tcW w:w="4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r>
      <w:tr>
        <w:trPr>
          <w:trHeight w:val="235"/>
        </w:trPr>
        <w:tc>
          <w:tcPr>
            <w:tcW w:w="4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Class A common stock, $0.0001 par value per share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MQ</w:t>
            </w:r>
          </w:p>
        </w:tc>
        <w:tc>
          <w:tcPr>
            <w:tcW w:w="4840" w:type="dxa"/>
            <w:vAlign w:val="bottom"/>
          </w:tcPr>
          <w:p>
            <w:pPr>
              <w:jc w:val="center"/>
              <w:spacing w:after="0"/>
              <w:rPr>
                <w:sz w:val="20"/>
                <w:szCs w:val="20"/>
                <w:color w:val="auto"/>
              </w:rPr>
            </w:pPr>
            <w:r>
              <w:rPr>
                <w:rFonts w:ascii="Arial" w:cs="Arial" w:eastAsia="Arial" w:hAnsi="Arial"/>
                <w:sz w:val="16"/>
                <w:szCs w:val="16"/>
                <w:b w:val="1"/>
                <w:bCs w:val="1"/>
                <w:color w:val="auto"/>
              </w:rPr>
              <w:t>The Nasdaq Stock Market LLC</w:t>
            </w:r>
          </w:p>
        </w:tc>
      </w:tr>
      <w:tr>
        <w:trPr>
          <w:trHeight w:val="243"/>
        </w:trPr>
        <w:tc>
          <w:tcPr>
            <w:tcW w:w="4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40" w:type="dxa"/>
            <w:vAlign w:val="bottom"/>
          </w:tcPr>
          <w:p>
            <w:pPr>
              <w:jc w:val="center"/>
              <w:spacing w:after="0"/>
              <w:rPr>
                <w:sz w:val="20"/>
                <w:szCs w:val="20"/>
                <w:color w:val="auto"/>
              </w:rPr>
            </w:pPr>
            <w:r>
              <w:rPr>
                <w:rFonts w:ascii="Arial" w:cs="Arial" w:eastAsia="Arial" w:hAnsi="Arial"/>
                <w:sz w:val="16"/>
                <w:szCs w:val="16"/>
                <w:b w:val="1"/>
                <w:bCs w:val="1"/>
                <w:color w:val="auto"/>
              </w:rPr>
              <w:t>(Nasdaq Global Select Market)</w:t>
            </w:r>
          </w:p>
        </w:tc>
      </w:tr>
    </w:tbl>
    <w:p>
      <w:pPr>
        <w:spacing w:after="0" w:line="169" w:lineRule="exact"/>
        <w:rPr>
          <w:sz w:val="24"/>
          <w:szCs w:val="24"/>
          <w:color w:val="auto"/>
        </w:rPr>
      </w:pPr>
    </w:p>
    <w:p>
      <w:pPr>
        <w:jc w:val="both"/>
        <w:spacing w:after="0" w:line="28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211D1E"/>
        </w:rPr>
        <w:t>☐</w:t>
      </w:r>
    </w:p>
    <w:p>
      <w:pPr>
        <w:spacing w:after="0" w:line="135" w:lineRule="exact"/>
        <w:rPr>
          <w:sz w:val="24"/>
          <w:szCs w:val="24"/>
          <w:color w:val="auto"/>
        </w:rPr>
      </w:pPr>
    </w:p>
    <w:p>
      <w:pPr>
        <w:jc w:val="both"/>
        <w:ind w:right="20"/>
        <w:spacing w:after="0" w:line="220" w:lineRule="exact"/>
        <w:rPr>
          <w:sz w:val="20"/>
          <w:szCs w:val="20"/>
          <w:color w:val="auto"/>
        </w:rPr>
      </w:pPr>
      <w:r>
        <w:rPr>
          <w:rFonts w:ascii="Arial" w:cs="Arial" w:eastAsia="Arial" w:hAnsi="Arial"/>
          <w:sz w:val="16"/>
          <w:szCs w:val="16"/>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211D1E"/>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798195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1" w:name="page2"/>
    <w:bookmarkEnd w:id="1"/>
    <w:p>
      <w:pPr>
        <w:ind w:right="800"/>
        <w:spacing w:after="0" w:line="29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Chief Technology Officer</w:t>
      </w:r>
    </w:p>
    <w:p>
      <w:pPr>
        <w:spacing w:after="0" w:line="2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May 8, 2026, Marqeta, Inc. (the “Company”) announced the appointment of Lukasz Strozek as Chief Technology Officer, effective May 18, 2026. In this role, Mr. Strozek will lead the technology and engineering organization.</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Strozek, age 42, most recently served as Chief Technology Officer of LendingClub Corp. (NYSE: LC), a leading digital marketplace bank, from June 2024 to May 2026, where he oversaw the Engineering, Product, and Data organizations. Prior to LendingClub, Mr. Strozek served as Chief Technology Officer of Hippo Insurance, a technology-native insurance platform, from December 2020 to June 2024, where he oversaw the software engineering, data engineering, and product management teams across multiple business lines. Earlier in his career, Mr. Strozek served in various engineering and product leadership roles at Bridgewater Associates, Bolt Financial, and SoFi following its 2018 acquisition of Clara Lending, a digital mortgage platform he co-founded.</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Mr. Strozek holds a Master of Business Administration from Stanford University Graduate School of Business, a Master of Science in Computer Science from Harvard University, and a Bachelor of Arts in Applied Mathematics and Economics from Harvard University.</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are no family relationships between Mr. Strozek and any executive officer or director of the Company, there are no understandings or arrangements between Mr. Strozek and any other person pursuant to which Mr. Strozek was appointed as Chief Technology Officer, and Mr. Strozek has no transactions reportable under Item 404(a) of Regulation S-K.</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Strozek’s initial annual base salary will be $475,000 and he will be eligible to earn an annual bonus of 75% of his annual base salary, prorated for the year of hire, which currently would be governed by the Company’s existing Executive Bonus Plan. Mr. Strozek will be eligible to earn a one-time discretionary sign-on bonus of $100,000, contingent on remaining employed by the Company for at least one year from his start date. He will be granted Restricted Stock Units (“RSUs”) with an estimated value of $ 7,600,000, which will vest over approximately three years as follows, provided he remains in continuous service through the vesting date: (i) 1/3 of the RSUs will vest on the first quarterly vesting date occurring after the one-year anniversary of the vesting commencement date and (ii) an additional 1/12th of the RSUs vesting on each quarterly vesting date thereafter. He will be granted Performance Stock Units (“PSUs”) with an estimated value of $1,900,000 (“PSU Value”), the vesting terms of which will be the same goals and targets that apply to each executive team member. The RSU and PSU grants will be subject to the terms of the Company’s 2021 Stock Option and Incentive Plan. Mr. Strozek will be eligible for severance and change in control benefits under the Company’s Executive Severance Plan.</w:t>
      </w:r>
    </w:p>
    <w:p>
      <w:pPr>
        <w:spacing w:after="0" w:line="21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foregoing description of the Offer Letter does not purport to be complete and is qualified in its entirety by reference to the complete text of the Offer Letter, a copy of which will be included as an exhibit to the Company’s future SEC filings.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regarding this announcement is attached to this Form 8-K as Exhibit 99.1</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25"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Exhibit Number</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7"/>
                <w:szCs w:val="17"/>
                <w:color w:val="auto"/>
              </w:rPr>
            </w:pPr>
          </w:p>
        </w:tc>
      </w:tr>
      <w:tr>
        <w:trPr>
          <w:trHeight w:val="203"/>
        </w:trPr>
        <w:tc>
          <w:tcPr>
            <w:tcW w:w="1900" w:type="dxa"/>
            <w:vAlign w:val="bottom"/>
          </w:tcPr>
          <w:p>
            <w:pPr>
              <w:jc w:val="right"/>
              <w:ind w:right="696"/>
              <w:spacing w:after="0" w:line="202" w:lineRule="exact"/>
              <w:rPr>
                <w:sz w:val="20"/>
                <w:szCs w:val="20"/>
                <w:color w:val="auto"/>
              </w:rPr>
            </w:pPr>
            <w:r>
              <w:rPr>
                <w:rFonts w:ascii="Arial" w:cs="Arial" w:eastAsia="Arial" w:hAnsi="Arial"/>
                <w:sz w:val="18"/>
                <w:szCs w:val="18"/>
                <w:color w:val="auto"/>
              </w:rPr>
              <w:t>99.1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20" w:type="dxa"/>
            <w:vAlign w:val="bottom"/>
            <w:gridSpan w:val="3"/>
          </w:tcPr>
          <w:p>
            <w:pPr>
              <w:spacing w:after="0" w:line="202" w:lineRule="exact"/>
              <w:rPr>
                <w:sz w:val="20"/>
                <w:szCs w:val="20"/>
                <w:color w:val="auto"/>
              </w:rPr>
            </w:pPr>
            <w:r>
              <w:rPr>
                <w:rFonts w:ascii="Arial" w:cs="Arial" w:eastAsia="Arial" w:hAnsi="Arial"/>
                <w:sz w:val="18"/>
                <w:szCs w:val="18"/>
                <w:color w:val="0000FF"/>
              </w:rPr>
              <w:t>Press release issued by Marqeta, Inc., dated May 8, 2026.</w:t>
            </w:r>
          </w:p>
        </w:tc>
      </w:tr>
      <w:tr>
        <w:trPr>
          <w:trHeight w:val="20"/>
        </w:trPr>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shd w:val="clear" w:color="auto" w:fill="0000FF"/>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r>
      <w:tr>
        <w:trPr>
          <w:trHeight w:val="294"/>
        </w:trPr>
        <w:tc>
          <w:tcPr>
            <w:tcW w:w="1900" w:type="dxa"/>
            <w:vAlign w:val="bottom"/>
          </w:tcPr>
          <w:p>
            <w:pPr>
              <w:jc w:val="right"/>
              <w:ind w:right="716"/>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043"/>
        </w:trPr>
        <w:tc>
          <w:tcPr>
            <w:tcW w:w="1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MARQETA, INC.</w:t>
      </w:r>
    </w:p>
    <w:p>
      <w:pPr>
        <w:spacing w:after="0" w:line="63" w:lineRule="exact"/>
        <w:rPr>
          <w:sz w:val="20"/>
          <w:szCs w:val="20"/>
          <w:color w:val="auto"/>
        </w:rPr>
      </w:pPr>
    </w:p>
    <w:p>
      <w:pPr>
        <w:ind w:left="20"/>
        <w:spacing w:after="0"/>
        <w:tabs>
          <w:tab w:leader="none" w:pos="5780" w:val="left"/>
        </w:tabs>
        <w:rPr>
          <w:sz w:val="20"/>
          <w:szCs w:val="20"/>
          <w:color w:val="auto"/>
        </w:rPr>
      </w:pPr>
      <w:r>
        <w:rPr>
          <w:rFonts w:ascii="Arial" w:cs="Arial" w:eastAsia="Arial" w:hAnsi="Arial"/>
          <w:sz w:val="18"/>
          <w:szCs w:val="18"/>
          <w:color w:val="auto"/>
        </w:rPr>
        <w:t>Date: May 8, 2026</w:t>
      </w:r>
      <w:r>
        <w:rPr>
          <w:sz w:val="20"/>
          <w:szCs w:val="20"/>
          <w:color w:val="auto"/>
        </w:rPr>
        <w:tab/>
      </w:r>
      <w:r>
        <w:rPr>
          <w:rFonts w:ascii="Arial" w:cs="Arial" w:eastAsia="Arial" w:hAnsi="Arial"/>
          <w:sz w:val="18"/>
          <w:szCs w:val="18"/>
          <w:color w:val="auto"/>
        </w:rPr>
        <w:t>/s/ Michael (Mike) Milotich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34925</wp:posOffset>
            </wp:positionV>
            <wp:extent cx="34632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Michael (Mike) Milotich</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20"/>
          </w:cols>
          <w:pgMar w:left="320" w:top="93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Marqeta Announces Appointment of Lukasz Strozek as Chief Technology Officer</w:t>
      </w:r>
    </w:p>
    <w:p>
      <w:pPr>
        <w:spacing w:after="0" w:line="249"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OAKLAND, Calif., May 8, 2026 — Marqeta, Inc. (NASDAQ: MQ), the modern card issuing platform, today announced the appointment of Lukasz Strozek as the Company’s Chief Technology Officer, effective May 18, 2026. Mr. Strozek will lead the company’s global technology and engineering functions.</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Mr. Strozek is a technology executive with 20 years of experience leading engineering organizations across early-stage, growth, and public companies in regulated financial services. He will join Marqeta from LendingClub Corp., where he served as CTO responsible for the engineering, product, and data organizations. Prior to that, Mr. Strozek was CTO of Hippo Insurance, where he led the software engineering, data engineering, and product management teams across multiple business lines. Earlier he held engineering and product leadership roles at Bridgewater Associates, Bolt Financial, and at SoFi following its 2018 acquisition of Clara Lending, a digital mortgage platform he co-founded.</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“Lukasz brings deep technical expertise and a proven track record of scaling products and building high-performing engineering organizations, and we are thrilled to welcome him to the team,” said Mike Milotich, CEO of Marqeta. “His leadership will be instrumental in advancing our global technology roadmap and accelerating innovation to deliver solutions that expand payment possibilities for our customers.”</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“With a clear focus on enabling payments innovation, Marqeta has built a strong technology foundation and a modern card issuing platform designed for scale,” said Mr. Strozek. “I’m excited to work with this talented team to deliver next-generation capabilities that help customers solve complex challenges and advance meaningful business outcomes. I look forward to driving continued success and helping build the company’s next chapter.”</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Marqeta</w:t>
      </w:r>
    </w:p>
    <w:p>
      <w:pPr>
        <w:spacing w:after="0" w:line="2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Marqeta makes it possible for companies to build and embed financial services into their branded experience—and unlock new ways to grow their business and delight users. The Marqeta platform puts businesses in control of building financial solutions, enabling them to turn real-time data into personalized, optimized solutions for everything from consumer loyalty to capital efficiency. With compliance and security built-in, Marqeta’s platform has been proven at scale, processing nearly $400 billion in annual payments volume in 2025. Marqeta is certified to operate in more than 40 countries worldwide. Visit www.marqeta.com to learn more.</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This press release contains “forward-looking statements” within the meaning of the “safe harbor” provisions of the Private Securities Litigation Reform Act of 1995. Forward-looking statements expressed or implied in this press release include, but are not limited to, quotations and statements relating to our CTO search process, growth, value</w:t>
      </w:r>
    </w:p>
    <w:p>
      <w:pPr>
        <w:sectPr>
          <w:pgSz w:w="11900" w:h="16838" w:orient="portrait"/>
          <w:cols w:equalWidth="0" w:num="1">
            <w:col w:w="11240"/>
          </w:cols>
          <w:pgMar w:left="320" w:top="1421" w:right="339" w:bottom="1440" w:gutter="0" w:footer="0" w:header="0"/>
        </w:sectPr>
      </w:pPr>
    </w:p>
    <w:bookmarkStart w:id="4" w:name="page5"/>
    <w:bookmarkEnd w:id="4"/>
    <w:p>
      <w:pPr>
        <w:jc w:val="both"/>
        <w:spacing w:after="0" w:line="249" w:lineRule="auto"/>
        <w:rPr>
          <w:sz w:val="20"/>
          <w:szCs w:val="20"/>
          <w:color w:val="auto"/>
        </w:rPr>
      </w:pPr>
      <w:r>
        <w:rPr>
          <w:rFonts w:ascii="Arial" w:cs="Arial" w:eastAsia="Arial" w:hAnsi="Arial"/>
          <w:sz w:val="22"/>
          <w:szCs w:val="22"/>
          <w:color w:val="auto"/>
        </w:rPr>
        <w:t>creation, technology, business and strategy. Actual results may differ materially from the expectations contained in these statements due to risks and uncertainties, including, but not limited to, the following: challenges with our CTO search process; any factors creating issues with changes in domestic and international business, technology, market, financial, political and legal conditions; and those risks and uncertainties included in the “Risk Factors” disclosed in Marqeta’s Annual Report on Form 10-K, as may be updated from time to time in Marqeta’s periodic filings with the SEC, available at www.sec.gov and Marqeta’s website at http://investors.marqeta.com. The forward-looking statements in this press release are based on information available to Marqeta as of the date hereof. Marqeta disclaims any obligation to update any forward-looking statements, except as required by law.</w:t>
      </w:r>
    </w:p>
    <w:sectPr>
      <w:pgSz w:w="11900" w:h="16838" w:orient="portrait"/>
      <w:cols w:equalWidth="0" w:num="1">
        <w:col w:w="11240"/>
      </w:cols>
      <w:pgMar w:left="320" w:top="14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2026-05-08T08:02:59Z</dcterms:created>
  <dcterms:modified xsi:type="dcterms:W3CDTF">2026-05-08T08:02:59Z</dcterms:modified>
</cp:coreProperties>
</file>