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Confidential draft No. 3 as confidentially submitted to the Securities and Exchange Commission on April 30, 2021.</w:t>
      </w:r>
    </w:p>
    <w:p>
      <w:pPr>
        <w:spacing w:after="0" w:line="4" w:lineRule="exact"/>
        <w:rPr>
          <w:sz w:val="24"/>
          <w:szCs w:val="24"/>
          <w:color w:val="auto"/>
        </w:rPr>
      </w:pPr>
    </w:p>
    <w:p>
      <w:pPr>
        <w:jc w:val="right"/>
        <w:ind w:left="620" w:right="480"/>
        <w:spacing w:after="0" w:line="237" w:lineRule="auto"/>
        <w:rPr>
          <w:sz w:val="20"/>
          <w:szCs w:val="20"/>
          <w:color w:val="auto"/>
        </w:rPr>
      </w:pPr>
      <w:r>
        <w:rPr>
          <w:rFonts w:ascii="Arial" w:cs="Arial" w:eastAsia="Arial" w:hAnsi="Arial"/>
          <w:sz w:val="14"/>
          <w:szCs w:val="14"/>
          <w:b w:val="1"/>
          <w:bCs w:val="1"/>
          <w:color w:val="auto"/>
        </w:rPr>
        <w:t>This draft registration statement has not been filed publicly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S-1</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Marqeta, Inc.</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Delaware</w:t>
            </w:r>
          </w:p>
        </w:tc>
        <w:tc>
          <w:tcPr>
            <w:tcW w:w="354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7372</w:t>
            </w:r>
          </w:p>
        </w:tc>
        <w:tc>
          <w:tcPr>
            <w:tcW w:w="1200" w:type="dxa"/>
            <w:vAlign w:val="bottom"/>
          </w:tcPr>
          <w:p>
            <w:pPr>
              <w:spacing w:after="0"/>
              <w:rPr>
                <w:sz w:val="14"/>
                <w:szCs w:val="14"/>
                <w:color w:val="auto"/>
              </w:rPr>
            </w:pPr>
          </w:p>
        </w:tc>
        <w:tc>
          <w:tcPr>
            <w:tcW w:w="2540" w:type="dxa"/>
            <w:vAlign w:val="bottom"/>
          </w:tcPr>
          <w:p>
            <w:pPr>
              <w:jc w:val="right"/>
              <w:ind w:right="728"/>
              <w:spacing w:after="0"/>
              <w:rPr>
                <w:sz w:val="20"/>
                <w:szCs w:val="20"/>
                <w:color w:val="auto"/>
              </w:rPr>
            </w:pPr>
            <w:r>
              <w:rPr>
                <w:rFonts w:ascii="Arial" w:cs="Arial" w:eastAsia="Arial" w:hAnsi="Arial"/>
                <w:sz w:val="14"/>
                <w:szCs w:val="14"/>
                <w:b w:val="1"/>
                <w:bCs w:val="1"/>
                <w:color w:val="auto"/>
              </w:rPr>
              <w:t>27-4306690</w:t>
            </w:r>
          </w:p>
        </w:tc>
      </w:tr>
      <w:tr>
        <w:trPr>
          <w:trHeight w:val="149"/>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5"/>
              </w:rPr>
              <w:t>Incorporation or Organization)</w:t>
            </w:r>
          </w:p>
        </w:tc>
        <w:tc>
          <w:tcPr>
            <w:tcW w:w="1220" w:type="dxa"/>
            <w:vAlign w:val="bottom"/>
          </w:tcPr>
          <w:p>
            <w:pPr>
              <w:spacing w:after="0"/>
              <w:rPr>
                <w:sz w:val="16"/>
                <w:szCs w:val="16"/>
                <w:color w:val="auto"/>
              </w:rPr>
            </w:pPr>
          </w:p>
        </w:tc>
        <w:tc>
          <w:tcPr>
            <w:tcW w:w="35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Classification Code Number)</w:t>
            </w:r>
          </w:p>
        </w:tc>
        <w:tc>
          <w:tcPr>
            <w:tcW w:w="254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Identification Number)</w:t>
            </w:r>
          </w:p>
        </w:tc>
      </w:tr>
      <w:tr>
        <w:trPr>
          <w:trHeight w:val="178"/>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4"/>
              </w:rPr>
              <w:t>180 Grand Avenue</w:t>
            </w:r>
          </w:p>
        </w:tc>
        <w:tc>
          <w:tcPr>
            <w:tcW w:w="2540" w:type="dxa"/>
            <w:vAlign w:val="bottom"/>
          </w:tcPr>
          <w:p>
            <w:pPr>
              <w:spacing w:after="0"/>
              <w:rPr>
                <w:sz w:val="15"/>
                <w:szCs w:val="15"/>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6"/>
              </w:rPr>
              <w:t>6</w:t>
            </w:r>
            <w:r>
              <w:rPr>
                <w:rFonts w:ascii="Arial" w:cs="Arial" w:eastAsia="Arial" w:hAnsi="Arial"/>
                <w:sz w:val="12"/>
                <w:szCs w:val="12"/>
                <w:b w:val="1"/>
                <w:bCs w:val="1"/>
                <w:color w:val="auto"/>
                <w:w w:val="96"/>
              </w:rPr>
              <w:t>th</w:t>
            </w:r>
            <w:r>
              <w:rPr>
                <w:rFonts w:ascii="Arial" w:cs="Arial" w:eastAsia="Arial" w:hAnsi="Arial"/>
                <w:sz w:val="14"/>
                <w:szCs w:val="14"/>
                <w:b w:val="1"/>
                <w:bCs w:val="1"/>
                <w:color w:val="auto"/>
                <w:w w:val="96"/>
              </w:rPr>
              <w:t xml:space="preserve"> Floor</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Oakland, CA 94612</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354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(888) 462-7738</w:t>
            </w: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(Address, Including Zip Code, and Telephone Number, Including</w:t>
            </w:r>
          </w:p>
        </w:tc>
        <w:tc>
          <w:tcPr>
            <w:tcW w:w="2540" w:type="dxa"/>
            <w:vAlign w:val="bottom"/>
          </w:tcPr>
          <w:p>
            <w:pPr>
              <w:spacing w:after="0"/>
              <w:rPr>
                <w:sz w:val="12"/>
                <w:szCs w:val="12"/>
                <w:color w:val="auto"/>
              </w:rPr>
            </w:pPr>
          </w:p>
        </w:tc>
      </w:tr>
      <w:tr>
        <w:trPr>
          <w:trHeight w:val="186"/>
        </w:trPr>
        <w:tc>
          <w:tcPr>
            <w:tcW w:w="2220" w:type="dxa"/>
            <w:vAlign w:val="bottom"/>
          </w:tcPr>
          <w:p>
            <w:pPr>
              <w:spacing w:after="0"/>
              <w:rPr>
                <w:sz w:val="16"/>
                <w:szCs w:val="16"/>
                <w:color w:val="auto"/>
              </w:rPr>
            </w:pPr>
          </w:p>
        </w:tc>
        <w:tc>
          <w:tcPr>
            <w:tcW w:w="4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Area Code, of Registrant’s Principal Executive Offices)</w:t>
            </w:r>
          </w:p>
        </w:tc>
        <w:tc>
          <w:tcPr>
            <w:tcW w:w="2540" w:type="dxa"/>
            <w:vAlign w:val="bottom"/>
          </w:tcPr>
          <w:p>
            <w:pPr>
              <w:spacing w:after="0"/>
              <w:rPr>
                <w:sz w:val="16"/>
                <w:szCs w:val="16"/>
                <w:color w:val="auto"/>
              </w:rPr>
            </w:pPr>
          </w:p>
        </w:tc>
      </w:tr>
      <w:tr>
        <w:trPr>
          <w:trHeight w:val="107"/>
        </w:trPr>
        <w:tc>
          <w:tcPr>
            <w:tcW w:w="2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173"/>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Jason Gardner</w:t>
            </w:r>
          </w:p>
        </w:tc>
        <w:tc>
          <w:tcPr>
            <w:tcW w:w="2540" w:type="dxa"/>
            <w:vAlign w:val="bottom"/>
          </w:tcPr>
          <w:p>
            <w:pPr>
              <w:spacing w:after="0"/>
              <w:rPr>
                <w:sz w:val="15"/>
                <w:szCs w:val="15"/>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3"/>
              </w:rPr>
              <w:t>Founder, Chief Executive Officer</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8"/>
              </w:rPr>
              <w:t>Marqeta, Inc.</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4"/>
              </w:rPr>
              <w:t>180 Grand Avenue</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6"/>
              </w:rPr>
              <w:t>6</w:t>
            </w:r>
            <w:r>
              <w:rPr>
                <w:rFonts w:ascii="Arial" w:cs="Arial" w:eastAsia="Arial" w:hAnsi="Arial"/>
                <w:sz w:val="12"/>
                <w:szCs w:val="12"/>
                <w:b w:val="1"/>
                <w:bCs w:val="1"/>
                <w:color w:val="auto"/>
                <w:w w:val="96"/>
              </w:rPr>
              <w:t>th</w:t>
            </w:r>
            <w:r>
              <w:rPr>
                <w:rFonts w:ascii="Arial" w:cs="Arial" w:eastAsia="Arial" w:hAnsi="Arial"/>
                <w:sz w:val="14"/>
                <w:szCs w:val="14"/>
                <w:b w:val="1"/>
                <w:bCs w:val="1"/>
                <w:color w:val="auto"/>
                <w:w w:val="96"/>
              </w:rPr>
              <w:t xml:space="preserve"> Floor</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Oakland, CA 94612</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354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(888) 462-7738</w:t>
            </w: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(Name, address, including zip code, and telephone number, including</w:t>
            </w:r>
          </w:p>
        </w:tc>
        <w:tc>
          <w:tcPr>
            <w:tcW w:w="2540" w:type="dxa"/>
            <w:vAlign w:val="bottom"/>
          </w:tcPr>
          <w:p>
            <w:pPr>
              <w:spacing w:after="0"/>
              <w:rPr>
                <w:sz w:val="12"/>
                <w:szCs w:val="12"/>
                <w:color w:val="auto"/>
              </w:rPr>
            </w:pPr>
          </w:p>
        </w:tc>
      </w:tr>
      <w:tr>
        <w:trPr>
          <w:trHeight w:val="186"/>
        </w:trPr>
        <w:tc>
          <w:tcPr>
            <w:tcW w:w="2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area code, of agent for service)</w:t>
            </w:r>
          </w:p>
        </w:tc>
        <w:tc>
          <w:tcPr>
            <w:tcW w:w="2540" w:type="dxa"/>
            <w:vAlign w:val="bottom"/>
          </w:tcPr>
          <w:p>
            <w:pPr>
              <w:spacing w:after="0"/>
              <w:rPr>
                <w:sz w:val="16"/>
                <w:szCs w:val="16"/>
                <w:color w:val="auto"/>
              </w:rPr>
            </w:pPr>
          </w:p>
        </w:tc>
      </w:tr>
      <w:tr>
        <w:trPr>
          <w:trHeight w:val="107"/>
        </w:trPr>
        <w:tc>
          <w:tcPr>
            <w:tcW w:w="2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231"/>
        </w:trPr>
        <w:tc>
          <w:tcPr>
            <w:tcW w:w="2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Copies to:</w:t>
            </w:r>
          </w:p>
        </w:tc>
        <w:tc>
          <w:tcPr>
            <w:tcW w:w="2540" w:type="dxa"/>
            <w:vAlign w:val="bottom"/>
          </w:tcPr>
          <w:p>
            <w:pPr>
              <w:spacing w:after="0"/>
              <w:rPr>
                <w:sz w:val="20"/>
                <w:szCs w:val="20"/>
                <w:color w:val="auto"/>
              </w:rPr>
            </w:pPr>
          </w:p>
        </w:tc>
      </w:tr>
      <w:tr>
        <w:trPr>
          <w:trHeight w:val="149"/>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Caine Moss</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89"/>
              </w:rPr>
              <w:t>Seth R. Weissman</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2"/>
              </w:rPr>
              <w:t>Steven V. Bernard</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7"/>
              </w:rPr>
              <w:t>Mitzi Chang</w:t>
            </w:r>
          </w:p>
        </w:tc>
        <w:tc>
          <w:tcPr>
            <w:tcW w:w="1220" w:type="dxa"/>
            <w:vAlign w:val="bottom"/>
          </w:tcPr>
          <w:p>
            <w:pPr>
              <w:spacing w:after="0"/>
              <w:rPr>
                <w:sz w:val="12"/>
                <w:szCs w:val="12"/>
                <w:color w:val="auto"/>
              </w:rPr>
            </w:pPr>
          </w:p>
        </w:tc>
        <w:tc>
          <w:tcPr>
            <w:tcW w:w="352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96"/>
              </w:rPr>
              <w:t>Alina A. Zagaytova</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3"/>
              </w:rPr>
              <w:t>Catherine D. Doxsee</w:t>
            </w:r>
          </w:p>
        </w:tc>
      </w:tr>
      <w:tr>
        <w:trPr>
          <w:trHeight w:val="149"/>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2"/>
              </w:rPr>
              <w:t>Bradley C. Weber</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2"/>
              </w:rPr>
              <w:t>Marqeta, Inc.</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4"/>
              </w:rPr>
              <w:t>Wilson Sonsini Goodrich &amp; Rosati, P.C.</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6"/>
              </w:rPr>
              <w:t>Goodwin Procter LLP</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1"/>
              </w:rPr>
              <w:t>180 Grand Avenue</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3"/>
              </w:rPr>
              <w:t>650 Page Mill Road</w:t>
            </w:r>
          </w:p>
        </w:tc>
      </w:tr>
      <w:tr>
        <w:trPr>
          <w:trHeight w:val="148"/>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601 Marshall Street</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6"/>
              </w:rPr>
              <w:t>6</w:t>
            </w:r>
            <w:r>
              <w:rPr>
                <w:rFonts w:ascii="Arial" w:cs="Arial" w:eastAsia="Arial" w:hAnsi="Arial"/>
                <w:sz w:val="12"/>
                <w:szCs w:val="12"/>
                <w:color w:val="auto"/>
                <w:w w:val="96"/>
              </w:rPr>
              <w:t>th</w:t>
            </w:r>
            <w:r>
              <w:rPr>
                <w:rFonts w:ascii="Arial" w:cs="Arial" w:eastAsia="Arial" w:hAnsi="Arial"/>
                <w:sz w:val="14"/>
                <w:szCs w:val="14"/>
                <w:color w:val="auto"/>
                <w:w w:val="96"/>
              </w:rPr>
              <w:t xml:space="preserve"> Floor</w:t>
            </w:r>
          </w:p>
        </w:tc>
        <w:tc>
          <w:tcPr>
            <w:tcW w:w="254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5"/>
              </w:rPr>
              <w:t>Palo Alto, CA 94304</w:t>
            </w:r>
          </w:p>
        </w:tc>
      </w:tr>
      <w:tr>
        <w:trPr>
          <w:trHeight w:val="149"/>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4"/>
              </w:rPr>
              <w:t>Redwood City, CA 94063</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4"/>
              </w:rPr>
              <w:t>Oakland, CA 94612</w:t>
            </w:r>
          </w:p>
        </w:tc>
        <w:tc>
          <w:tcPr>
            <w:tcW w:w="254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(650) 493-9300</w:t>
            </w:r>
          </w:p>
        </w:tc>
      </w:tr>
      <w:tr>
        <w:trPr>
          <w:trHeight w:val="182"/>
        </w:trPr>
        <w:tc>
          <w:tcPr>
            <w:tcW w:w="2220" w:type="dxa"/>
            <w:vAlign w:val="bottom"/>
          </w:tcPr>
          <w:p>
            <w:pPr>
              <w:jc w:val="center"/>
              <w:ind w:right="208"/>
              <w:spacing w:after="0"/>
              <w:rPr>
                <w:sz w:val="20"/>
                <w:szCs w:val="20"/>
                <w:color w:val="auto"/>
              </w:rPr>
            </w:pPr>
            <w:r>
              <w:rPr>
                <w:rFonts w:ascii="Arial" w:cs="Arial" w:eastAsia="Arial" w:hAnsi="Arial"/>
                <w:sz w:val="14"/>
                <w:szCs w:val="14"/>
                <w:color w:val="auto"/>
                <w:w w:val="93"/>
              </w:rPr>
              <w:t>(650) 752-3100</w:t>
            </w:r>
          </w:p>
        </w:tc>
        <w:tc>
          <w:tcPr>
            <w:tcW w:w="3540" w:type="dxa"/>
            <w:vAlign w:val="bottom"/>
            <w:gridSpan w:val="2"/>
          </w:tcPr>
          <w:p>
            <w:pPr>
              <w:jc w:val="right"/>
              <w:ind w:right="528"/>
              <w:spacing w:after="0"/>
              <w:rPr>
                <w:sz w:val="20"/>
                <w:szCs w:val="20"/>
                <w:color w:val="auto"/>
              </w:rPr>
            </w:pPr>
            <w:r>
              <w:rPr>
                <w:rFonts w:ascii="Arial" w:cs="Arial" w:eastAsia="Arial" w:hAnsi="Arial"/>
                <w:sz w:val="14"/>
                <w:szCs w:val="14"/>
                <w:color w:val="auto"/>
              </w:rPr>
              <w:t>(888) 462-7738</w:t>
            </w: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r>
    </w:tbl>
    <w:p>
      <w:pPr>
        <w:spacing w:after="0" w:line="3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8"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664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21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 Securities</w:t>
            </w:r>
          </w:p>
        </w:tc>
        <w:tc>
          <w:tcPr>
            <w:tcW w:w="2200" w:type="dxa"/>
            <w:vAlign w:val="bottom"/>
            <w:tcBorders>
              <w:right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664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1400" w:type="dxa"/>
            <w:vAlign w:val="bottom"/>
            <w:tcBorders>
              <w:right w:val="single" w:sz="8" w:color="auto"/>
            </w:tcBorders>
          </w:tcPr>
          <w:p>
            <w:pPr>
              <w:jc w:val="center"/>
              <w:ind w:right="673"/>
              <w:spacing w:after="0" w:line="149" w:lineRule="exact"/>
              <w:rPr>
                <w:sz w:val="20"/>
                <w:szCs w:val="20"/>
                <w:color w:val="auto"/>
              </w:rPr>
            </w:pPr>
            <w:r>
              <w:rPr>
                <w:rFonts w:ascii="Arial" w:cs="Arial" w:eastAsia="Arial" w:hAnsi="Arial"/>
                <w:sz w:val="14"/>
                <w:szCs w:val="14"/>
                <w:b w:val="1"/>
                <w:bCs w:val="1"/>
                <w:color w:val="auto"/>
                <w:w w:val="89"/>
              </w:rPr>
              <w:t>Aggregate</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22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1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$0.0001 par value per share</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right w:val="single" w:sz="8" w:color="auto"/>
            </w:tcBorders>
          </w:tcPr>
          <w:p>
            <w:pPr>
              <w:jc w:val="right"/>
              <w:ind w:right="613"/>
              <w:spacing w:after="0"/>
              <w:rPr>
                <w:sz w:val="20"/>
                <w:szCs w:val="20"/>
                <w:color w:val="auto"/>
              </w:rPr>
            </w:pPr>
            <w:r>
              <w:rPr>
                <w:rFonts w:ascii="Arial" w:cs="Arial" w:eastAsia="Arial" w:hAnsi="Arial"/>
                <w:sz w:val="12"/>
                <w:szCs w:val="12"/>
                <w:color w:val="auto"/>
              </w:rPr>
              <w:t>(1)(2)</w:t>
            </w:r>
          </w:p>
        </w:tc>
        <w:tc>
          <w:tcPr>
            <w:tcW w:w="2180" w:type="dxa"/>
            <w:vAlign w:val="bottom"/>
            <w:tcBorders>
              <w:bottom w:val="single" w:sz="8" w:color="auto"/>
            </w:tcBorders>
          </w:tcPr>
          <w:p>
            <w:pPr>
              <w:ind w:left="8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ind w:left="660" w:hanging="54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both"/>
        <w:ind w:left="120" w:right="20" w:firstLine="551"/>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41910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1" w:lineRule="exact"/>
        <w:rPr>
          <w:sz w:val="20"/>
          <w:szCs w:val="20"/>
          <w:color w:val="auto"/>
        </w:rPr>
      </w:pPr>
    </w:p>
    <w:tbl>
      <w:tblPr>
        <w:tblLayout w:type="fixed"/>
        <w:tblInd w:w="4100" w:type="dxa"/>
        <w:tblCellMar>
          <w:top w:w="0" w:type="dxa"/>
          <w:left w:w="0" w:type="dxa"/>
          <w:bottom w:w="0" w:type="dxa"/>
          <w:right w:w="0" w:type="dxa"/>
        </w:tblCellMar>
      </w:tblPr>
      <w:tr>
        <w:trPr>
          <w:trHeight w:val="206"/>
        </w:trPr>
        <w:tc>
          <w:tcPr>
            <w:tcW w:w="2240" w:type="dxa"/>
            <w:vAlign w:val="bottom"/>
          </w:tcPr>
          <w:p>
            <w:pPr>
              <w:spacing w:after="0"/>
              <w:rPr>
                <w:sz w:val="20"/>
                <w:szCs w:val="20"/>
                <w:color w:val="auto"/>
              </w:rPr>
            </w:pPr>
            <w:r>
              <w:rPr>
                <w:rFonts w:ascii="Arial" w:cs="Arial" w:eastAsia="Arial" w:hAnsi="Arial"/>
                <w:sz w:val="16"/>
                <w:szCs w:val="16"/>
                <w:color w:val="CC062A"/>
              </w:rPr>
              <w:t>Subject to Completion, dated</w:t>
            </w:r>
          </w:p>
        </w:tc>
        <w:tc>
          <w:tcPr>
            <w:tcW w:w="820" w:type="dxa"/>
            <w:vAlign w:val="bottom"/>
          </w:tcPr>
          <w:p>
            <w:pPr>
              <w:jc w:val="right"/>
              <w:spacing w:after="0"/>
              <w:rPr>
                <w:sz w:val="20"/>
                <w:szCs w:val="20"/>
                <w:color w:val="auto"/>
              </w:rPr>
            </w:pPr>
            <w:r>
              <w:rPr>
                <w:rFonts w:ascii="Arial" w:cs="Arial" w:eastAsia="Arial" w:hAnsi="Arial"/>
                <w:sz w:val="16"/>
                <w:szCs w:val="16"/>
                <w:color w:val="CC062A"/>
              </w:rPr>
              <w:t>, 2021.</w:t>
            </w:r>
          </w:p>
        </w:tc>
      </w:tr>
    </w:tbl>
    <w:p>
      <w:pPr>
        <w:spacing w:after="0" w:line="232" w:lineRule="exact"/>
        <w:rPr>
          <w:sz w:val="20"/>
          <w:szCs w:val="20"/>
          <w:color w:val="auto"/>
        </w:rPr>
      </w:pPr>
    </w:p>
    <w:p>
      <w:pPr>
        <w:ind w:left="620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205105</wp:posOffset>
            </wp:positionV>
            <wp:extent cx="151701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0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Marqeta, Inc.</w:t>
      </w: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is an initial public offering of shares of Class A common stock of Marqeta, Inc.</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Prior to this offering, there has been no public market for our Class A common stock. It is currently estimated that the initial public offering price will be between</w:t>
      </w:r>
    </w:p>
    <w:p>
      <w:pPr>
        <w:spacing w:after="0" w:line="34" w:lineRule="exact"/>
        <w:rPr>
          <w:sz w:val="20"/>
          <w:szCs w:val="20"/>
          <w:color w:val="auto"/>
        </w:rPr>
      </w:pPr>
    </w:p>
    <w:p>
      <w:pPr>
        <w:ind w:left="120"/>
        <w:spacing w:after="0"/>
        <w:tabs>
          <w:tab w:leader="none" w:pos="700" w:val="left"/>
          <w:tab w:leader="none" w:pos="1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4"/>
          <w:szCs w:val="14"/>
          <w:color w:val="auto"/>
        </w:rPr>
        <w:t>per share. We intend to apply to list our Class A common stock on the Nasdaq Global Select Market under the symbol “MQ.”</w:t>
      </w:r>
    </w:p>
    <w:p>
      <w:pPr>
        <w:spacing w:after="0" w:line="19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6"/>
          <w:szCs w:val="16"/>
          <w:color w:val="auto"/>
        </w:rPr>
        <w:t>Following this offering, we will have two classes of common stock: Class A common stock and Class B common stock. The rights of the holders of Class A common stock and Class B common stock are identical, except with respect to voting and conversion rights. Each share of Class A common stock is entitled to one vote. Each share of Class B common stock is entitled to 10 votes and is convertible at any time into one share of Class A common stock. All shares of our capital stock outstanding immediately prior to this offering, including all shares held by our executive officers, employees and directors, and their respective affiliates, will be reclassified into shares of our Class B common stock immediately prior to the consummation of this offering. The holders of our outstanding Class B common stock will hold approximately % of the voting power of our outstanding capital stock following this offering.</w:t>
      </w:r>
    </w:p>
    <w:p>
      <w:pPr>
        <w:spacing w:after="0" w:line="16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184150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the section titled “</w:t>
      </w:r>
      <w:hyperlink w:anchor="page2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20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5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6"/>
              </w:rPr>
              <w:t>Per Share</w:t>
            </w:r>
          </w:p>
        </w:tc>
        <w:tc>
          <w:tcPr>
            <w:tcW w:w="26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Total</w:t>
            </w:r>
          </w:p>
        </w:tc>
      </w:tr>
      <w:tr>
        <w:trPr>
          <w:trHeight w:val="19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3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4320" w:type="dxa"/>
            <w:vAlign w:val="bottom"/>
            <w:gridSpan w:val="2"/>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4320" w:type="dxa"/>
            <w:vAlign w:val="bottom"/>
            <w:gridSpan w:val="2"/>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See the section titled “Underwriting” for additional information regarding compensation payable to the underwriters.</w:t>
      </w:r>
    </w:p>
    <w:p>
      <w:pPr>
        <w:spacing w:after="0" w:line="172" w:lineRule="exact"/>
        <w:rPr>
          <w:sz w:val="20"/>
          <w:szCs w:val="20"/>
          <w:color w:val="auto"/>
        </w:rPr>
      </w:pPr>
    </w:p>
    <w:p>
      <w:pPr>
        <w:ind w:left="120"/>
        <w:spacing w:after="0"/>
        <w:tabs>
          <w:tab w:leader="none" w:pos="5460" w:val="left"/>
        </w:tabs>
        <w:rPr>
          <w:sz w:val="20"/>
          <w:szCs w:val="20"/>
          <w:color w:val="auto"/>
        </w:rPr>
      </w:pPr>
      <w:r>
        <w:rPr>
          <w:rFonts w:ascii="Arial" w:cs="Arial" w:eastAsia="Arial" w:hAnsi="Arial"/>
          <w:sz w:val="16"/>
          <w:szCs w:val="16"/>
          <w:color w:val="auto"/>
        </w:rPr>
        <w:t>The underwriters have the option to purchase up to an additional</w:t>
      </w:r>
      <w:r>
        <w:rPr>
          <w:sz w:val="20"/>
          <w:szCs w:val="20"/>
          <w:color w:val="auto"/>
        </w:rPr>
        <w:tab/>
      </w:r>
      <w:r>
        <w:rPr>
          <w:rFonts w:ascii="Arial" w:cs="Arial" w:eastAsia="Arial" w:hAnsi="Arial"/>
          <w:sz w:val="15"/>
          <w:szCs w:val="15"/>
          <w:color w:val="auto"/>
        </w:rPr>
        <w:t>shares of Class A common stock from us at the initial public offering price less the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underwriting discount.</w:t>
      </w:r>
    </w:p>
    <w:p>
      <w:pPr>
        <w:spacing w:after="0" w:line="190" w:lineRule="exact"/>
        <w:rPr>
          <w:sz w:val="20"/>
          <w:szCs w:val="20"/>
          <w:color w:val="auto"/>
        </w:rPr>
      </w:pPr>
    </w:p>
    <w:p>
      <w:pPr>
        <w:ind w:left="120"/>
        <w:spacing w:after="0"/>
        <w:tabs>
          <w:tab w:leader="none" w:pos="6580" w:val="left"/>
        </w:tabs>
        <w:rPr>
          <w:sz w:val="20"/>
          <w:szCs w:val="20"/>
          <w:color w:val="auto"/>
        </w:rPr>
      </w:pPr>
      <w:r>
        <w:rPr>
          <w:rFonts w:ascii="Arial" w:cs="Arial" w:eastAsia="Arial" w:hAnsi="Arial"/>
          <w:sz w:val="16"/>
          <w:szCs w:val="16"/>
          <w:color w:val="auto"/>
        </w:rPr>
        <w:t>The underwriters expect to deliver the shares against payment in New York, New York on</w:t>
      </w:r>
      <w:r>
        <w:rPr>
          <w:sz w:val="20"/>
          <w:szCs w:val="20"/>
          <w:color w:val="auto"/>
        </w:rPr>
        <w:tab/>
      </w:r>
      <w:r>
        <w:rPr>
          <w:rFonts w:ascii="Arial" w:cs="Arial" w:eastAsia="Arial" w:hAnsi="Arial"/>
          <w:sz w:val="14"/>
          <w:szCs w:val="14"/>
          <w:color w:val="auto"/>
        </w:rPr>
        <w:t>, 2021.</w:t>
      </w:r>
    </w:p>
    <w:p>
      <w:pPr>
        <w:spacing w:after="0" w:line="248" w:lineRule="exact"/>
        <w:rPr>
          <w:sz w:val="20"/>
          <w:szCs w:val="20"/>
          <w:color w:val="auto"/>
        </w:rPr>
      </w:pPr>
    </w:p>
    <w:p>
      <w:pPr>
        <w:ind w:left="120"/>
        <w:spacing w:after="0"/>
        <w:tabs>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3"/>
          <w:szCs w:val="23"/>
          <w:b w:val="1"/>
          <w:bCs w:val="1"/>
          <w:color w:val="auto"/>
        </w:rPr>
        <w:t>J.P. Morgan</w:t>
      </w:r>
    </w:p>
    <w:p>
      <w:pPr>
        <w:spacing w:after="0" w:line="226" w:lineRule="exact"/>
        <w:rPr>
          <w:sz w:val="20"/>
          <w:szCs w:val="20"/>
          <w:color w:val="auto"/>
        </w:rPr>
      </w:pPr>
    </w:p>
    <w:p>
      <w:pPr>
        <w:ind w:left="1800"/>
        <w:spacing w:after="0"/>
        <w:tabs>
          <w:tab w:leader="none" w:pos="3340" w:val="left"/>
          <w:tab w:leader="none" w:pos="4760" w:val="left"/>
          <w:tab w:leader="none" w:pos="7260" w:val="left"/>
        </w:tabs>
        <w:rPr>
          <w:sz w:val="20"/>
          <w:szCs w:val="20"/>
          <w:color w:val="auto"/>
        </w:rPr>
      </w:pPr>
      <w:r>
        <w:rPr>
          <w:rFonts w:ascii="Arial" w:cs="Arial" w:eastAsia="Arial" w:hAnsi="Arial"/>
          <w:sz w:val="20"/>
          <w:szCs w:val="20"/>
          <w:b w:val="1"/>
          <w:bCs w:val="1"/>
          <w:color w:val="auto"/>
        </w:rPr>
        <w:t>Citigroup</w:t>
      </w:r>
      <w:r>
        <w:rPr>
          <w:sz w:val="20"/>
          <w:szCs w:val="20"/>
          <w:color w:val="auto"/>
        </w:rPr>
        <w:tab/>
      </w:r>
      <w:r>
        <w:rPr>
          <w:rFonts w:ascii="Arial" w:cs="Arial" w:eastAsia="Arial" w:hAnsi="Arial"/>
          <w:sz w:val="20"/>
          <w:szCs w:val="20"/>
          <w:b w:val="1"/>
          <w:bCs w:val="1"/>
          <w:color w:val="auto"/>
        </w:rPr>
        <w:t>Barclays</w:t>
      </w:r>
      <w:r>
        <w:rPr>
          <w:sz w:val="20"/>
          <w:szCs w:val="20"/>
          <w:color w:val="auto"/>
        </w:rPr>
        <w:tab/>
      </w:r>
      <w:r>
        <w:rPr>
          <w:rFonts w:ascii="Arial" w:cs="Arial" w:eastAsia="Arial" w:hAnsi="Arial"/>
          <w:sz w:val="20"/>
          <w:szCs w:val="20"/>
          <w:b w:val="1"/>
          <w:bCs w:val="1"/>
          <w:color w:val="auto"/>
        </w:rPr>
        <w:t>William Blair</w:t>
      </w:r>
      <w:r>
        <w:rPr>
          <w:sz w:val="20"/>
          <w:szCs w:val="20"/>
          <w:color w:val="auto"/>
        </w:rPr>
        <w:tab/>
      </w:r>
      <w:r>
        <w:rPr>
          <w:rFonts w:ascii="Arial" w:cs="Arial" w:eastAsia="Arial" w:hAnsi="Arial"/>
          <w:sz w:val="18"/>
          <w:szCs w:val="18"/>
          <w:b w:val="1"/>
          <w:bCs w:val="1"/>
          <w:color w:val="auto"/>
        </w:rPr>
        <w:t>KeyBanc Capital Markets</w:t>
      </w:r>
    </w:p>
    <w:p>
      <w:pPr>
        <w:spacing w:after="0" w:line="148" w:lineRule="exact"/>
        <w:rPr>
          <w:sz w:val="20"/>
          <w:szCs w:val="20"/>
          <w:color w:val="auto"/>
        </w:rPr>
      </w:pPr>
    </w:p>
    <w:p>
      <w:pPr>
        <w:ind w:left="2540"/>
        <w:spacing w:after="0"/>
        <w:tabs>
          <w:tab w:leader="none" w:pos="3660" w:val="left"/>
          <w:tab w:leader="none" w:pos="4600" w:val="left"/>
          <w:tab w:leader="none" w:pos="6920" w:val="left"/>
        </w:tabs>
        <w:rPr>
          <w:sz w:val="20"/>
          <w:szCs w:val="20"/>
          <w:color w:val="auto"/>
        </w:rPr>
      </w:pPr>
      <w:r>
        <w:rPr>
          <w:rFonts w:ascii="Arial" w:cs="Arial" w:eastAsia="Arial" w:hAnsi="Arial"/>
          <w:sz w:val="20"/>
          <w:szCs w:val="20"/>
          <w:b w:val="1"/>
          <w:bCs w:val="1"/>
          <w:color w:val="auto"/>
        </w:rPr>
        <w:t>Nomura</w:t>
      </w:r>
      <w:r>
        <w:rPr>
          <w:sz w:val="20"/>
          <w:szCs w:val="20"/>
          <w:color w:val="auto"/>
        </w:rPr>
        <w:tab/>
      </w:r>
      <w:r>
        <w:rPr>
          <w:rFonts w:ascii="Arial" w:cs="Arial" w:eastAsia="Arial" w:hAnsi="Arial"/>
          <w:sz w:val="20"/>
          <w:szCs w:val="20"/>
          <w:b w:val="1"/>
          <w:bCs w:val="1"/>
          <w:color w:val="auto"/>
        </w:rPr>
        <w:t>HSBC</w:t>
      </w:r>
      <w:r>
        <w:rPr>
          <w:sz w:val="20"/>
          <w:szCs w:val="20"/>
          <w:color w:val="auto"/>
        </w:rPr>
        <w:tab/>
      </w:r>
      <w:r>
        <w:rPr>
          <w:rFonts w:ascii="Arial" w:cs="Arial" w:eastAsia="Arial" w:hAnsi="Arial"/>
          <w:sz w:val="20"/>
          <w:szCs w:val="20"/>
          <w:b w:val="1"/>
          <w:bCs w:val="1"/>
          <w:color w:val="auto"/>
        </w:rPr>
        <w:t>R. Seelaus &amp; Co., LLC</w:t>
      </w:r>
      <w:r>
        <w:rPr>
          <w:sz w:val="20"/>
          <w:szCs w:val="20"/>
          <w:color w:val="auto"/>
        </w:rPr>
        <w:tab/>
      </w:r>
      <w:r>
        <w:rPr>
          <w:rFonts w:ascii="Arial" w:cs="Arial" w:eastAsia="Arial" w:hAnsi="Arial"/>
          <w:sz w:val="18"/>
          <w:szCs w:val="18"/>
          <w:b w:val="1"/>
          <w:bCs w:val="1"/>
          <w:color w:val="auto"/>
        </w:rPr>
        <w:t>Siebert Williams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236855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4480"/>
        <w:spacing w:after="0"/>
        <w:tabs>
          <w:tab w:leader="none" w:pos="63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4"/>
          <w:szCs w:val="14"/>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5">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7029450" cy="9095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5">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7029450" cy="9112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0" cy="9112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5">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7029450" cy="9095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6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20" w:type="dxa"/>
            <w:vAlign w:val="bottom"/>
            <w:gridSpan w:val="17"/>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2220" w:type="dxa"/>
            <w:vAlign w:val="bottom"/>
            <w:gridSpan w:val="17"/>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0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Special Note Regarding Forward-Looking Statements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Industry and Market Data</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Use of Proceeds</w:t>
              </w:r>
            </w:hyperlink>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Dividend Policy</w:t>
              </w:r>
            </w:hyperlink>
          </w:p>
        </w:tc>
        <w:tc>
          <w:tcPr>
            <w:tcW w:w="10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Capitalization</w:t>
              </w:r>
            </w:hyperlink>
          </w:p>
        </w:tc>
        <w:tc>
          <w:tcPr>
            <w:tcW w:w="12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Dilution</w:t>
              </w:r>
            </w:hyperlink>
          </w:p>
        </w:tc>
        <w:tc>
          <w:tcPr>
            <w:tcW w:w="162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Selected Consolidated Financial and Other Data</w:t>
              </w:r>
            </w:hyperlink>
          </w:p>
        </w:tc>
        <w:tc>
          <w:tcPr>
            <w:tcW w:w="7180" w:type="dxa"/>
            <w:vAlign w:val="bottom"/>
            <w:gridSpan w:val="5"/>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98">
              <w:r>
                <w:rPr>
                  <w:rFonts w:ascii="Arial" w:cs="Arial" w:eastAsia="Arial" w:hAnsi="Arial"/>
                  <w:sz w:val="18"/>
                  <w:szCs w:val="18"/>
                  <w:color w:val="0000EE"/>
                  <w:w w:val="84"/>
                </w:rPr>
                <w:t>Business</w:t>
              </w:r>
            </w:hyperlink>
          </w:p>
        </w:tc>
        <w:tc>
          <w:tcPr>
            <w:tcW w:w="1580" w:type="dxa"/>
            <w:vAlign w:val="bottom"/>
            <w:tcBorders>
              <w:top w:val="single" w:sz="8" w:color="0000EE"/>
            </w:tcBorders>
            <w:gridSpan w:val="14"/>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Management</w:t>
              </w:r>
            </w:hyperlink>
          </w:p>
        </w:tc>
        <w:tc>
          <w:tcPr>
            <w:tcW w:w="128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Executive Compensation</w:t>
              </w:r>
            </w:hyperlink>
          </w:p>
        </w:tc>
        <w:tc>
          <w:tcPr>
            <w:tcW w:w="4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Certain Relationships and Related Party Transactions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Principal Stockholders</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w w:val="99"/>
              </w:rPr>
            </w:pPr>
            <w:hyperlink w:anchor="page154">
              <w:r>
                <w:rPr>
                  <w:rFonts w:ascii="Arial" w:cs="Arial" w:eastAsia="Arial" w:hAnsi="Arial"/>
                  <w:sz w:val="18"/>
                  <w:szCs w:val="18"/>
                  <w:color w:val="0000EE"/>
                  <w:w w:val="99"/>
                </w:rPr>
                <w:t>Description of Capital Stock</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Shares Eligible for Future Sale</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Material U.S. Federal Income Tax Consequences to Non-U.S. Holders of our Class A Common Stock</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Underwriting</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Legal Matters</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Experts</w:t>
              </w:r>
            </w:hyperlink>
          </w:p>
        </w:tc>
        <w:tc>
          <w:tcPr>
            <w:tcW w:w="12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74">
              <w:r>
                <w:rPr>
                  <w:rFonts w:ascii="Arial" w:cs="Arial" w:eastAsia="Arial" w:hAnsi="Arial"/>
                  <w:sz w:val="18"/>
                  <w:szCs w:val="18"/>
                  <w:color w:val="0000EE"/>
                  <w:w w:val="95"/>
                </w:rPr>
                <w:t>Additional Information</w:t>
              </w:r>
            </w:hyperlink>
          </w:p>
        </w:tc>
        <w:tc>
          <w:tcPr>
            <w:tcW w:w="5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Index to Consolidated Financial Statements</w:t>
              </w:r>
            </w:hyperlink>
          </w:p>
        </w:tc>
        <w:tc>
          <w:tcPr>
            <w:tcW w:w="7500" w:type="dxa"/>
            <w:vAlign w:val="bottom"/>
            <w:gridSpan w:val="6"/>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53"/>
        </w:trPr>
        <w:tc>
          <w:tcPr>
            <w:tcW w:w="2220" w:type="dxa"/>
            <w:vAlign w:val="bottom"/>
            <w:gridSpan w:val="17"/>
          </w:tcPr>
          <w:p>
            <w:pPr>
              <w:spacing w:after="0"/>
              <w:rPr>
                <w:sz w:val="20"/>
                <w:szCs w:val="20"/>
                <w:color w:val="auto"/>
              </w:rPr>
            </w:pPr>
            <w:r>
              <w:rPr>
                <w:rFonts w:ascii="Arial" w:cs="Arial" w:eastAsia="Arial" w:hAnsi="Arial"/>
                <w:sz w:val="18"/>
                <w:szCs w:val="18"/>
                <w:b w:val="1"/>
                <w:bCs w:val="1"/>
                <w:color w:val="auto"/>
              </w:rPr>
              <w:t>Through and including</w:t>
            </w:r>
          </w:p>
        </w:tc>
        <w:tc>
          <w:tcPr>
            <w:tcW w:w="8780" w:type="dxa"/>
            <w:vAlign w:val="bottom"/>
            <w:gridSpan w:val="9"/>
          </w:tcPr>
          <w:p>
            <w:pPr>
              <w:ind w:left="640"/>
              <w:spacing w:after="0"/>
              <w:rPr>
                <w:sz w:val="20"/>
                <w:szCs w:val="20"/>
                <w:color w:val="auto"/>
              </w:rPr>
            </w:pPr>
            <w:r>
              <w:rPr>
                <w:rFonts w:ascii="Arial" w:cs="Arial" w:eastAsia="Arial" w:hAnsi="Arial"/>
                <w:sz w:val="18"/>
                <w:szCs w:val="18"/>
                <w:b w:val="1"/>
                <w:bCs w:val="1"/>
                <w:color w:val="auto"/>
                <w:w w:val="89"/>
              </w:rPr>
              <w:t>, 2021 (the 25th day after the date of this prospectus), all dealers effecting transactions in these securities,</w:t>
            </w:r>
          </w:p>
        </w:tc>
        <w:tc>
          <w:tcPr>
            <w:tcW w:w="0" w:type="dxa"/>
            <w:vAlign w:val="bottom"/>
          </w:tcPr>
          <w:p>
            <w:pPr>
              <w:spacing w:after="0"/>
              <w:rPr>
                <w:sz w:val="1"/>
                <w:szCs w:val="1"/>
                <w:color w:val="auto"/>
              </w:rPr>
            </w:pPr>
          </w:p>
        </w:tc>
      </w:tr>
    </w:tbl>
    <w:p>
      <w:pPr>
        <w:jc w:val="both"/>
        <w:ind w:left="120" w:right="2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prospects may have changed since such date.</w:t>
      </w:r>
    </w:p>
    <w:p>
      <w:pPr>
        <w:spacing w:after="0" w:line="17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244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“Marqeta,” “the company,” “we,” “us,” and “our” in this prospectus refer to Marqeta, Inc. and its consolidated subsidiary.</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receive money from your friend through Square’s Cash App, modern card issuing helps move the funds to your debit card, making it instantly available to you to make purchases.</w:t>
      </w:r>
    </w:p>
    <w:p>
      <w:pPr>
        <w:spacing w:after="0" w:line="170"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92"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575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4"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66"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w:t>
      </w:r>
      <w:r>
        <w:rPr>
          <w:rFonts w:ascii="Arial" w:cs="Arial" w:eastAsia="Arial" w:hAnsi="Arial"/>
          <w:sz w:val="14"/>
          <w:szCs w:val="14"/>
          <w:color w:val="auto"/>
        </w:rPr>
        <w:t>1</w:t>
      </w:r>
      <w:r>
        <w:rPr>
          <w:rFonts w:ascii="Arial" w:cs="Arial" w:eastAsia="Arial" w:hAnsi="Arial"/>
          <w:sz w:val="17"/>
          <w:szCs w:val="17"/>
          <w:color w:val="auto"/>
        </w:rPr>
        <w:t xml:space="preserve"> of over 200% for each of the years ended December 31, 2019 and 2020.</w:t>
      </w:r>
    </w:p>
    <w:p>
      <w:pPr>
        <w:spacing w:after="0" w:line="176" w:lineRule="exact"/>
        <w:rPr>
          <w:sz w:val="20"/>
          <w:szCs w:val="20"/>
          <w:color w:val="auto"/>
        </w:rPr>
      </w:pPr>
    </w:p>
    <w:p>
      <w:pPr>
        <w:jc w:val="both"/>
        <w:ind w:left="300"/>
        <w:spacing w:after="0" w:line="272" w:lineRule="auto"/>
        <w:rPr>
          <w:sz w:val="20"/>
          <w:szCs w:val="20"/>
          <w:color w:val="auto"/>
        </w:rPr>
      </w:pPr>
      <w:r>
        <w:rPr>
          <w:rFonts w:ascii="Arial" w:cs="Arial" w:eastAsia="Arial" w:hAnsi="Arial"/>
          <w:sz w:val="17"/>
          <w:szCs w:val="17"/>
          <w:color w:val="auto"/>
        </w:rPr>
        <w:t>In 2020, the Marqeta Platform processed $60.1 billion of total processing volume, or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in 2019,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7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We incurred net losses of $58.2 million and $47.7 million for the years ended December 31, 2019 and 2020, respectively, a decrease of 18%.</w:t>
      </w:r>
    </w:p>
    <w:p>
      <w:pPr>
        <w:spacing w:after="0" w:line="152" w:lineRule="exact"/>
        <w:rPr>
          <w:sz w:val="20"/>
          <w:szCs w:val="20"/>
          <w:color w:val="auto"/>
        </w:rPr>
      </w:pPr>
    </w:p>
    <w:p>
      <w:pPr>
        <w:jc w:val="both"/>
        <w:ind w:left="600" w:hanging="302"/>
        <w:spacing w:after="0" w:line="233" w:lineRule="auto"/>
        <w:tabs>
          <w:tab w:leader="none" w:pos="600" w:val="left"/>
        </w:tabs>
        <w:numPr>
          <w:ilvl w:val="0"/>
          <w:numId w:val="2"/>
        </w:numPr>
        <w:rPr>
          <w:rFonts w:ascii="Arial" w:cs="Arial" w:eastAsia="Arial" w:hAnsi="Arial"/>
          <w:sz w:val="12"/>
          <w:szCs w:val="12"/>
          <w:color w:val="auto"/>
        </w:rPr>
      </w:pPr>
      <w:r>
        <w:rPr>
          <w:rFonts w:ascii="Arial" w:cs="Arial" w:eastAsia="Arial" w:hAnsi="Arial"/>
          <w:sz w:val="14"/>
          <w:szCs w:val="14"/>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38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Trends in Our Favor</w:t>
      </w:r>
    </w:p>
    <w:p>
      <w:pPr>
        <w:spacing w:after="0" w:line="121"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84"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proliferation of digital commerce required consumers and businesses to become comfortable with digital payments. Two decades after PayPal transformed online payments, consumers and businesses are increasingly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764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66"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18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consuming—ultimately stifling innovation.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750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Platform and Products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Platform has a number of key attributes, including:</w:t>
      </w:r>
    </w:p>
    <w:p>
      <w:pPr>
        <w:spacing w:after="0" w:line="131" w:lineRule="exact"/>
        <w:rPr>
          <w:sz w:val="20"/>
          <w:szCs w:val="20"/>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cards. Marqeta’s intuitive and feature-rich Platform is instantly available in our testing environment so developers can build cutting-edge embedded payment capabilities.</w:t>
      </w:r>
    </w:p>
    <w:p>
      <w:pPr>
        <w:spacing w:after="0" w:line="89"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Simple: </w:t>
      </w:r>
      <w:r>
        <w:rPr>
          <w:rFonts w:ascii="Arial" w:cs="Arial" w:eastAsia="Arial" w:hAnsi="Arial"/>
          <w:sz w:val="18"/>
          <w:szCs w:val="18"/>
          <w:color w:val="auto"/>
        </w:rPr>
        <w:t>Our Platform makes payment transactions simple by working behind the scenes to translate the complex into intuitive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developer-friendly user experiences. We provide direct integrations with the Card Networks, including Visa, Mastercard, and PULSE, which is part of the Discover Global Network, enabling developers to use Marqeta’s single unified platform for all of their payments integrations.</w:t>
      </w:r>
    </w:p>
    <w:p>
      <w:pPr>
        <w:spacing w:after="0" w:line="92"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confidence. As a global platform built on a single codebase to support our Customers worldwide, we have a build-once, deploy-anywhere model, offering seamless integration with global and local Card Networks.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627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6273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020" w:right="20" w:hanging="195"/>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financing at the point-of-sale in the lending industry. Our Platform’s configurability significantly expands the categories of businesses that can begin issuing their own cards to solve complex payment needs.</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and dynamic spend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enable our Customers to operate with unmatched speed and control.</w:t>
      </w:r>
    </w:p>
    <w:p>
      <w:pPr>
        <w:spacing w:after="0" w:line="75"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Trusted: </w:t>
      </w:r>
      <w:r>
        <w:rPr>
          <w:rFonts w:ascii="Arial" w:cs="Arial" w:eastAsia="Arial" w:hAnsi="Arial"/>
          <w:sz w:val="18"/>
          <w:szCs w:val="18"/>
          <w:color w:val="auto"/>
        </w:rPr>
        <w:t>Our Platform is trusted by some of the world’s largest financial institutions and commerce disruptors to perform at scale. From</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initiation through completion, the Marqeta Platform incorporates real-time confirmation of payments to our Customers in seconds. We meet the highest standards of Payment Card Industry, or PCI, compliance and provide a trusted environment for card issuing and payment processing with security, transparency, and real-time information.</w:t>
      </w:r>
    </w:p>
    <w:p>
      <w:pPr>
        <w:spacing w:after="0" w:line="18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211" w:lineRule="exact"/>
        <w:rPr>
          <w:sz w:val="20"/>
          <w:szCs w:val="20"/>
          <w:color w:val="auto"/>
        </w:rPr>
      </w:pPr>
    </w:p>
    <w:p>
      <w:pPr>
        <w:jc w:val="both"/>
        <w:ind w:left="6160" w:hanging="179"/>
        <w:spacing w:after="0" w:line="25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Marqeta Issuing:</w:t>
      </w:r>
      <w:r>
        <w:rPr>
          <w:rFonts w:ascii="Arial" w:cs="Arial" w:eastAsia="Arial" w:hAnsi="Arial"/>
          <w:sz w:val="18"/>
          <w:szCs w:val="18"/>
          <w:color w:val="auto"/>
        </w:rPr>
        <w:t xml:space="preserve"> We enable our Customers to issue physical, virtual, and tokenized cards. With approximately 275 million cards issued through the Marqeta Platform as of December 31, 2020, across a deep and varied Customer base, we have significant industry experience supporting card programs of multiple types and sizes.</w:t>
      </w:r>
    </w:p>
    <w:p>
      <w:pPr>
        <w:spacing w:after="0" w:line="98" w:lineRule="exact"/>
        <w:rPr>
          <w:sz w:val="20"/>
          <w:szCs w:val="20"/>
          <w:color w:val="auto"/>
        </w:rPr>
      </w:pPr>
    </w:p>
    <w:p>
      <w:pPr>
        <w:jc w:val="both"/>
        <w:ind w:left="6160" w:hanging="179"/>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Marqeta Processing:</w:t>
      </w:r>
      <w:r>
        <w:rPr>
          <w:rFonts w:ascii="Arial" w:cs="Arial" w:eastAsia="Arial" w:hAnsi="Arial"/>
          <w:sz w:val="18"/>
          <w:szCs w:val="18"/>
          <w:color w:val="auto"/>
        </w:rPr>
        <w:t xml:space="preserve"> Our Platform can process transactions with control and speed for our Customers, leveraging certain of our core competencies.</w:t>
      </w:r>
    </w:p>
    <w:p>
      <w:pPr>
        <w:spacing w:after="0" w:line="89" w:lineRule="exact"/>
        <w:rPr>
          <w:sz w:val="20"/>
          <w:szCs w:val="20"/>
          <w:color w:val="auto"/>
        </w:rPr>
      </w:pPr>
    </w:p>
    <w:p>
      <w:pPr>
        <w:jc w:val="both"/>
        <w:ind w:left="6160" w:hanging="179"/>
        <w:spacing w:after="0" w:line="29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Marqeta Applications:</w:t>
      </w:r>
      <w:r>
        <w:rPr>
          <w:rFonts w:ascii="Arial" w:cs="Arial" w:eastAsia="Arial" w:hAnsi="Arial"/>
          <w:sz w:val="16"/>
          <w:szCs w:val="16"/>
          <w:color w:val="auto"/>
        </w:rPr>
        <w:t xml:space="preserve"> Using the Marqeta Platform, Customers can leverage applications that cover the entire payments lifecycle, including the developer sandbox, card management, transaction monitoring, and case management. These applications help ensure their programs are as successful as possible.</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2</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55" w:lineRule="exact"/>
        <w:rPr>
          <w:sz w:val="20"/>
          <w:szCs w:val="20"/>
          <w:color w:val="auto"/>
        </w:rPr>
      </w:pPr>
    </w:p>
    <w:p>
      <w:pPr>
        <w:ind w:left="600" w:hanging="302"/>
        <w:spacing w:after="0"/>
        <w:tabs>
          <w:tab w:leader="none" w:pos="600" w:val="left"/>
        </w:tabs>
        <w:numPr>
          <w:ilvl w:val="0"/>
          <w:numId w:val="5"/>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901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9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strong brand recognition and capture significant market share in an industry where customer retention is key and innovation can provide outsized rewards. We believe being first in the market and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b w:val="1"/>
          <w:bCs w:val="1"/>
          <w:i w:val="1"/>
          <w:iCs w:val="1"/>
          <w:color w:val="auto"/>
        </w:rPr>
        <w:t xml:space="preserve">Widening the Gap via Continuous Innovation: </w:t>
      </w:r>
      <w:r>
        <w:rPr>
          <w:rFonts w:ascii="Arial" w:cs="Arial" w:eastAsia="Arial" w:hAnsi="Arial"/>
          <w:sz w:val="16"/>
          <w:szCs w:val="16"/>
          <w:color w:val="auto"/>
        </w:rPr>
        <w:t>We believe that we continually increase our market-leading position by innovating on our flexible,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software development kits, or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5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b w:val="1"/>
          <w:bCs w:val="1"/>
          <w:i w:val="1"/>
          <w:iCs w:val="1"/>
          <w:color w:val="auto"/>
        </w:rPr>
        <w:t xml:space="preserve">Enduring Customer Relationships: </w:t>
      </w:r>
      <w:r>
        <w:rPr>
          <w:rFonts w:ascii="Arial" w:cs="Arial" w:eastAsia="Arial" w:hAnsi="Arial"/>
          <w:sz w:val="17"/>
          <w:szCs w:val="17"/>
          <w:color w:val="auto"/>
        </w:rPr>
        <w:t>Our dollar-based net revenue retention was over 200% for each of the years ended December 31, 2019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2020, 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7"/>
          <w:szCs w:val="17"/>
          <w:i w:val="1"/>
          <w:iCs w:val="1"/>
          <w:color w:val="auto"/>
        </w:rPr>
        <w:t>technically</w:t>
      </w:r>
      <w:r>
        <w:rPr>
          <w:rFonts w:ascii="Arial" w:cs="Arial" w:eastAsia="Arial" w:hAnsi="Arial"/>
          <w:sz w:val="17"/>
          <w:szCs w:val="17"/>
          <w:color w:val="auto"/>
        </w:rPr>
        <w:t xml:space="preserve"> integrated within their products and solutions, </w:t>
      </w:r>
      <w:r>
        <w:rPr>
          <w:rFonts w:ascii="Arial" w:cs="Arial" w:eastAsia="Arial" w:hAnsi="Arial"/>
          <w:sz w:val="17"/>
          <w:szCs w:val="17"/>
          <w:i w:val="1"/>
          <w:iCs w:val="1"/>
          <w:color w:val="auto"/>
        </w:rPr>
        <w:t>operationally</w:t>
      </w:r>
      <w:r>
        <w:rPr>
          <w:rFonts w:ascii="Arial" w:cs="Arial" w:eastAsia="Arial" w:hAnsi="Arial"/>
          <w:sz w:val="17"/>
          <w:szCs w:val="17"/>
          <w:color w:val="auto"/>
        </w:rPr>
        <w:t xml:space="preserve"> integrated as Customers develop core processes around our tools and platform, and </w:t>
      </w:r>
      <w:r>
        <w:rPr>
          <w:rFonts w:ascii="Arial" w:cs="Arial" w:eastAsia="Arial" w:hAnsi="Arial"/>
          <w:sz w:val="17"/>
          <w:szCs w:val="17"/>
          <w:i w:val="1"/>
          <w:iCs w:val="1"/>
          <w:color w:val="auto"/>
        </w:rPr>
        <w:t>culturally</w:t>
      </w:r>
      <w:r>
        <w:rPr>
          <w:rFonts w:ascii="Arial" w:cs="Arial" w:eastAsia="Arial" w:hAnsi="Arial"/>
          <w:sz w:val="17"/>
          <w:szCs w:val="17"/>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7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b w:val="1"/>
          <w:bCs w:val="1"/>
          <w:i w:val="1"/>
          <w:iCs w:val="1"/>
          <w:color w:val="auto"/>
        </w:rPr>
        <w:t xml:space="preserve">People-centric Culture and Values: </w:t>
      </w:r>
      <w:r>
        <w:rPr>
          <w:rFonts w:ascii="Arial" w:cs="Arial" w:eastAsia="Arial" w:hAnsi="Arial"/>
          <w:sz w:val="18"/>
          <w:szCs w:val="18"/>
          <w:color w:val="auto"/>
        </w:rPr>
        <w:t>Nothing is more powerful than a unified team focused on collective results. We believe our culture of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36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also believe our culture helps us hire and retain best-in-class talent. We believe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created an environment where everyone belongs, and employees are empowered to do the best work of their lives.</w:t>
      </w:r>
    </w:p>
    <w:p>
      <w:pPr>
        <w:spacing w:after="0" w:line="170"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aggregate effect of these strengths and advantages is a strong competitive moat, predicated on our scale, Customer relationships, and the technological complexities that we have managed to streamline over time, while remaining agile, extensible, and innovative.</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left="300"/>
        <w:spacing w:after="0" w:line="273" w:lineRule="auto"/>
        <w:rPr>
          <w:sz w:val="20"/>
          <w:szCs w:val="20"/>
          <w:color w:val="auto"/>
        </w:rPr>
      </w:pPr>
      <w:r>
        <w:rPr>
          <w:rFonts w:ascii="Arial" w:cs="Arial" w:eastAsia="Arial" w:hAnsi="Arial"/>
          <w:sz w:val="17"/>
          <w:szCs w:val="17"/>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178"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payments volume, according to The Nilson Report. Our Platform is sought out by large financial institutions to improve their existing offerings and stay competitive with digitally native new market entrants.</w:t>
      </w: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market opportunity is tremendous, and we intend to expand our addressable market and increase our revenue by pursuing the following strategies:</w:t>
      </w:r>
    </w:p>
    <w:p>
      <w:pPr>
        <w:spacing w:after="0" w:line="76" w:lineRule="exact"/>
        <w:rPr>
          <w:sz w:val="20"/>
          <w:szCs w:val="20"/>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 With Our Existing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New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 Our Global Reach</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New Products and Services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Platform</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 In Our People</w:t>
      </w: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Culture &amp; Values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733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These risks include, but are not limited to, the following:</w:t>
      </w:r>
    </w:p>
    <w:p>
      <w:pPr>
        <w:spacing w:after="0" w:line="76" w:lineRule="exact"/>
        <w:rPr>
          <w:sz w:val="20"/>
          <w:szCs w:val="20"/>
          <w:color w:val="auto"/>
        </w:rPr>
      </w:pPr>
    </w:p>
    <w:p>
      <w:pPr>
        <w:ind w:left="10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TPV on our Platform, and attract new Customers in a cost-effective manner.</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our largest Customer, Square, Inc., or Square, and the loss or decline in net revenue from Square could adversely affect our business, results of operations, and financial condition.</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and maintain profitability.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287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global COVID-19 pandemic could adversely affect our business, results of operations, and financial condition.</w:t>
      </w:r>
    </w:p>
    <w:p>
      <w:pPr>
        <w:spacing w:after="0" w:line="130"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89" w:lineRule="exact"/>
        <w:rPr>
          <w:rFonts w:ascii="Arial" w:cs="Arial" w:eastAsia="Arial" w:hAnsi="Arial"/>
          <w:sz w:val="18"/>
          <w:szCs w:val="18"/>
          <w:color w:val="auto"/>
        </w:rPr>
      </w:pPr>
    </w:p>
    <w:p>
      <w:pPr>
        <w:jc w:val="both"/>
        <w:ind w:left="1020" w:hanging="195"/>
        <w:spacing w:after="0" w:line="25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18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harmed.</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blog posts on our website, press releases, public conference calls, webcasts, our twitter feed (@Marqeta), our Instagram page (@lifeatmarqeta), our Facebook page, and our LinkedIn page.</w:t>
      </w:r>
    </w:p>
    <w:p>
      <w:pPr>
        <w:spacing w:after="0" w:line="184"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Any updates to the list of disclosure channels through which we will announce information will be posted on the investor relations page on our website. Information contained on or accessible through our website is not incorporated by reference into this prospectus, and inclusion of our website address in this prospectus is an inactive textual reference only. You should not consider information contained on our website to be part of this prospectus or in deciding whether to purchase shares of our Class A common stock.</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were incorporated in 2010 under the name Marqeta, Inc. as a Delaware corporation. Our principal executive offices are located at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 and our telephone number is (888) 462-7738. Our website address is www.marqeta.com. Information contained on or that can be accessed through our website does not constitute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411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4118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“Marqeta” is our registered trademark in the United States, Canada, the European Union, the United Kingdom, and Norway. Other trademarks and trade names referred to in this prospectus are the property of their respective owners.</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have elected to take advantage of certain exemptions from various public reporting requirements, including the requirement that our internal control over financial reporting be audited by our independent registered public accounting firm pursuant to Section 404 of the Sarbanes-Oxley Act of 2002, or the Sarbanes Oxley Act, certain requirements related to the disclosure of executive compensation in this prospectus and in our periodic reports and proxy statements, and the requirement that we hold a nonbinding advisory vote on executive compensation and any golden parachute payments. We may take advantage of these exemptions until we are no longer an emerging growth company.</w:t>
      </w:r>
    </w:p>
    <w:p>
      <w:pPr>
        <w:spacing w:after="0" w:line="178"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8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781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Option to purchase additional shares of Class A common stock from us</w:t>
      </w:r>
      <w:r>
        <w:rPr>
          <w:sz w:val="20"/>
          <w:szCs w:val="20"/>
          <w:color w:val="auto"/>
        </w:rPr>
        <w:tab/>
      </w:r>
      <w:r>
        <w:rPr>
          <w:rFonts w:ascii="Arial" w:cs="Arial" w:eastAsia="Arial" w:hAnsi="Arial"/>
          <w:sz w:val="16"/>
          <w:szCs w:val="16"/>
          <w:color w:val="auto"/>
        </w:rPr>
        <w:t>We have granted the underwriters an option, exercisable for 30 days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after the date of this prospectus, to purchase up to an additional</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shares from us.</w:t>
      </w:r>
    </w:p>
    <w:p>
      <w:pPr>
        <w:sectPr>
          <w:pgSz w:w="11900" w:h="16838" w:orient="portrait"/>
          <w:cols w:equalWidth="0" w:num="1">
            <w:col w:w="10940"/>
          </w:cols>
          <w:pgMar w:left="320" w:top="459" w:right="639" w:bottom="1440" w:gutter="0" w:footer="0" w:header="0"/>
        </w:sectPr>
      </w:pPr>
    </w:p>
    <w:p>
      <w:pPr>
        <w:spacing w:after="0" w:line="238" w:lineRule="exact"/>
        <w:rPr>
          <w:sz w:val="20"/>
          <w:szCs w:val="20"/>
          <w:color w:val="auto"/>
        </w:rPr>
      </w:pPr>
    </w:p>
    <w:p>
      <w:pPr>
        <w:ind w:left="400" w:hanging="107"/>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firstLine="829"/>
        <w:spacing w:after="0" w:line="277" w:lineRule="auto"/>
        <w:rPr>
          <w:sz w:val="20"/>
          <w:szCs w:val="20"/>
          <w:color w:val="auto"/>
        </w:rPr>
      </w:pPr>
      <w:r>
        <w:rPr>
          <w:rFonts w:ascii="Arial" w:cs="Arial" w:eastAsia="Arial" w:hAnsi="Arial"/>
          <w:sz w:val="18"/>
          <w:szCs w:val="18"/>
          <w:color w:val="auto"/>
        </w:rPr>
        <w:t>shares (or shares if the underwriters’ option to purchase additional shares in this offering is exercised in full).</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estimate that the net proceeds from the sale of shares of our Class A common stock that we are</w:t>
      </w:r>
    </w:p>
    <w:p>
      <w:pPr>
        <w:spacing w:after="0" w:line="2"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selling in this offering will be approximately $</w:t>
      </w:r>
      <w:r>
        <w:rPr>
          <w:sz w:val="20"/>
          <w:szCs w:val="20"/>
          <w:color w:val="auto"/>
        </w:rPr>
        <w:tab/>
      </w:r>
      <w:r>
        <w:rPr>
          <w:rFonts w:ascii="Arial" w:cs="Arial" w:eastAsia="Arial" w:hAnsi="Arial"/>
          <w:sz w:val="18"/>
          <w:szCs w:val="18"/>
          <w:color w:val="auto"/>
        </w:rPr>
        <w:t>million (or</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if the underwriters’ option to purchase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in this offering is exercised in full), based upon an</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currently intend to use the net proceeds of this offering for working capital, other general corporate purposes, and to fund our growth strategies discussed in this prospectus. We may use some of the net proceeds to satisfy tax withholding obligations related to the vesting and settlement of restricted stock units, or RSUs. We may also use a portion of the net proceeds to acquire or invest in complementary businesses, products, services, technologies, or other assets. We do not, however, have agreements or commitments to enter into any acquisitions or investments at this time. See the section titled “Use of Proceeds” for additional information.</w:t>
      </w:r>
    </w:p>
    <w:p>
      <w:pPr>
        <w:spacing w:after="0" w:line="200" w:lineRule="exact"/>
        <w:rPr>
          <w:sz w:val="20"/>
          <w:szCs w:val="20"/>
          <w:color w:val="auto"/>
        </w:rPr>
      </w:pPr>
    </w:p>
    <w:p>
      <w:pPr>
        <w:sectPr>
          <w:pgSz w:w="11900" w:h="16838" w:orient="portrait"/>
          <w:cols w:equalWidth="0" w:num="2">
            <w:col w:w="5820" w:space="0"/>
            <w:col w:w="5120"/>
          </w:cols>
          <w:pgMar w:left="320" w:top="459" w:right="639" w:bottom="1440" w:gutter="0" w:footer="0" w:header="0"/>
          <w:type w:val="continuous"/>
        </w:sect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40"/>
          </w:cols>
          <w:pgMar w:left="320" w:top="459" w:right="6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756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Voting rights</w:t>
            </w: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5"/>
              </w:rPr>
              <w:t>We will have two classes of common stock: Class A common stock</w:t>
            </w:r>
          </w:p>
        </w:tc>
      </w:tr>
      <w:tr>
        <w:trPr>
          <w:trHeight w:val="230"/>
        </w:trPr>
        <w:tc>
          <w:tcPr>
            <w:tcW w:w="4740" w:type="dxa"/>
            <w:vAlign w:val="bottom"/>
          </w:tcPr>
          <w:p>
            <w:pPr>
              <w:spacing w:after="0"/>
              <w:rPr>
                <w:sz w:val="20"/>
                <w:szCs w:val="20"/>
                <w:color w:val="auto"/>
              </w:rPr>
            </w:pPr>
          </w:p>
        </w:tc>
        <w:tc>
          <w:tcPr>
            <w:tcW w:w="3100" w:type="dxa"/>
            <w:vAlign w:val="bottom"/>
            <w:gridSpan w:val="2"/>
          </w:tcPr>
          <w:p>
            <w:pPr>
              <w:ind w:left="780"/>
              <w:spacing w:after="0"/>
              <w:rPr>
                <w:sz w:val="20"/>
                <w:szCs w:val="20"/>
                <w:color w:val="auto"/>
              </w:rPr>
            </w:pPr>
            <w:r>
              <w:rPr>
                <w:rFonts w:ascii="Arial" w:cs="Arial" w:eastAsia="Arial" w:hAnsi="Arial"/>
                <w:sz w:val="18"/>
                <w:szCs w:val="18"/>
                <w:color w:val="auto"/>
              </w:rPr>
              <w:t>and Class B common stock.</w:t>
            </w: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4740" w:type="dxa"/>
            <w:vAlign w:val="bottom"/>
          </w:tcPr>
          <w:p>
            <w:pPr>
              <w:spacing w:after="0"/>
              <w:rPr>
                <w:sz w:val="24"/>
                <w:szCs w:val="24"/>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89"/>
              </w:rPr>
              <w:t>Shares of our Class A common stock are entitled to one vote per share.</w:t>
            </w:r>
          </w:p>
        </w:tc>
      </w:tr>
      <w:tr>
        <w:trPr>
          <w:trHeight w:val="459"/>
        </w:trPr>
        <w:tc>
          <w:tcPr>
            <w:tcW w:w="4740" w:type="dxa"/>
            <w:vAlign w:val="bottom"/>
          </w:tcPr>
          <w:p>
            <w:pPr>
              <w:spacing w:after="0"/>
              <w:rPr>
                <w:sz w:val="24"/>
                <w:szCs w:val="24"/>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89"/>
              </w:rPr>
              <w:t>Shares of our Class B common stock are entitled to 10 votes per share.</w:t>
            </w:r>
          </w:p>
        </w:tc>
      </w:tr>
      <w:tr>
        <w:trPr>
          <w:trHeight w:val="445"/>
        </w:trPr>
        <w:tc>
          <w:tcPr>
            <w:tcW w:w="4740" w:type="dxa"/>
            <w:vAlign w:val="bottom"/>
          </w:tcPr>
          <w:p>
            <w:pPr>
              <w:spacing w:after="0"/>
              <w:rPr>
                <w:sz w:val="24"/>
                <w:szCs w:val="24"/>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2"/>
              </w:rPr>
              <w:t>Holders of our Class A common stock and Class B common stock will</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1"/>
              </w:rPr>
              <w:t>generally vote together as a single class, unless otherwise required by</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4"/>
              </w:rPr>
              <w:t>law or our amended and restated certificate of incorporation that will</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rPr>
              <w:t>be in effect on the completion of this offering. The holders of our</w:t>
            </w:r>
          </w:p>
        </w:tc>
      </w:tr>
      <w:tr>
        <w:trPr>
          <w:trHeight w:val="216"/>
        </w:trPr>
        <w:tc>
          <w:tcPr>
            <w:tcW w:w="4740" w:type="dxa"/>
            <w:vAlign w:val="bottom"/>
          </w:tcPr>
          <w:p>
            <w:pPr>
              <w:spacing w:after="0"/>
              <w:rPr>
                <w:sz w:val="18"/>
                <w:szCs w:val="18"/>
                <w:color w:val="auto"/>
              </w:rPr>
            </w:pPr>
          </w:p>
        </w:tc>
        <w:tc>
          <w:tcPr>
            <w:tcW w:w="5340" w:type="dxa"/>
            <w:vAlign w:val="bottom"/>
            <w:gridSpan w:val="3"/>
          </w:tcPr>
          <w:p>
            <w:pPr>
              <w:ind w:left="780"/>
              <w:spacing w:after="0"/>
              <w:rPr>
                <w:sz w:val="20"/>
                <w:szCs w:val="20"/>
                <w:color w:val="auto"/>
              </w:rPr>
            </w:pPr>
            <w:r>
              <w:rPr>
                <w:rFonts w:ascii="Arial" w:cs="Arial" w:eastAsia="Arial" w:hAnsi="Arial"/>
                <w:sz w:val="18"/>
                <w:szCs w:val="18"/>
                <w:color w:val="auto"/>
                <w:w w:val="97"/>
              </w:rPr>
              <w:t>outstanding Class B common stock will hold approximately</w:t>
            </w:r>
          </w:p>
        </w:tc>
        <w:tc>
          <w:tcPr>
            <w:tcW w:w="560" w:type="dxa"/>
            <w:vAlign w:val="bottom"/>
          </w:tcPr>
          <w:p>
            <w:pPr>
              <w:jc w:val="right"/>
              <w:spacing w:after="0"/>
              <w:rPr>
                <w:sz w:val="20"/>
                <w:szCs w:val="20"/>
                <w:color w:val="auto"/>
              </w:rPr>
            </w:pPr>
            <w:r>
              <w:rPr>
                <w:rFonts w:ascii="Arial" w:cs="Arial" w:eastAsia="Arial" w:hAnsi="Arial"/>
                <w:sz w:val="18"/>
                <w:szCs w:val="18"/>
                <w:color w:val="auto"/>
              </w:rPr>
              <w:t>% of</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rPr>
              <w:t>the voting power of our outstanding capital stock following the</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rPr>
              <w:t>completion of this offering and will have the ability to control the</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4"/>
              </w:rPr>
              <w:t>outcome  of  matters  submitted  to  our  stockholders  for  approval,</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2"/>
              </w:rPr>
              <w:t>including the election of our directors and the approval of any change</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3"/>
              </w:rPr>
              <w:t>in control transaction. See the sections titled “Principal Stockholders”</w:t>
            </w:r>
          </w:p>
        </w:tc>
      </w:tr>
      <w:tr>
        <w:trPr>
          <w:trHeight w:val="230"/>
        </w:trPr>
        <w:tc>
          <w:tcPr>
            <w:tcW w:w="4740" w:type="dxa"/>
            <w:vAlign w:val="bottom"/>
          </w:tcPr>
          <w:p>
            <w:pPr>
              <w:spacing w:after="0"/>
              <w:rPr>
                <w:sz w:val="20"/>
                <w:szCs w:val="20"/>
                <w:color w:val="auto"/>
              </w:rPr>
            </w:pPr>
          </w:p>
        </w:tc>
        <w:tc>
          <w:tcPr>
            <w:tcW w:w="5340" w:type="dxa"/>
            <w:vAlign w:val="bottom"/>
            <w:gridSpan w:val="3"/>
          </w:tcPr>
          <w:p>
            <w:pPr>
              <w:ind w:left="780"/>
              <w:spacing w:after="0"/>
              <w:rPr>
                <w:sz w:val="20"/>
                <w:szCs w:val="20"/>
                <w:color w:val="auto"/>
              </w:rPr>
            </w:pPr>
            <w:r>
              <w:rPr>
                <w:rFonts w:ascii="Arial" w:cs="Arial" w:eastAsia="Arial" w:hAnsi="Arial"/>
                <w:sz w:val="18"/>
                <w:szCs w:val="18"/>
                <w:color w:val="auto"/>
                <w:w w:val="95"/>
              </w:rPr>
              <w:t>and “Description of Capital Stock” for additional information.</w:t>
            </w:r>
          </w:p>
        </w:tc>
        <w:tc>
          <w:tcPr>
            <w:tcW w:w="560" w:type="dxa"/>
            <w:vAlign w:val="bottom"/>
          </w:tcPr>
          <w:p>
            <w:pPr>
              <w:spacing w:after="0"/>
              <w:rPr>
                <w:sz w:val="20"/>
                <w:szCs w:val="20"/>
                <w:color w:val="auto"/>
              </w:rPr>
            </w:pPr>
          </w:p>
        </w:tc>
      </w:tr>
      <w:tr>
        <w:trPr>
          <w:trHeight w:val="445"/>
        </w:trPr>
        <w:tc>
          <w:tcPr>
            <w:tcW w:w="4740" w:type="dxa"/>
            <w:vAlign w:val="bottom"/>
          </w:tcPr>
          <w:p>
            <w:pPr>
              <w:spacing w:after="0"/>
              <w:rPr>
                <w:sz w:val="20"/>
                <w:szCs w:val="20"/>
                <w:color w:val="auto"/>
              </w:rPr>
            </w:pPr>
            <w:r>
              <w:rPr>
                <w:rFonts w:ascii="Arial" w:cs="Arial" w:eastAsia="Arial" w:hAnsi="Arial"/>
                <w:sz w:val="18"/>
                <w:szCs w:val="18"/>
                <w:color w:val="auto"/>
              </w:rPr>
              <w:t>Concentration of ownership</w:t>
            </w: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rPr>
              <w:t>Upon the completion of this offering, our executive officers and</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5"/>
              </w:rPr>
              <w:t>directors, and their affiliates, will beneficially own, in the aggregate,</w:t>
            </w:r>
          </w:p>
        </w:tc>
      </w:tr>
      <w:tr>
        <w:trPr>
          <w:trHeight w:val="216"/>
        </w:trPr>
        <w:tc>
          <w:tcPr>
            <w:tcW w:w="4740" w:type="dxa"/>
            <w:vAlign w:val="bottom"/>
          </w:tcPr>
          <w:p>
            <w:pPr>
              <w:spacing w:after="0"/>
              <w:rPr>
                <w:sz w:val="18"/>
                <w:szCs w:val="18"/>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approximately</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 of our outstanding shares of common stock,</w:t>
            </w:r>
          </w:p>
        </w:tc>
      </w:tr>
      <w:tr>
        <w:trPr>
          <w:trHeight w:val="216"/>
        </w:trPr>
        <w:tc>
          <w:tcPr>
            <w:tcW w:w="4740" w:type="dxa"/>
            <w:vAlign w:val="bottom"/>
          </w:tcPr>
          <w:p>
            <w:pPr>
              <w:spacing w:after="0"/>
              <w:rPr>
                <w:sz w:val="18"/>
                <w:szCs w:val="18"/>
                <w:color w:val="auto"/>
              </w:rPr>
            </w:pPr>
          </w:p>
        </w:tc>
        <w:tc>
          <w:tcPr>
            <w:tcW w:w="3100" w:type="dxa"/>
            <w:vAlign w:val="bottom"/>
            <w:gridSpan w:val="2"/>
          </w:tcPr>
          <w:p>
            <w:pPr>
              <w:ind w:left="780"/>
              <w:spacing w:after="0"/>
              <w:rPr>
                <w:sz w:val="20"/>
                <w:szCs w:val="20"/>
                <w:color w:val="auto"/>
              </w:rPr>
            </w:pPr>
            <w:r>
              <w:rPr>
                <w:rFonts w:ascii="Arial" w:cs="Arial" w:eastAsia="Arial" w:hAnsi="Arial"/>
                <w:sz w:val="18"/>
                <w:szCs w:val="18"/>
                <w:color w:val="auto"/>
              </w:rPr>
              <w:t>representing  approximately</w:t>
            </w:r>
          </w:p>
        </w:tc>
        <w:tc>
          <w:tcPr>
            <w:tcW w:w="2240" w:type="dxa"/>
            <w:vAlign w:val="bottom"/>
          </w:tcPr>
          <w:p>
            <w:pPr>
              <w:ind w:left="300"/>
              <w:spacing w:after="0"/>
              <w:rPr>
                <w:sz w:val="20"/>
                <w:szCs w:val="20"/>
                <w:color w:val="auto"/>
              </w:rPr>
            </w:pPr>
            <w:r>
              <w:rPr>
                <w:rFonts w:ascii="Arial" w:cs="Arial" w:eastAsia="Arial" w:hAnsi="Arial"/>
                <w:sz w:val="18"/>
                <w:szCs w:val="18"/>
                <w:color w:val="auto"/>
                <w:w w:val="99"/>
              </w:rPr>
              <w:t>%  of  the  voting  power</w:t>
            </w:r>
          </w:p>
        </w:tc>
        <w:tc>
          <w:tcPr>
            <w:tcW w:w="560" w:type="dxa"/>
            <w:vAlign w:val="bottom"/>
          </w:tcPr>
          <w:p>
            <w:pPr>
              <w:jc w:val="right"/>
              <w:spacing w:after="0"/>
              <w:rPr>
                <w:sz w:val="20"/>
                <w:szCs w:val="20"/>
                <w:color w:val="auto"/>
              </w:rPr>
            </w:pPr>
            <w:r>
              <w:rPr>
                <w:rFonts w:ascii="Arial" w:cs="Arial" w:eastAsia="Arial" w:hAnsi="Arial"/>
                <w:sz w:val="18"/>
                <w:szCs w:val="18"/>
                <w:color w:val="auto"/>
              </w:rPr>
              <w:t>of  our</w:t>
            </w:r>
          </w:p>
        </w:tc>
      </w:tr>
      <w:tr>
        <w:trPr>
          <w:trHeight w:val="230"/>
        </w:trPr>
        <w:tc>
          <w:tcPr>
            <w:tcW w:w="4740" w:type="dxa"/>
            <w:vAlign w:val="bottom"/>
          </w:tcPr>
          <w:p>
            <w:pPr>
              <w:spacing w:after="0"/>
              <w:rPr>
                <w:sz w:val="20"/>
                <w:szCs w:val="20"/>
                <w:color w:val="auto"/>
              </w:rPr>
            </w:pPr>
          </w:p>
        </w:tc>
        <w:tc>
          <w:tcPr>
            <w:tcW w:w="5340" w:type="dxa"/>
            <w:vAlign w:val="bottom"/>
            <w:gridSpan w:val="3"/>
          </w:tcPr>
          <w:p>
            <w:pPr>
              <w:ind w:left="780"/>
              <w:spacing w:after="0"/>
              <w:rPr>
                <w:sz w:val="20"/>
                <w:szCs w:val="20"/>
                <w:color w:val="auto"/>
              </w:rPr>
            </w:pPr>
            <w:r>
              <w:rPr>
                <w:rFonts w:ascii="Arial" w:cs="Arial" w:eastAsia="Arial" w:hAnsi="Arial"/>
                <w:sz w:val="18"/>
                <w:szCs w:val="18"/>
                <w:color w:val="auto"/>
              </w:rPr>
              <w:t>outstanding shares of common stock.</w:t>
            </w:r>
          </w:p>
        </w:tc>
        <w:tc>
          <w:tcPr>
            <w:tcW w:w="560" w:type="dxa"/>
            <w:vAlign w:val="bottom"/>
          </w:tcPr>
          <w:p>
            <w:pPr>
              <w:spacing w:after="0"/>
              <w:rPr>
                <w:sz w:val="20"/>
                <w:szCs w:val="20"/>
                <w:color w:val="auto"/>
              </w:rPr>
            </w:pPr>
          </w:p>
        </w:tc>
      </w:tr>
      <w:tr>
        <w:trPr>
          <w:trHeight w:val="445"/>
        </w:trPr>
        <w:tc>
          <w:tcPr>
            <w:tcW w:w="4740" w:type="dxa"/>
            <w:vAlign w:val="bottom"/>
          </w:tcPr>
          <w:p>
            <w:pPr>
              <w:spacing w:after="0"/>
              <w:rPr>
                <w:sz w:val="20"/>
                <w:szCs w:val="20"/>
                <w:color w:val="auto"/>
              </w:rPr>
            </w:pPr>
            <w:r>
              <w:rPr>
                <w:rFonts w:ascii="Arial" w:cs="Arial" w:eastAsia="Arial" w:hAnsi="Arial"/>
                <w:sz w:val="18"/>
                <w:szCs w:val="18"/>
                <w:color w:val="auto"/>
              </w:rPr>
              <w:t>Risk factors</w:t>
            </w: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6"/>
              </w:rPr>
              <w:t>See the section titled “Risk Factors” for a discussion of factors you</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8"/>
              </w:rPr>
              <w:t>should carefully consider before deciding to invest in our Class A</w:t>
            </w:r>
          </w:p>
        </w:tc>
      </w:tr>
      <w:tr>
        <w:trPr>
          <w:trHeight w:val="230"/>
        </w:trPr>
        <w:tc>
          <w:tcPr>
            <w:tcW w:w="4740" w:type="dxa"/>
            <w:vAlign w:val="bottom"/>
          </w:tcPr>
          <w:p>
            <w:pPr>
              <w:spacing w:after="0"/>
              <w:rPr>
                <w:sz w:val="20"/>
                <w:szCs w:val="20"/>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Proposed Nasdaq Global Select Market trading symbol</w:t>
            </w:r>
          </w:p>
        </w:tc>
        <w:tc>
          <w:tcPr>
            <w:tcW w:w="2060" w:type="dxa"/>
            <w:vAlign w:val="bottom"/>
          </w:tcPr>
          <w:p>
            <w:pPr>
              <w:ind w:left="780"/>
              <w:spacing w:after="0"/>
              <w:rPr>
                <w:sz w:val="20"/>
                <w:szCs w:val="20"/>
                <w:color w:val="auto"/>
              </w:rPr>
            </w:pPr>
            <w:r>
              <w:rPr>
                <w:rFonts w:ascii="Arial" w:cs="Arial" w:eastAsia="Arial" w:hAnsi="Arial"/>
                <w:sz w:val="18"/>
                <w:szCs w:val="18"/>
                <w:color w:val="auto"/>
              </w:rPr>
              <w:t>“MQ.”</w:t>
            </w:r>
          </w:p>
        </w:tc>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15"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no shares of our Class A common stock and 482,157,178 shares of our Class B common stock outstanding including our redeemable convertible preferred stock on as-converted basis as of December 31, 2020, and excludes:</w:t>
      </w:r>
    </w:p>
    <w:p>
      <w:pPr>
        <w:spacing w:after="0" w:line="89" w:lineRule="exact"/>
        <w:rPr>
          <w:sz w:val="20"/>
          <w:szCs w:val="20"/>
          <w:color w:val="auto"/>
        </w:rPr>
      </w:pPr>
    </w:p>
    <w:p>
      <w:pPr>
        <w:ind w:left="1020" w:right="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23,421,374 shares of our Class B common stock issuable upon the exercise of options to purchase shares of our Class B common stock that were outstanding as of December 31, 2020, with a weighted-average exercise price of $1.35 per share;</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4,430,336 RSUs for shares of our Class B common stock that are issuable upon satisfaction of both service and liquidity conditions outstanding as of December 31, 2020, for which the liquidity condition was not yet satisfied as of December 31, 2020;</w:t>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278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25,480,169 shares of our Class B common stock issuable upon the exercise of options to purchase common stock granted after December 31, 2020, with a weighted-average exercise price of $19.753 per share;</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2,121,593 RSUs for shares of our Class B common stock that are issuable upon satisfaction of both service and liquidity conditions that were granted after December 31, 2020;</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198,163 RSUs for shares of our Class B common stock that are issuable upon satisfaction of only service conditions that were granted after December 31, 2020;</w:t>
      </w:r>
    </w:p>
    <w:p>
      <w:pPr>
        <w:spacing w:after="0" w:line="75" w:lineRule="exact"/>
        <w:rPr>
          <w:rFonts w:ascii="Arial" w:cs="Arial" w:eastAsia="Arial" w:hAnsi="Arial"/>
          <w:sz w:val="18"/>
          <w:szCs w:val="18"/>
          <w:color w:val="auto"/>
        </w:rPr>
      </w:pPr>
    </w:p>
    <w:p>
      <w:pPr>
        <w:ind w:left="1020" w:right="20" w:hanging="195"/>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203,610 shares of Class B common stock issuable upon the exercise of redeemable convertible preferred stock warrants held by Comerica Ventures Incorporated, outstanding as of December 31, 2020, with a weighted-average exercise price of $0.295 per share;</w:t>
      </w:r>
    </w:p>
    <w:p>
      <w:pPr>
        <w:spacing w:after="0" w:line="29" w:lineRule="exact"/>
        <w:rPr>
          <w:rFonts w:ascii="Arial" w:cs="Arial" w:eastAsia="Arial" w:hAnsi="Arial"/>
          <w:sz w:val="16"/>
          <w:szCs w:val="16"/>
          <w:color w:val="auto"/>
        </w:rPr>
      </w:pPr>
    </w:p>
    <w:p>
      <w:pPr>
        <w:ind w:left="10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December 31, 2020, with a weighted-average exercise price of $0.053 per share;</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1020" w:hanging="195"/>
        <w:spacing w:after="0" w:line="25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Technologies, Inc., or Uber, dated September 15, 2020, with an exercise price of $0.01 per share, 22,500 of which are currently exercisable and 727,500 of which are exercisable upon attaining certain milestones over a five-year period, including the launch of certain Uber card programs on our Platform, achievement of annual transaction count thresholds and completion of certain joint marketing activities, or the Uber Warrant Milestones;</w:t>
      </w:r>
    </w:p>
    <w:p>
      <w:pPr>
        <w:spacing w:after="0" w:line="93"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certain milestones relating to Square’s creation of a specified percentage of new cardholders on our Platform each year over a three-year period, or the Square Warrant Milestones;</w:t>
      </w:r>
    </w:p>
    <w:p>
      <w:pPr>
        <w:spacing w:after="0" w:line="92"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Business Corporation, or Ramp, dated March 31, 2021, with an exercise price of $0.01 per share, none of which are currently exercisable and all of which are exercisable upon attaining certain milestones relating to Ramp’s creation of a specified percentage of new cardholders on our Platform each year over a three-year period, or the Ramp Warrant Milestones;</w:t>
      </w:r>
    </w:p>
    <w:p>
      <w:pPr>
        <w:spacing w:after="0" w:line="92"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5,335,253 shares of our Class B common stock reserved for future issuance pursuant to our 2011 Equity Incentive Plan, as amended, or our 2011 Plan; and</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7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440" w:right="20" w:hanging="399"/>
        <w:spacing w:after="0" w:line="277" w:lineRule="auto"/>
        <w:tabs>
          <w:tab w:leader="none" w:pos="2178"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Stock Option and Incentive Plan, or our 2021 Plan; and</w:t>
      </w:r>
    </w:p>
    <w:p>
      <w:pPr>
        <w:spacing w:after="0" w:line="75" w:lineRule="exact"/>
        <w:rPr>
          <w:rFonts w:ascii="Arial" w:cs="Arial" w:eastAsia="Arial" w:hAnsi="Arial"/>
          <w:sz w:val="18"/>
          <w:szCs w:val="18"/>
          <w:color w:val="auto"/>
        </w:rPr>
      </w:pPr>
    </w:p>
    <w:p>
      <w:pPr>
        <w:ind w:left="2220" w:hanging="1179"/>
        <w:spacing w:after="0"/>
        <w:tabs>
          <w:tab w:leader="none" w:pos="22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Employee Stock Purchase Plan, or our</w:t>
      </w:r>
    </w:p>
    <w:p>
      <w:pPr>
        <w:spacing w:after="0" w:line="46"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ESPP.</w:t>
      </w:r>
    </w:p>
    <w:p>
      <w:pPr>
        <w:spacing w:after="0" w:line="21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2021 Plan and ESPP each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 Employee Benefits and Stock Plans.”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3013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3013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20" w:hanging="195"/>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redeemable convertible preferred stock into an aggregate of 351,844,340 shares of our Class B common stock, the conversion of which will occur immediately prior to the completion of this offering;</w:t>
      </w:r>
    </w:p>
    <w:p>
      <w:pPr>
        <w:spacing w:after="0" w:line="51" w:lineRule="exact"/>
        <w:rPr>
          <w:rFonts w:ascii="Arial" w:cs="Arial" w:eastAsia="Arial" w:hAnsi="Arial"/>
          <w:sz w:val="17"/>
          <w:szCs w:val="17"/>
          <w:color w:val="auto"/>
        </w:rPr>
      </w:pPr>
    </w:p>
    <w:p>
      <w:pPr>
        <w:ind w:left="1020" w:hanging="195"/>
        <w:spacing w:after="0" w:line="30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reclassification of our outstanding existing common stock into an equivalent number of shares of our Class B common stock and the authorization of our Class A common stock, which will occur immediately prior to the completion of this offering;</w:t>
      </w:r>
    </w:p>
    <w:p>
      <w:pPr>
        <w:spacing w:after="0" w:line="51" w:lineRule="exact"/>
        <w:rPr>
          <w:rFonts w:ascii="Arial" w:cs="Arial" w:eastAsia="Arial" w:hAnsi="Arial"/>
          <w:sz w:val="17"/>
          <w:szCs w:val="17"/>
          <w:color w:val="auto"/>
        </w:rPr>
      </w:pPr>
    </w:p>
    <w:p>
      <w:pPr>
        <w:jc w:val="both"/>
        <w:ind w:left="1020" w:hanging="195"/>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the redeemable convertible preferred and common stock warrants to Class B common stock warrants, and the resulting remeasurement and reclassification of the redeemable convertible preferred stock warrant liabilities to additional paid-in capital, which will occur immediately prior to the completion of this offering;</w:t>
      </w:r>
    </w:p>
    <w:p>
      <w:pPr>
        <w:spacing w:after="0" w:line="8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tcPr>
          <w:p>
            <w:pPr>
              <w:ind w:left="60"/>
              <w:spacing w:after="0"/>
              <w:rPr>
                <w:sz w:val="20"/>
                <w:szCs w:val="20"/>
                <w:color w:val="auto"/>
              </w:rPr>
            </w:pPr>
            <w:r>
              <w:rPr>
                <w:rFonts w:ascii="Arial" w:cs="Arial" w:eastAsia="Arial" w:hAnsi="Arial"/>
                <w:sz w:val="18"/>
                <w:szCs w:val="18"/>
                <w:color w:val="auto"/>
              </w:rPr>
              <w:t>the net issuance of</w:t>
            </w:r>
          </w:p>
        </w:tc>
        <w:tc>
          <w:tcPr>
            <w:tcW w:w="7760" w:type="dxa"/>
            <w:vAlign w:val="bottom"/>
            <w:gridSpan w:val="2"/>
          </w:tcPr>
          <w:p>
            <w:pPr>
              <w:jc w:val="right"/>
              <w:spacing w:after="0"/>
              <w:rPr>
                <w:sz w:val="20"/>
                <w:szCs w:val="20"/>
                <w:color w:val="auto"/>
              </w:rPr>
            </w:pPr>
            <w:r>
              <w:rPr>
                <w:rFonts w:ascii="Arial" w:cs="Arial" w:eastAsia="Arial" w:hAnsi="Arial"/>
                <w:sz w:val="18"/>
                <w:szCs w:val="18"/>
                <w:color w:val="auto"/>
                <w:w w:val="91"/>
              </w:rPr>
              <w:t>shares of our Class B common stock issuable pursuant to the vesting and settlement of 505,993 RSUs for</w:t>
            </w:r>
          </w:p>
        </w:tc>
      </w:tr>
      <w:tr>
        <w:trPr>
          <w:trHeight w:val="216"/>
        </w:trPr>
        <w:tc>
          <w:tcPr>
            <w:tcW w:w="140" w:type="dxa"/>
            <w:vAlign w:val="bottom"/>
          </w:tcPr>
          <w:p>
            <w:pPr>
              <w:spacing w:after="0"/>
              <w:rPr>
                <w:sz w:val="18"/>
                <w:szCs w:val="18"/>
                <w:color w:val="auto"/>
              </w:rPr>
            </w:pPr>
          </w:p>
        </w:tc>
        <w:tc>
          <w:tcPr>
            <w:tcW w:w="9980" w:type="dxa"/>
            <w:vAlign w:val="bottom"/>
            <w:gridSpan w:val="3"/>
          </w:tcPr>
          <w:p>
            <w:pPr>
              <w:ind w:left="60"/>
              <w:spacing w:after="0"/>
              <w:rPr>
                <w:sz w:val="20"/>
                <w:szCs w:val="20"/>
                <w:color w:val="auto"/>
              </w:rPr>
            </w:pPr>
            <w:r>
              <w:rPr>
                <w:rFonts w:ascii="Arial" w:cs="Arial" w:eastAsia="Arial" w:hAnsi="Arial"/>
                <w:sz w:val="18"/>
                <w:szCs w:val="18"/>
                <w:color w:val="auto"/>
                <w:w w:val="95"/>
              </w:rPr>
              <w:t>which the service condition was satisfied as of December 31, 2020, and for which we expect the liquidity condition to be satisfied in</w:t>
            </w:r>
          </w:p>
        </w:tc>
      </w:tr>
      <w:tr>
        <w:trPr>
          <w:trHeight w:val="230"/>
        </w:trPr>
        <w:tc>
          <w:tcPr>
            <w:tcW w:w="14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w w:val="94"/>
              </w:rPr>
              <w:t>connection with this offering;</w:t>
            </w:r>
          </w:p>
        </w:tc>
        <w:tc>
          <w:tcPr>
            <w:tcW w:w="38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23"/>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100" w:type="dxa"/>
            <w:vAlign w:val="bottom"/>
            <w:gridSpan w:val="2"/>
          </w:tcPr>
          <w:p>
            <w:pPr>
              <w:ind w:left="60"/>
              <w:spacing w:after="0"/>
              <w:rPr>
                <w:sz w:val="20"/>
                <w:szCs w:val="20"/>
                <w:color w:val="auto"/>
              </w:rPr>
            </w:pPr>
            <w:r>
              <w:rPr>
                <w:rFonts w:ascii="Arial" w:cs="Arial" w:eastAsia="Arial" w:hAnsi="Arial"/>
                <w:sz w:val="18"/>
                <w:szCs w:val="18"/>
                <w:color w:val="auto"/>
                <w:w w:val="97"/>
              </w:rPr>
              <w:t>no exercise by the underwriters of their option to purchase up to an additional</w:t>
            </w:r>
          </w:p>
        </w:tc>
        <w:tc>
          <w:tcPr>
            <w:tcW w:w="3880" w:type="dxa"/>
            <w:vAlign w:val="bottom"/>
          </w:tcPr>
          <w:p>
            <w:pPr>
              <w:jc w:val="right"/>
              <w:spacing w:after="0"/>
              <w:rPr>
                <w:sz w:val="20"/>
                <w:szCs w:val="20"/>
                <w:color w:val="auto"/>
              </w:rPr>
            </w:pPr>
            <w:r>
              <w:rPr>
                <w:rFonts w:ascii="Arial" w:cs="Arial" w:eastAsia="Arial" w:hAnsi="Arial"/>
                <w:sz w:val="18"/>
                <w:szCs w:val="18"/>
                <w:color w:val="auto"/>
              </w:rPr>
              <w:t>shares of Class A common stock from us in this</w:t>
            </w:r>
          </w:p>
        </w:tc>
      </w:tr>
      <w:tr>
        <w:trPr>
          <w:trHeight w:val="230"/>
        </w:trPr>
        <w:tc>
          <w:tcPr>
            <w:tcW w:w="14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offering; and</w:t>
            </w:r>
          </w:p>
        </w:tc>
        <w:tc>
          <w:tcPr>
            <w:tcW w:w="388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line="107" w:lineRule="exact"/>
        <w:rPr>
          <w:sz w:val="20"/>
          <w:szCs w:val="20"/>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or settlement of outstanding RSUs subsequent to December 31,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558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following tables summarize our consolidated financial and other data. We derived the summary consolidated statements of operations data for the years ended December 31, 2019 and 2020, and the consolidated balance sheet data as of December 31, 2020 from our audited consolidated financial statements included elsewhere in this prospectus. Our historical results are not necessarily indicative of the results that may be expected in the future. You should read the following summary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20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and per share amounts</w:t>
            </w: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or as noted)</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143,267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3"/>
              </w:rPr>
              <w:t>$290,292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82,814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172,385</w:t>
            </w:r>
          </w:p>
        </w:tc>
        <w:tc>
          <w:tcPr>
            <w:tcW w:w="200" w:type="dxa"/>
            <w:vAlign w:val="bottom"/>
            <w:shd w:val="clear" w:color="auto" w:fill="CCEEFF"/>
          </w:tcPr>
          <w:p>
            <w:pPr>
              <w:spacing w:after="0"/>
              <w:rPr>
                <w:sz w:val="18"/>
                <w:szCs w:val="18"/>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126,861</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All other operating expenses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(58,863)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(47,087)</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(47,695)</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Class A and Class B common stockholders, basic and diluted</w:t>
            </w:r>
            <w:r>
              <w:rPr>
                <w:rFonts w:ascii="Arial" w:cs="Arial" w:eastAsia="Arial" w:hAnsi="Arial"/>
                <w:sz w:val="15"/>
                <w:szCs w:val="15"/>
                <w:color w:val="auto"/>
              </w:rPr>
              <w:t>(2)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r>
      <w:tr>
        <w:trPr>
          <w:trHeight w:val="202"/>
        </w:trPr>
        <w:tc>
          <w:tcPr>
            <w:tcW w:w="20" w:type="dxa"/>
            <w:vAlign w:val="bottom"/>
          </w:tcPr>
          <w:p>
            <w:pPr>
              <w:spacing w:after="0"/>
              <w:rPr>
                <w:sz w:val="17"/>
                <w:szCs w:val="17"/>
                <w:color w:val="auto"/>
              </w:rPr>
            </w:pPr>
          </w:p>
        </w:tc>
        <w:tc>
          <w:tcPr>
            <w:tcW w:w="8140" w:type="dxa"/>
            <w:vAlign w:val="bottom"/>
          </w:tcPr>
          <w:p>
            <w:pPr>
              <w:spacing w:after="0" w:line="201" w:lineRule="exact"/>
              <w:rPr>
                <w:sz w:val="20"/>
                <w:szCs w:val="20"/>
                <w:color w:val="auto"/>
              </w:rPr>
            </w:pPr>
            <w:r>
              <w:rPr>
                <w:rFonts w:ascii="Arial" w:cs="Arial" w:eastAsia="Arial" w:hAnsi="Arial"/>
                <w:sz w:val="18"/>
                <w:szCs w:val="18"/>
                <w:color w:val="auto"/>
                <w:w w:val="94"/>
              </w:rPr>
              <w:t>Weighted-average shares used in computing net loss per share attributable to Class A and Class B common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113,852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122,933</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w w:val="93"/>
              </w:rPr>
              <w:t>Pro forma net loss attributable to Class A and Class B common stockholders, basic and diluted (unaudited)</w:t>
            </w:r>
            <w:r>
              <w:rPr>
                <w:rFonts w:ascii="Arial" w:cs="Arial" w:eastAsia="Arial" w:hAnsi="Arial"/>
                <w:sz w:val="15"/>
                <w:szCs w:val="15"/>
                <w:color w:val="auto"/>
                <w:w w:val="93"/>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(55,542)</w:t>
            </w:r>
          </w:p>
        </w:tc>
      </w:tr>
      <w:tr>
        <w:trPr>
          <w:trHeight w:val="202"/>
        </w:trPr>
        <w:tc>
          <w:tcPr>
            <w:tcW w:w="20" w:type="dxa"/>
            <w:vAlign w:val="bottom"/>
          </w:tcPr>
          <w:p>
            <w:pPr>
              <w:spacing w:after="0"/>
              <w:rPr>
                <w:sz w:val="17"/>
                <w:szCs w:val="17"/>
                <w:color w:val="auto"/>
              </w:rPr>
            </w:pPr>
          </w:p>
        </w:tc>
        <w:tc>
          <w:tcPr>
            <w:tcW w:w="8140" w:type="dxa"/>
            <w:vAlign w:val="bottom"/>
          </w:tcPr>
          <w:p>
            <w:pPr>
              <w:spacing w:after="0" w:line="201" w:lineRule="exact"/>
              <w:rPr>
                <w:sz w:val="20"/>
                <w:szCs w:val="20"/>
                <w:color w:val="auto"/>
              </w:rPr>
            </w:pPr>
            <w:r>
              <w:rPr>
                <w:rFonts w:ascii="Arial" w:cs="Arial" w:eastAsia="Arial" w:hAnsi="Arial"/>
                <w:sz w:val="18"/>
                <w:szCs w:val="18"/>
                <w:color w:val="auto"/>
                <w:w w:val="97"/>
              </w:rPr>
              <w:t>Pro forma net loss per share attributable to Class A and Class B common stockholders, basic and diluted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 (0.12)</w:t>
            </w: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shares used in computing pro forma net loss per share attributable to Class A and Class B</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 (unaudited)</w:t>
            </w:r>
            <w:r>
              <w:rPr>
                <w:rFonts w:ascii="Arial" w:cs="Arial" w:eastAsia="Arial" w:hAnsi="Arial"/>
                <w:sz w:val="15"/>
                <w:szCs w:val="15"/>
                <w:color w:val="auto"/>
              </w:rPr>
              <w:t>(3)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469,360</w:t>
            </w:r>
          </w:p>
        </w:tc>
        <w:tc>
          <w:tcPr>
            <w:tcW w:w="200" w:type="dxa"/>
            <w:vAlign w:val="bottom"/>
            <w:shd w:val="clear" w:color="auto" w:fill="CCEEFF"/>
          </w:tcPr>
          <w:p>
            <w:pPr>
              <w:spacing w:after="0"/>
              <w:rPr>
                <w:sz w:val="20"/>
                <w:szCs w:val="20"/>
                <w:color w:val="auto"/>
              </w:rPr>
            </w:pPr>
          </w:p>
        </w:tc>
      </w:tr>
    </w:tbl>
    <w:p>
      <w:pPr>
        <w:spacing w:after="0" w:line="179" w:lineRule="exact"/>
        <w:rPr>
          <w:sz w:val="20"/>
          <w:szCs w:val="20"/>
          <w:color w:val="auto"/>
        </w:rPr>
      </w:pPr>
    </w:p>
    <w:p>
      <w:pPr>
        <w:jc w:val="both"/>
        <w:ind w:left="820" w:right="20" w:hanging="522"/>
        <w:spacing w:after="0" w:line="303" w:lineRule="auto"/>
        <w:tabs>
          <w:tab w:leader="none" w:pos="8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Compensation and benefits include share-based compensation expense of $21.8 million and $28.2 million for the year ended December 31, 2019 and December 31, 2020,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4"/>
          <w:szCs w:val="14"/>
          <w:color w:val="auto"/>
        </w:rPr>
      </w:pPr>
    </w:p>
    <w:p>
      <w:pPr>
        <w:ind w:left="820" w:hanging="522"/>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18" w:lineRule="exact"/>
        <w:rPr>
          <w:rFonts w:ascii="Arial" w:cs="Arial" w:eastAsia="Arial" w:hAnsi="Arial"/>
          <w:sz w:val="16"/>
          <w:szCs w:val="16"/>
          <w:color w:val="auto"/>
        </w:rPr>
      </w:pPr>
    </w:p>
    <w:p>
      <w:pPr>
        <w:ind w:left="820" w:hanging="522"/>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4984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4984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880" w:type="dxa"/>
            <w:vAlign w:val="bottom"/>
          </w:tcPr>
          <w:p>
            <w:pPr>
              <w:ind w:left="8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(2)(3)</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2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40" w:type="dxa"/>
            <w:vAlign w:val="bottom"/>
            <w:gridSpan w:val="2"/>
          </w:tcPr>
          <w:p>
            <w:pPr>
              <w:jc w:val="right"/>
              <w:ind w:right="68"/>
              <w:spacing w:after="0"/>
              <w:rPr>
                <w:sz w:val="20"/>
                <w:szCs w:val="20"/>
                <w:color w:val="auto"/>
              </w:rPr>
            </w:pPr>
            <w:r>
              <w:rPr>
                <w:rFonts w:ascii="Arial" w:cs="Arial" w:eastAsia="Arial" w:hAnsi="Arial"/>
                <w:sz w:val="18"/>
                <w:szCs w:val="18"/>
                <w:color w:val="auto"/>
              </w:rPr>
              <w:t>$ 220,433</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$220,433</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7,800</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7,800</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040" w:type="dxa"/>
            <w:vAlign w:val="bottom"/>
            <w:gridSpan w:val="2"/>
          </w:tcPr>
          <w:p>
            <w:pPr>
              <w:jc w:val="right"/>
              <w:ind w:right="68"/>
              <w:spacing w:after="0"/>
              <w:rPr>
                <w:sz w:val="20"/>
                <w:szCs w:val="20"/>
                <w:color w:val="auto"/>
              </w:rPr>
            </w:pPr>
            <w:r>
              <w:rPr>
                <w:rFonts w:ascii="Arial" w:cs="Arial" w:eastAsia="Arial" w:hAnsi="Arial"/>
                <w:sz w:val="18"/>
                <w:szCs w:val="18"/>
                <w:color w:val="auto"/>
              </w:rPr>
              <w:t>149,903</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149,903</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289,808</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289,808</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3040" w:type="dxa"/>
            <w:vAlign w:val="bottom"/>
            <w:gridSpan w:val="2"/>
          </w:tcPr>
          <w:p>
            <w:pPr>
              <w:jc w:val="right"/>
              <w:ind w:right="68"/>
              <w:spacing w:after="0"/>
              <w:rPr>
                <w:sz w:val="20"/>
                <w:szCs w:val="20"/>
                <w:color w:val="auto"/>
              </w:rPr>
            </w:pPr>
            <w:r>
              <w:rPr>
                <w:rFonts w:ascii="Arial" w:cs="Arial" w:eastAsia="Arial" w:hAnsi="Arial"/>
                <w:sz w:val="18"/>
                <w:szCs w:val="18"/>
                <w:color w:val="auto"/>
              </w:rPr>
              <w:t>457,680</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457,680</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169,516</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166,999</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040" w:type="dxa"/>
            <w:vAlign w:val="bottom"/>
            <w:gridSpan w:val="2"/>
          </w:tcPr>
          <w:p>
            <w:pPr>
              <w:jc w:val="right"/>
              <w:ind w:right="68"/>
              <w:spacing w:after="0"/>
              <w:rPr>
                <w:sz w:val="20"/>
                <w:szCs w:val="20"/>
                <w:color w:val="auto"/>
              </w:rPr>
            </w:pPr>
            <w:r>
              <w:rPr>
                <w:rFonts w:ascii="Arial" w:cs="Arial" w:eastAsia="Arial" w:hAnsi="Arial"/>
                <w:sz w:val="18"/>
                <w:szCs w:val="18"/>
                <w:color w:val="auto"/>
              </w:rPr>
              <w:t>501,881</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(213,717)</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290,681</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820" w:hanging="522"/>
        <w:spacing w:after="0" w:line="303" w:lineRule="auto"/>
        <w:tabs>
          <w:tab w:leader="none" w:pos="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data table above gives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 capital, (v) the net</w:t>
      </w:r>
    </w:p>
    <w:p>
      <w:pPr>
        <w:spacing w:after="0" w:line="1" w:lineRule="exact"/>
        <w:rPr>
          <w:sz w:val="20"/>
          <w:szCs w:val="20"/>
          <w:color w:val="auto"/>
        </w:rPr>
      </w:pPr>
    </w:p>
    <w:p>
      <w:pPr>
        <w:jc w:val="both"/>
        <w:ind w:left="820"/>
        <w:spacing w:after="0" w:line="556" w:lineRule="auto"/>
        <w:rPr>
          <w:sz w:val="20"/>
          <w:szCs w:val="20"/>
          <w:color w:val="auto"/>
        </w:rPr>
      </w:pPr>
      <w:r>
        <w:rPr>
          <w:rFonts w:ascii="Arial" w:cs="Arial" w:eastAsia="Arial" w:hAnsi="Arial"/>
          <w:sz w:val="15"/>
          <w:szCs w:val="15"/>
          <w:color w:val="auto"/>
        </w:rPr>
        <w:t>issuance of shares of our common stock issuable pursuant to the vesting and settlement of 505,993 RSUs for which the service condition was satisfied as of December 31, 2020, and for which we expect the liquidity condition to be satisfied in connection with this offering, (vi) the increase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20" w:right="20"/>
        <w:spacing w:after="0" w:line="284" w:lineRule="auto"/>
        <w:rPr>
          <w:sz w:val="20"/>
          <w:szCs w:val="20"/>
          <w:color w:val="auto"/>
        </w:rPr>
      </w:pPr>
      <w:r>
        <w:rPr>
          <w:rFonts w:ascii="Arial" w:cs="Arial" w:eastAsia="Arial" w:hAnsi="Arial"/>
          <w:sz w:val="15"/>
          <w:szCs w:val="15"/>
          <w:color w:val="auto"/>
        </w:rPr>
        <w:t>accrued liabilities and an equivalent decrease in additional paid-in capital of $ in connection with tax withholding obligations related to such RSUs, based upon the initial public offering price of $ per share, which is the midpoint of the estimated offering price range set forth on the cover</w:t>
      </w:r>
    </w:p>
    <w:p>
      <w:pPr>
        <w:spacing w:after="0" w:line="1" w:lineRule="exact"/>
        <w:rPr>
          <w:sz w:val="20"/>
          <w:szCs w:val="20"/>
          <w:color w:val="auto"/>
        </w:rPr>
      </w:pPr>
    </w:p>
    <w:p>
      <w:pPr>
        <w:jc w:val="both"/>
        <w:ind w:left="820"/>
        <w:spacing w:after="0" w:line="264" w:lineRule="auto"/>
        <w:rPr>
          <w:sz w:val="20"/>
          <w:szCs w:val="20"/>
          <w:color w:val="auto"/>
        </w:rPr>
      </w:pPr>
      <w:r>
        <w:rPr>
          <w:rFonts w:ascii="Arial" w:cs="Arial" w:eastAsia="Arial" w:hAnsi="Arial"/>
          <w:sz w:val="16"/>
          <w:szCs w:val="16"/>
          <w:color w:val="auto"/>
        </w:rPr>
        <w:t>page of this prospectus, all of which will occur immediately prior to the completion of this offering, as if such actions had occurred on December 31, 2020, and (vii) $9.8 million of cumulative share-based compensation expense related to the RSUs for which the service condition was satisfied as of December 31, 2020 and for which we expect the liquidity condition to be satisfied in connection with this offering.</w:t>
      </w:r>
    </w:p>
    <w:p>
      <w:pPr>
        <w:ind w:left="820" w:hanging="522"/>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pro forma as adjusted column in the balance sheet data table above gives effect to (a) the pro forma adjustments set forth in footnote (1) above and</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5200" w:type="dxa"/>
            <w:vAlign w:val="bottom"/>
            <w:gridSpan w:val="2"/>
          </w:tcPr>
          <w:p>
            <w:pPr>
              <w:ind w:left="160"/>
              <w:spacing w:after="0"/>
              <w:rPr>
                <w:sz w:val="20"/>
                <w:szCs w:val="20"/>
                <w:color w:val="auto"/>
              </w:rPr>
            </w:pPr>
            <w:r>
              <w:rPr>
                <w:rFonts w:ascii="Arial" w:cs="Arial" w:eastAsia="Arial" w:hAnsi="Arial"/>
                <w:sz w:val="16"/>
                <w:szCs w:val="16"/>
                <w:color w:val="auto"/>
                <w:w w:val="92"/>
              </w:rPr>
              <w:t>(b) our receipt of estimated net proceeds from the sale and issuance by us of</w:t>
            </w:r>
          </w:p>
        </w:tc>
        <w:tc>
          <w:tcPr>
            <w:tcW w:w="480" w:type="dxa"/>
            <w:vAlign w:val="bottom"/>
          </w:tcPr>
          <w:p>
            <w:pPr>
              <w:spacing w:after="0"/>
              <w:rPr>
                <w:sz w:val="17"/>
                <w:szCs w:val="17"/>
                <w:color w:val="auto"/>
              </w:rPr>
            </w:pP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w w:val="98"/>
              </w:rPr>
              <w:t>shares of our Class A common stock in this offering, based on an</w:t>
            </w:r>
          </w:p>
        </w:tc>
      </w:tr>
      <w:tr>
        <w:trPr>
          <w:trHeight w:val="203"/>
        </w:trPr>
        <w:tc>
          <w:tcPr>
            <w:tcW w:w="36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assumed initial public offering price of $</w:t>
            </w:r>
          </w:p>
        </w:tc>
        <w:tc>
          <w:tcPr>
            <w:tcW w:w="7100" w:type="dxa"/>
            <w:vAlign w:val="bottom"/>
            <w:gridSpan w:val="4"/>
          </w:tcPr>
          <w:p>
            <w:pPr>
              <w:jc w:val="right"/>
              <w:spacing w:after="0"/>
              <w:rPr>
                <w:sz w:val="20"/>
                <w:szCs w:val="20"/>
                <w:color w:val="auto"/>
              </w:rPr>
            </w:pPr>
            <w:r>
              <w:rPr>
                <w:rFonts w:ascii="Arial" w:cs="Arial" w:eastAsia="Arial" w:hAnsi="Arial"/>
                <w:sz w:val="16"/>
                <w:szCs w:val="16"/>
                <w:color w:val="auto"/>
                <w:w w:val="97"/>
              </w:rPr>
              <w:t>per share, which is the midpoint of the estimated offering price range set forth on the cover page of this</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rPr>
              <w:t>prospectus, and after deducting the estimated underwriting discounts and commissions and estimated offering expenses payable by us.</w:t>
            </w:r>
          </w:p>
        </w:tc>
      </w:tr>
      <w:tr>
        <w:trPr>
          <w:trHeight w:val="203"/>
        </w:trPr>
        <w:tc>
          <w:tcPr>
            <w:tcW w:w="360" w:type="dxa"/>
            <w:vAlign w:val="bottom"/>
          </w:tcPr>
          <w:p>
            <w:pPr>
              <w:jc w:val="right"/>
              <w:ind w:right="99"/>
              <w:spacing w:after="0"/>
              <w:rPr>
                <w:sz w:val="20"/>
                <w:szCs w:val="20"/>
                <w:color w:val="auto"/>
              </w:rPr>
            </w:pPr>
            <w:r>
              <w:rPr>
                <w:rFonts w:ascii="Arial" w:cs="Arial" w:eastAsia="Arial" w:hAnsi="Arial"/>
                <w:sz w:val="16"/>
                <w:szCs w:val="16"/>
                <w:color w:val="auto"/>
                <w:w w:val="81"/>
              </w:rPr>
              <w:t>(3)</w:t>
            </w:r>
          </w:p>
        </w:tc>
        <w:tc>
          <w:tcPr>
            <w:tcW w:w="5680" w:type="dxa"/>
            <w:vAlign w:val="bottom"/>
            <w:gridSpan w:val="3"/>
          </w:tcPr>
          <w:p>
            <w:pPr>
              <w:ind w:left="160"/>
              <w:spacing w:after="0"/>
              <w:rPr>
                <w:sz w:val="20"/>
                <w:szCs w:val="20"/>
                <w:color w:val="auto"/>
              </w:rPr>
            </w:pPr>
            <w:r>
              <w:rPr>
                <w:rFonts w:ascii="Arial" w:cs="Arial" w:eastAsia="Arial" w:hAnsi="Arial"/>
                <w:sz w:val="16"/>
                <w:szCs w:val="16"/>
                <w:color w:val="auto"/>
                <w:w w:val="97"/>
              </w:rPr>
              <w:t>Each $1.00 increase or decrease in the assumed initial public offering price of $</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per share, which is the midpoint of the estimated offering price</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2"/>
              </w:rPr>
              <w:t>range set forth on the cover page of this prospectus, would increase or decrease, as applicable, our cash, cash equivalents and marketable securities, total</w:t>
            </w:r>
          </w:p>
        </w:tc>
      </w:tr>
      <w:tr>
        <w:trPr>
          <w:trHeight w:val="203"/>
        </w:trPr>
        <w:tc>
          <w:tcPr>
            <w:tcW w:w="360" w:type="dxa"/>
            <w:vAlign w:val="bottom"/>
          </w:tcPr>
          <w:p>
            <w:pPr>
              <w:spacing w:after="0"/>
              <w:rPr>
                <w:sz w:val="17"/>
                <w:szCs w:val="17"/>
                <w:color w:val="auto"/>
              </w:rPr>
            </w:pPr>
          </w:p>
        </w:tc>
        <w:tc>
          <w:tcPr>
            <w:tcW w:w="5200" w:type="dxa"/>
            <w:vAlign w:val="bottom"/>
            <w:gridSpan w:val="2"/>
          </w:tcPr>
          <w:p>
            <w:pPr>
              <w:ind w:left="160"/>
              <w:spacing w:after="0"/>
              <w:rPr>
                <w:sz w:val="20"/>
                <w:szCs w:val="20"/>
                <w:color w:val="auto"/>
              </w:rPr>
            </w:pPr>
            <w:r>
              <w:rPr>
                <w:rFonts w:ascii="Arial" w:cs="Arial" w:eastAsia="Arial" w:hAnsi="Arial"/>
                <w:sz w:val="16"/>
                <w:szCs w:val="16"/>
                <w:color w:val="auto"/>
              </w:rPr>
              <w:t>assets, and total stockholders’ equity (deficit) by approximately $</w:t>
            </w:r>
          </w:p>
        </w:tc>
        <w:tc>
          <w:tcPr>
            <w:tcW w:w="5080" w:type="dxa"/>
            <w:vAlign w:val="bottom"/>
            <w:gridSpan w:val="3"/>
          </w:tcPr>
          <w:p>
            <w:pPr>
              <w:jc w:val="right"/>
              <w:spacing w:after="0"/>
              <w:rPr>
                <w:sz w:val="20"/>
                <w:szCs w:val="20"/>
                <w:color w:val="auto"/>
              </w:rPr>
            </w:pPr>
            <w:r>
              <w:rPr>
                <w:rFonts w:ascii="Arial" w:cs="Arial" w:eastAsia="Arial" w:hAnsi="Arial"/>
                <w:sz w:val="16"/>
                <w:szCs w:val="16"/>
                <w:color w:val="auto"/>
                <w:w w:val="93"/>
              </w:rPr>
              <w:t>million, assuming that the number of shares offered by us, as set forth on the</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2"/>
              </w:rPr>
              <w:t>cover page of this prospectus, remains the same and after deducting the estimated underwriting discounts and commissions payable by us. Similarly, each</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0"/>
              </w:rPr>
              <w:t>increase or decrease of 1.0 million shares in the number of shares of our Class A common stock offered by us would increase or decrease, as applicable, our</w:t>
            </w:r>
          </w:p>
        </w:tc>
      </w:tr>
      <w:tr>
        <w:trPr>
          <w:trHeight w:val="206"/>
        </w:trPr>
        <w:tc>
          <w:tcPr>
            <w:tcW w:w="360" w:type="dxa"/>
            <w:vAlign w:val="bottom"/>
          </w:tcPr>
          <w:p>
            <w:pPr>
              <w:spacing w:after="0"/>
              <w:rPr>
                <w:sz w:val="17"/>
                <w:szCs w:val="17"/>
                <w:color w:val="auto"/>
              </w:rPr>
            </w:pPr>
          </w:p>
        </w:tc>
        <w:tc>
          <w:tcPr>
            <w:tcW w:w="8460" w:type="dxa"/>
            <w:vAlign w:val="bottom"/>
            <w:gridSpan w:val="4"/>
          </w:tcPr>
          <w:p>
            <w:pPr>
              <w:ind w:left="160"/>
              <w:spacing w:after="0"/>
              <w:rPr>
                <w:sz w:val="20"/>
                <w:szCs w:val="20"/>
                <w:color w:val="auto"/>
              </w:rPr>
            </w:pPr>
            <w:r>
              <w:rPr>
                <w:rFonts w:ascii="Arial" w:cs="Arial" w:eastAsia="Arial" w:hAnsi="Arial"/>
                <w:sz w:val="16"/>
                <w:szCs w:val="16"/>
                <w:color w:val="auto"/>
                <w:w w:val="97"/>
              </w:rPr>
              <w:t>cash, cash equivalents and marketable securities, total assets, and total stockholders’ equity (deficit) by approximately $</w:t>
            </w:r>
          </w:p>
        </w:tc>
        <w:tc>
          <w:tcPr>
            <w:tcW w:w="1820" w:type="dxa"/>
            <w:vAlign w:val="bottom"/>
          </w:tcPr>
          <w:p>
            <w:pPr>
              <w:jc w:val="right"/>
              <w:spacing w:after="0"/>
              <w:rPr>
                <w:sz w:val="20"/>
                <w:szCs w:val="20"/>
                <w:color w:val="auto"/>
              </w:rPr>
            </w:pPr>
            <w:r>
              <w:rPr>
                <w:rFonts w:ascii="Arial" w:cs="Arial" w:eastAsia="Arial" w:hAnsi="Arial"/>
                <w:sz w:val="16"/>
                <w:szCs w:val="16"/>
                <w:color w:val="auto"/>
              </w:rPr>
              <w:t>million, assuming the</w:t>
            </w:r>
          </w:p>
        </w:tc>
      </w:tr>
    </w:tbl>
    <w:p>
      <w:pPr>
        <w:ind w:left="820" w:right="20"/>
        <w:spacing w:after="0" w:line="288" w:lineRule="auto"/>
        <w:rPr>
          <w:sz w:val="20"/>
          <w:szCs w:val="20"/>
          <w:color w:val="auto"/>
        </w:rPr>
      </w:pPr>
      <w:r>
        <w:rPr>
          <w:rFonts w:ascii="Arial" w:cs="Arial" w:eastAsia="Arial" w:hAnsi="Arial"/>
          <w:sz w:val="16"/>
          <w:szCs w:val="16"/>
          <w:color w:val="auto"/>
        </w:rPr>
        <w:t>assumed initial public offering price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36131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36131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Year Ended</w:t>
      </w:r>
    </w:p>
    <w:p>
      <w:pPr>
        <w:jc w:val="center"/>
        <w:ind w:left="81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5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2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 (in thousands)</w:t>
            </w:r>
          </w:p>
        </w:tc>
        <w:tc>
          <w:tcPr>
            <w:tcW w:w="3580" w:type="dxa"/>
            <w:vAlign w:val="bottom"/>
            <w:gridSpan w:val="3"/>
          </w:tcPr>
          <w:p>
            <w:pPr>
              <w:jc w:val="right"/>
              <w:ind w:right="360"/>
              <w:spacing w:after="0"/>
              <w:rPr>
                <w:sz w:val="20"/>
                <w:szCs w:val="20"/>
                <w:color w:val="auto"/>
              </w:rPr>
            </w:pPr>
            <w:r>
              <w:rPr>
                <w:rFonts w:ascii="Arial" w:cs="Arial" w:eastAsia="Arial" w:hAnsi="Arial"/>
                <w:sz w:val="18"/>
                <w:szCs w:val="18"/>
                <w:color w:val="auto"/>
              </w:rPr>
              <w:t>$(58,200)</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$(47,695)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3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3580" w:type="dxa"/>
            <w:vAlign w:val="bottom"/>
            <w:gridSpan w:val="3"/>
          </w:tcPr>
          <w:p>
            <w:pPr>
              <w:jc w:val="right"/>
              <w:ind w:right="360"/>
              <w:spacing w:after="0"/>
              <w:rPr>
                <w:sz w:val="20"/>
                <w:szCs w:val="20"/>
                <w:color w:val="auto"/>
              </w:rPr>
            </w:pPr>
            <w:r>
              <w:rPr>
                <w:rFonts w:ascii="Arial" w:cs="Arial" w:eastAsia="Arial" w:hAnsi="Arial"/>
                <w:sz w:val="18"/>
                <w:szCs w:val="18"/>
                <w:color w:val="auto"/>
              </w:rPr>
              <w:t>$(34,026)</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$(15,378)</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3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bl>
    <w:p>
      <w:pPr>
        <w:spacing w:after="0" w:line="179" w:lineRule="exact"/>
        <w:rPr>
          <w:sz w:val="20"/>
          <w:szCs w:val="20"/>
          <w:color w:val="auto"/>
        </w:rPr>
      </w:pPr>
    </w:p>
    <w:p>
      <w:pPr>
        <w:ind w:left="820" w:hanging="522"/>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Total Processing Volume (TPV) represents the total dollar amount of payments processed through our Platform, net of returns and chargebacks.</w:t>
      </w:r>
    </w:p>
    <w:p>
      <w:pPr>
        <w:spacing w:after="0" w:line="33" w:lineRule="exact"/>
        <w:rPr>
          <w:rFonts w:ascii="Arial" w:cs="Arial" w:eastAsia="Arial" w:hAnsi="Arial"/>
          <w:sz w:val="15"/>
          <w:szCs w:val="15"/>
          <w:color w:val="auto"/>
        </w:rPr>
      </w:pPr>
    </w:p>
    <w:p>
      <w:pPr>
        <w:jc w:val="both"/>
        <w:ind w:left="820" w:hanging="522"/>
        <w:spacing w:after="0" w:line="264"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ind w:left="820" w:hanging="522"/>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Operations—Key Operating Metric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 DEFINED TERMS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Acquirer Processor</w:t>
      </w:r>
      <w:r>
        <w:rPr>
          <w:rFonts w:ascii="Arial" w:cs="Arial" w:eastAsia="Arial" w:hAnsi="Arial"/>
          <w:sz w:val="18"/>
          <w:szCs w:val="18"/>
          <w:color w:val="auto"/>
        </w:rPr>
        <w:t>. An Acquirer Processor provides the technology that facilitates the flow of card payment information through Card Networks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Issuing Bank.</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Acquiring Bank</w:t>
      </w:r>
      <w:r>
        <w:rPr>
          <w:rFonts w:ascii="Arial" w:cs="Arial" w:eastAsia="Arial" w:hAnsi="Arial"/>
          <w:sz w:val="18"/>
          <w:szCs w:val="18"/>
          <w:color w:val="auto"/>
        </w:rPr>
        <w:t>. An Acquiring Bank is the financial institution that merchants use to hold funds and manage their business. The Acquiring Bank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with an Acquirer Processor to provide access to the Card Networks.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 issuer</w:t>
      </w:r>
      <w:r>
        <w:rPr>
          <w:rFonts w:ascii="Arial" w:cs="Arial" w:eastAsia="Arial" w:hAnsi="Arial"/>
          <w:sz w:val="18"/>
          <w:szCs w:val="18"/>
          <w:color w:val="auto"/>
        </w:rPr>
        <w:t>. A card issuer is a business that issues customized card products to its end users.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Card Network</w:t>
      </w:r>
      <w:r>
        <w:rPr>
          <w:rFonts w:ascii="Arial" w:cs="Arial" w:eastAsia="Arial" w:hAnsi="Arial"/>
          <w:sz w:val="18"/>
          <w:szCs w:val="18"/>
          <w:color w:val="auto"/>
        </w:rPr>
        <w:t>. A Card Network provides the infrastructure for settlement and card payment information that flows between the Issuer Processor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Acquirer Processor.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w:t>
      </w:r>
      <w:r>
        <w:rPr>
          <w:rFonts w:ascii="Arial" w:cs="Arial" w:eastAsia="Arial" w:hAnsi="Arial"/>
          <w:sz w:val="18"/>
          <w:szCs w:val="18"/>
          <w:color w:val="auto"/>
        </w:rPr>
        <w:t>. A Customer is a current contracted customer of Marqeta.</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Interchange Fees</w:t>
      </w:r>
      <w:r>
        <w:rPr>
          <w:rFonts w:ascii="Arial" w:cs="Arial" w:eastAsia="Arial" w:hAnsi="Arial"/>
          <w:sz w:val="18"/>
          <w:szCs w:val="18"/>
          <w:color w:val="auto"/>
        </w:rPr>
        <w:t>. Interchange Fees are transaction-based and volume-based fees set by a Card Network and paid by an Acquiring Bank to the Issuing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that issued the payment card used to purchase goods or services from a merchant. Our agreements with Issuing Banks provide that we receive 100% of the Interchange Fees for processing our Customer’s card transactions.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Issuer Processor</w:t>
      </w:r>
      <w:r>
        <w:rPr>
          <w:rFonts w:ascii="Arial" w:cs="Arial" w:eastAsia="Arial" w:hAnsi="Arial"/>
          <w:sz w:val="18"/>
          <w:szCs w:val="18"/>
          <w:color w:val="auto"/>
        </w:rPr>
        <w:t>. An Issuer Processor provides a technology platform, ledger, and infrastructure to support a card issuer and connects with a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facilitate payment transactions.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An Issuing Bank is the financial institution that issues a payment card (credit, debit, or prepaid) either on its own behalf or on behalf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issuer.</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Just-In-Time Funding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JIT Funding</w:t>
      </w:r>
      <w:r>
        <w:rPr>
          <w:rFonts w:ascii="Arial" w:cs="Arial" w:eastAsia="Arial" w:hAnsi="Arial"/>
          <w:sz w:val="18"/>
          <w:szCs w:val="18"/>
          <w:color w:val="auto"/>
        </w:rPr>
        <w:t>. A feature of the Marqeta Platform that allows Customers to programmatically authorize and fund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while participating in the approval decision in real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Marqeta Platform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Platform</w:t>
      </w:r>
      <w:r>
        <w:rPr>
          <w:rFonts w:ascii="Arial" w:cs="Arial" w:eastAsia="Arial" w:hAnsi="Arial"/>
          <w:sz w:val="18"/>
          <w:szCs w:val="18"/>
          <w:color w:val="auto"/>
        </w:rPr>
        <w:t>. Refers to our modern card issuing platform.</w:t>
      </w:r>
    </w:p>
    <w:p>
      <w:pPr>
        <w:spacing w:after="0" w:line="22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Modern card issuing</w:t>
      </w:r>
      <w:r>
        <w:rPr>
          <w:rFonts w:ascii="Arial" w:cs="Arial" w:eastAsia="Arial" w:hAnsi="Arial"/>
          <w:sz w:val="17"/>
          <w:szCs w:val="17"/>
          <w:color w:val="auto"/>
        </w:rPr>
        <w:t>. Modern card issuing is secure card issuing and processing delivered via an open API platform that enables card issuers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customized payment card products that leverage a just-in-time funding feature, authorizing their end users’ transactions in real-time.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Processing volume</w:t>
      </w:r>
      <w:r>
        <w:rPr>
          <w:rFonts w:ascii="Arial" w:cs="Arial" w:eastAsia="Arial" w:hAnsi="Arial"/>
          <w:sz w:val="18"/>
          <w:szCs w:val="18"/>
          <w:color w:val="auto"/>
        </w:rPr>
        <w:t>. Processing volume refers to the dollar amount of payments processed through the Marqeta Platform, net of returns and chargebacks,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contribute to our TPV.</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Revenue Share</w:t>
      </w:r>
      <w:r>
        <w:rPr>
          <w:rFonts w:ascii="Arial" w:cs="Arial" w:eastAsia="Arial" w:hAnsi="Arial"/>
          <w:sz w:val="16"/>
          <w:szCs w:val="16"/>
          <w:color w:val="auto"/>
        </w:rPr>
        <w:t>. Revenue Share refers to provisions in our Customer contracts under which we share a portion of Interchange Fees with our Customers.</w:t>
      </w:r>
    </w:p>
    <w:p>
      <w:pPr>
        <w:spacing w:after="0" w:line="24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Tokenization as a Service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TaaS</w:t>
      </w:r>
      <w:r>
        <w:rPr>
          <w:rFonts w:ascii="Arial" w:cs="Arial" w:eastAsia="Arial" w:hAnsi="Arial"/>
          <w:sz w:val="17"/>
          <w:szCs w:val="17"/>
          <w:color w:val="auto"/>
        </w:rPr>
        <w:t>. A Marqeta product that allows a card issuer to provision a token to a digital wallet (e.g., Apple Pay, Google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Samsung Pay), allowing an end user to securely store card information in the digital wallet. Customers that use our Tokenization as a Service benefit from our Platform, tokenization expertise, and built-in certifications with digital wallets and the Card Networks.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Total processing volume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TPV</w:t>
      </w:r>
      <w:r>
        <w:rPr>
          <w:rFonts w:ascii="Arial" w:cs="Arial" w:eastAsia="Arial" w:hAnsi="Arial"/>
          <w:sz w:val="16"/>
          <w:szCs w:val="16"/>
          <w:color w:val="auto"/>
        </w:rPr>
        <w:t>. TPV is the total dollar amount of payments processed through the Marqeta Platform, net of returns and chargebacks.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on our Platform</w:t>
      </w:r>
      <w:r>
        <w:rPr>
          <w:rFonts w:ascii="Arial" w:cs="Arial" w:eastAsia="Arial" w:hAnsi="Arial"/>
          <w:sz w:val="18"/>
          <w:szCs w:val="18"/>
          <w:color w:val="auto"/>
        </w:rPr>
        <w:t>. Refers to the number of transactions we process on our Platform.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The risks and uncertainties described below may not be the only ones we face.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experienced rapid net revenue growth in recent periods and our recent net revenue growth rates may not be indicative of our future net revenue growth.</w:t>
      </w:r>
    </w:p>
    <w:p>
      <w:pPr>
        <w:spacing w:after="0" w:line="62"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experienced rapid growth in recent periods. Our net revenue was $143.3 million and $290.3 million for the years ended December 31, 2019 and 2020, respectively, representing a growth rate of 103%. In future periods, we may not be able to sustain net revenue growth consistent with recent history, or at all. Further, because we operate in an evolving payments industry, our ability to grow and innovate is important to our success. We believe our net revenue growth depends on several factors, including, but not limited to, our ability to:</w:t>
      </w:r>
    </w:p>
    <w:p>
      <w:pPr>
        <w:spacing w:after="0" w:line="77"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new customers, or Customers, and retain existing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the services we offer;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use of our Platform and our offerings, TPV and the number of transactions on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 levels of service and Customer satisfaction;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and increase our net revenue and gross profit by continuing to innovate and expanding our product and service offerings;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diversify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and grow our network of vendors and partners, including Issuing Banks, Card Networks, and other vendors and partners;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and retain talented employees at all levels of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to changes in laws and regulations applicable to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to changing macroeconomic conditions and evolving conditions in the payments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introduce and grow widespread adoption of our Platform in new markets outside of the United States;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legacy issuing platforms and modern payments technology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unable to accomplish these objectives, our net revenue growth may be adversely affected.</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also expect our operating expenses to increase in future periods, and if our net revenue growth does not increase to offset these anticipated increases in our operating expenses, our business, results of operations, and financial condition will be adversely affected, and we may not be able to achieve or maintain profitability. We have also encountered in the past, and expect to encounter in the future, risks and uncertainties frequently experienced by growing companies in evolving industries. If our assumptions regarding these risks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uncertainties, which we use to plan and operate our business, are incorrect or change, or if we do not address these risks successfully, our growth rates may slow and our business would suffer. In the near term, we expect our TPV and net revenue growth rates to be variable as a result of the COVID-19 pandemic, and we are unable to predict the duration, degree, or volatility of future growth with any certainty.</w:t>
      </w:r>
    </w:p>
    <w:p>
      <w:pPr>
        <w:spacing w:after="0" w:line="27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operational and financial resources. For example, our headcount has grown from 233 employees as of December 31, 2018 to 509 employees as of December 31, 2020. We have recently established offices in the United Kingdom and as our employees increasingly work from geographic areas across the globe, we plan to continue to expand our international presence and operations into other countries in the future. We have also experienced significant growth in the number of Customers using our Platform, the number of card programs and solutions we manage for our Customers, and TPV on our Platform.</w:t>
      </w:r>
    </w:p>
    <w:p>
      <w:pPr>
        <w:spacing w:after="0" w:line="192"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We also believe that our corporate culture has been and will continue to be a valuable component of our success. As we expand our business and mature as a public company, we may find it difficult to maintain our corporate culture while managing this growth.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Additionally, as a result of the COVID-19 pandemic, our global workforce has been working remotely, with expected future phased office re-openings, potentially limiting our employees’ ability to perform certain job functions and, over time, negatively impacting corporate culture.</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Future net revenue growth depends on our ability to retain existing Customers, drive increased TPV on our Platform, and attract new Customers in a cost-effective manner.</w:t>
      </w:r>
    </w:p>
    <w:p>
      <w:pPr>
        <w:spacing w:after="0" w:line="62"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net revenue growth substantially depends on our ability to maintain and grow our relationships with existing Customers and increase the volume of transactions processed on our Platform. If our prospective and existing Customers do not recognize or continue to recognize the need for and benefits of our Platform and our products, they may decide to adopt alternative products and services to satisfy their business needs. 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Some of our Customer contracts provide for a termination clause that allows our Customers to terminate their contract at any time following a limited notice period. In addition, our Customers generally are not subject to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minimum volume commitments under their contracts and have no obligation to continue using our Platform, products, or services. We cannot assure you that Customers will continue to use our Platform or that we will be able to continue processing transactions on our Platform at the same rate as we have in the past.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 The loss of Customers or reductions in their processing volumes, particularly any loss of or reductions by Square, may adversely affect our business, results of operations, and financial condition. Our growth may decline in the future if Customers are not satisfied with our Platform or our ability to meet our Customers’ needs and expectations. Further,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our growth may slow or stop and our business, results of operations, and financial condition may be materially and adversely affected.</w:t>
      </w:r>
    </w:p>
    <w:p>
      <w:pPr>
        <w:spacing w:after="0" w:line="172"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If we fail to attract new Customers, including Customers in new use cases, industry verticals, and geographies, and to expand our Platform in a way that serves the needs of these new Customers, then we may not be able to continue to grow our net revenue.</w:t>
      </w:r>
    </w:p>
    <w:p>
      <w:pPr>
        <w:spacing w:after="0" w:line="2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62"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We were founded in 2010, and we provide a single, global, cloud-based, open-API Platform for modern card issuing and payment processing. We provide card issuing, payment processing, risk management, data insights, and a variety of controls, customizations, and features through our Platform. Our modern card issuing Platform is situated in the evolving financial technology and payments industries that are intensely competitive and subject to rapidly evolving technology, shifting customer needs, new market entrants, and introductions of new products and services. We face competition along several dimensions, including providers with legacy technology platforms, such as Global Payments (TSYS), Fiserv (First Data), and Fidelity National Information Services; vertical-focused providers, such as Wex and Comdata;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16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larger and more mature intellectual property portfolios, and substantially greater financial, technical, and other resources. Such competitors with greater financial and operating resources may be able to respond more quickly and effectively than we can to new or changing opportunities, technologies, standards, customer requirements, or regulatory developments. In addition, there has been a recent increase in large merger and acquisition transactions in the payments industry, and future mergers and acquisitions by these companies may lead to even larger competitors with more resources.</w:t>
      </w:r>
    </w:p>
    <w:p>
      <w:pPr>
        <w:spacing w:after="0" w:line="15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Conditions in our markets could also change rapidly and significantly as a result of technological advancements, partnering by our competitors, or continuing market consolidation, and it is uncertain how our markets will evolve. New commerce disruptors or large financial institutions that are making significant investments in research and development may develop similar or superior products and technologies that compete with our Platform. Our existing and potential Customers also may choose to build some of the functionality our Platform provides, potentially limiting or eliminating their demand for our Platform. These competitive pressures in our markets or our failure to compete effectively may result in price reductions, fewer Customers, reduced net revenue, gross profit, and gross margins, increased net losses, and loss of market share. Any failure to meet and address these factors could adversely affect our business, results of operations, and financial condition.</w:t>
      </w:r>
    </w:p>
    <w:p>
      <w:pPr>
        <w:spacing w:after="0" w:line="2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net revenue from our largest Customer, Square, and the loss or decline in net revenue from Square could adversely affect our business, results of operations, and financial condition.</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small number of Customers account for a large percentage of our net revenue. For the years ended December 31, 2019 and 2020, Square accounted for approximately 60% and 70% of our net revenue, respectively.</w:t>
      </w:r>
    </w:p>
    <w:p>
      <w:pPr>
        <w:spacing w:after="0" w:line="170"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In the event that any of our largest Customers do not continue to use our Platform or use our Platform in a more limited capacity, our business, results of operations, and financial condition could be adversely affected. In addition, any publicity associated with the loss of any of these Customers may adversely affect our reputation and could make it more difficult to attract and retain other Customers.</w:t>
      </w:r>
    </w:p>
    <w:p>
      <w:pPr>
        <w:spacing w:after="0" w:line="161"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Our Customer contracts generally do not contain long-term commitments from our Customers, and our Customers may be able to terminate their agreements with us prior to expiration of the contract’s term. The current term of our agreement with Square for Square Card expires in December 2024, and the current term of our agreement with Square for Cash App expires in March 2024, and each agreement automatically renews thereafter for successive one-year periods. 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 with them. In addition, the processing volume from Square has in the past fluctuated from period to period and may fluctuate or decline in future periods. Our net revenue and results of operations could suffer if, among other things, Square does not continue to use our products, uses fewer of our products, reduces its processing volume, or renegotiates, terminates or fails to renew, or to renew on similar or favorable terms, its agreement with us.</w:t>
      </w:r>
    </w:p>
    <w:p>
      <w:pPr>
        <w:spacing w:after="0" w:line="28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recent growth, ongoing changes in our industry, and our transaction mix make it difficult to forecast our net revenue and evaluate our business and future prospects.</w:t>
      </w:r>
    </w:p>
    <w:p>
      <w:pPr>
        <w:spacing w:after="0" w:line="62"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favorable to our business. As a result of ongoing changes in our evolving industry, our ability to forecast our future results of operations and plan for and model future growth is limited and subject to a number of uncertainties. In particular, forecasting our future results of operations can be challenging because our net revenue depends in part on our Customers’ end users, and our transaction mix adds further complexity. Our transaction mix refers to the proportion of signature debit versus Personal Identification Number, or PIN, debit transactions and consumer versus commercial transactions that make up our TPV. In general, transactions that require a signature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28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maintain profitability.</w:t>
      </w:r>
    </w:p>
    <w:p>
      <w:pPr>
        <w:spacing w:after="0" w:line="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We have incurred significant net losses in each year since our inception, including net losses of $58.2 million and $47.7 million in the years ended December 31, 2019 and 2020, respectively. We expect to continue to incur net losses for the foreseeable future and we may not achieve or maintain profitability in the future. Because the market for our Platform, products, and services is evolving, it is difficult for us to predict our future results of operations or the limits of our market opportunity. We expect our operating expenses to significantly increase over the next several years as we hire additional personnel, expand our operations and infrastructure, both domestically and internationally, continue to enhance our Platform and develop and expand its capabilities, expand our products and services, and expand and improve our application programming interface, or API. These initiatives may be more costly than we expect and may not result in increased net revenue. In addition, when we become a public company, we will incur additional significant legal, accounting, and other expenses that we did not incur as a private company. Any failure to increase our net revenue sufficiently to keep pace with our initiatives, investments, and other expenses could prevent us from achieving or maintaining profitability or positive cash flow on a consistent basis in future periods. If we fail to achieve or maintain profitability,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6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76"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our Platform, products, and services by our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 in increasing our Customers’ processing volumes;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and success of new capabilities by us or by our competitors or any other change in the competitive landscape of our market;</w:t>
      </w:r>
    </w:p>
    <w:p>
      <w:pPr>
        <w:spacing w:after="0" w:line="14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expenses and recognition of net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 in certain Customers’ processing volumes that are subject to seasonal fluctuations;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Card Networks to set interchange rates;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hiring new employees;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or consultants and the recognition of associated expenses;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share-based compensation expense (including with respect to the CEO Long-Term Performance Award);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federal, state, or local tax regulations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market and economic volatility caused by the COVID-19 pandemic on our business and the businesses of our Customers;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on consumer demand and spending patterns;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or investors’ expectations, or those of analysts that cover us, with respect to net revenue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or other key metrics for a particular period. If we fail to meet or exceed such expectations for these or any other reasons, the trading price of our Class A common stock could fall, and we could face costly lawsuits, including securities class action suits.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COVID-19 pandemic could adversely affect our business, results of operations, and financial condition.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March 2020, the World Health Organization declared the novel strain of coronavirus, COVID-19, a global pandemic. This contagious disease outbreak has continued to spread and the related public health measures, including orders to shelter in place, travel restrictions, and mandated business closures, have adversely affected workforces, organizations, Customers, economies, and financial markets globally, leading to an economic downturn and increased market volatility.</w:t>
      </w:r>
    </w:p>
    <w:p>
      <w:pPr>
        <w:spacing w:after="0" w:line="18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outbreak, as well as intensified measures undertaken to contain the spread of COVID-19, has impacted our day-to-day operations. Like many other companies, our workforce is currently working remotely and assisting new and existing Customers who are also generally working remotely. All of our currently planned Customer, employee, and industry events have been shifted to virtual-only experiences, and we may deem it advisable to similarly alter, postpone, or cancel additional Customer, vendor, employee, or industry events in the future. Live event attendance and sponsorship is one of the ways we connect with prospective Customers. We rely on events, such as Money20/20, for a portion of our lead generation. Because our solution is technical and requires in-depth discussions around Customer use cases, it can be challenging to acquire new Customers through predominantly online outreach, such as virtual events, email, and targeted ads. The COVID-19 pandemic and the cancellation or postponement of live events may impair our ability to acquire new Customers and prospects until live events return. In addition, we may incur increased workforce costs, including costs associated with remote working, implementing additional personnel and workplace safety protocols when the majority of our employees return to an office, and workplace or labor claims and disputes related to COVID-19.</w:t>
      </w:r>
    </w:p>
    <w:p>
      <w:pPr>
        <w:spacing w:after="0" w:line="18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continued spread of COVID-19 could also have an adverse impact on our vendors, partners, and Customers, therefore materially and adversely impacting our business, results of operations, and overall financial performance in future periods. For example, we have experienced, and may continue to experience, a decrease in processing volumes from certain Customers, particularly those in industries that are heavily impacted by shelter-in-place orders, such as travel; delayed sales cycles, including Customers and prospective Customers delaying contract signing or contract renewals; and delays in launching strategic partnerships and opportunities. These disruptions could continue to adversely affect our business, results of operations, and financial condition, and could have other currently unforeseen negative impacts on us.</w:t>
      </w:r>
    </w:p>
    <w:p>
      <w:pPr>
        <w:spacing w:after="0" w:line="178"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part due to the COVID-19 pandemic, we have also experienced increased processing volumes for some of our Customers that provide services such as on-demand food and grocery deliveries. As a result, our net revenue growth in recent periods has increased, as additional consumers have shifted to using these services. If this trend in consumer demand and spending patterns slows or reverses as shelter-in-place restrictions ease and as the pandemic subsides, our net revenue growth may be adversely affected. While we have developed and continue to develop plans to help mitigate the potential negative impact of the outbreak on our business, these efforts may not be effective and a protracted economic downturn will likely limit the effectiveness of our mitigation efforts. It is not possible for us to predict the duration or magnitude of the adverse results of the COVID-19 pandemic and its effects on our business, results of operations, or financial condition at this time. To the extent the COVID-19 pandemic adversely affects our business, results of operations, and financial condition, it may also have the effect of heightening many of the other risks described in this “Risk Factors” section.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76"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If we are unable to maintain the quality of our relationships with financial institutions, including Issuing Banks and Card Networks, that provide certain services that are an important part of our product offering, or fail to comply with our contractual requirements with these financial institutions, our business would be adversely affected. We partner with Issuing Banks, who issue payment cards to our Customers and settle payment transactions on such cards. A significant portion of our payment transactions are settled through one Issuing Bank, Sutton Bank. For the years ended December 31, 2019 and 2020, approximately 97% and 96%, respectively, of TPV was settled through Sutton Bank. If Sutton Bank terminates our agreement with them or is unable or unwilling to process our transactions for any reason, we may be required to switch some or all of our processing volume to one or more other Issuing Banks, including to any of the three other U.S. Issuing Banks that we currently settle payment transactions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 We also have agreements directly with Card Networks, such as Visa, Mastercard, and PULSE, which is part of the Discover Global Network, that, among other things, provide for certain monetary incentives to us based on the processing volume of our Customers’ transactions routed through the respective Card Network. If we were to lose our certification with a Card Network, we could lose Customers because our Customers would need to switch to a different Card Network, would have fewer Card Networks to choose from for their card programs, and may be able to obtain more favorable interchange rates from Card Networks that we are not certified with.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182"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agreements with Issuing Banks and Card Networks require us to comply with Card Network operating rules. The Card Networks set these network rules and have discretion to interpret the rules and change them at any time. While changes in the network rules usually relate to pricing, other types of changes could require us to take certain steps to comply or adapt. For example, we began to issue cards with chips built in when a network rule changed to enable chip and PIN transactions. The termination of the card association registrations held by us or any of the Issuing Banks or any changes to these network rules or how they are interpreted could have a significant impact on our business and financial condition. Any changes to or interpretations of the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fine us or prohibit us from processing payment cards. In addition, violations of the network rules or any failure to maintain good relationships with the Card Networks could impact our ability to receive incentives from them, increase our costs, or otherwise adversely affect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conditions in our industry or the global economy could adversely affect our business, results of operations, and financial condition.</w:t>
      </w:r>
    </w:p>
    <w:p>
      <w:pPr>
        <w:spacing w:after="0" w:line="14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performance is subject to economic conditions and their impact on levels of spending by businesses and their customers. Our net revenue is dependent on the usage of our Platform, which in turn is influenced by the volume of business our Customers conduct. To the extent that weak economic conditions result in a reduced volume of business for our Customers and prospective Customers, demand for, and use of, our Platform, products,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services may decline. If spending by their customers declines, our Customers could process fewer payments with us or, if our Customers cease to operate, they could stop using our Platform and our products and services altogether. 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w:t>
      </w:r>
    </w:p>
    <w:p>
      <w:pPr>
        <w:spacing w:after="0" w:line="2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Performance issues in our Platform or our Platform’s transaction processing could diminish demand for our Platform or products, adversely affect our business and results of operations, and subject us to liabilities.</w:t>
      </w:r>
    </w:p>
    <w:p>
      <w:pPr>
        <w:spacing w:after="0" w:line="62"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The risk of performance issues has increased in recent periods due to the significant increase in our TPV. This risk of performance issues further increases with new product launches and geographical expansion. We release regular updates to our Platform, which have in the past contained, and may in the future contain, undetected errors, failures, vulnerabilities, and bugs. Additionally, we may experience errors, inaccuracies, or omissions in our processing, reconciling or reporting of transactions.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27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Systems failures and interruptions in the availability of our Platform may adversely affect our business, results of operations, and financial condition.</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Our continued growth depends on the efficient operation of our Platform without interruption or degradation of performance. Our business involves processing large numbers of transactions, the movement of large sums of money on an aggregate basis, and the management of large amounts of data, and a system outage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ransomware attacks, or other security-related incidents. For example, on August 30, 2020, a major internet service and bandwidth provider experienced a significant outage that impacted us as well as a significant number of other services and providers across the internet. During this outage, the functionality of our Platform was affected, including denial of certain Customer transactions and connectivity issues. In some instances, we may not be able to identify the cause or causes of these performance problems immediately or in short order, and we may face difficulties remediating and otherwise responding to any such issues. We may not be able to maintain the level of service uptime and performance needed by our Customers, especially as TPV increases. We have experienced high growth in TPV over the past several years and expect such growth may continue for the coming years; however, if we are unable to maintain sufficient processing capacity, Customers could face longer processing times or even downtime. Furthermore, any efforts to further scale the Platform or increase its complexity to handle a larger number or more complicated transactions could result in performance issues, including downtime. If our Platform is unavailable or if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Customers are unable to access the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57"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Moreover, we depend on services from various third-party vendors to maintain our infrastructure, including data center facilities and cloud storage platforms. We conduct vendor due diligence; however, if a service provider fails to develop and maintain sufficient internal control processes or fails to provide sufficient capacity to support our Platform or otherwise experiences service outages, such failure could interrupt the operation of our Platform, potentially adversely affecting our Customers or their perception of our Platform’s reliability and adversely affecting the business of Customers using our Platform. Any disruptions in these services, including as a result of actions outside of our control, would significantly impact the continued performance of our Platform. In the future, these services may not be available to us on commercially reasonable terms, or at all. Any loss of the right to use any of these services could result in decreased functionality of our Platform until equivalent technology is either developed by us or, if available from another provider, is identified, obtained, and integrated into our infrastructure. If we do not accurately predict our infrastructure capacity requirements, our Customers could experience service shortfalls. We may also be unable to effectively address capacity constraints, upgrade our systems as needed, and continually develop our technology and network architecture to accommodate actual and anticipated changes in technology.</w:t>
      </w:r>
    </w:p>
    <w:p>
      <w:pPr>
        <w:spacing w:after="0" w:line="16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Further, our Customer contracts typically provide for service level commitments. If we suffer extended periods of downtime for our Platform or are otherwise unable to meet these commitments, then we are contractually obligated to provide a service credit, which may be based on a percentage of the processing volume on the day of an incident or the fees charged on the day of an incident, or it may be based on our overall monthly transaction success rate and the incentive payments or fees from that month. We have experienced incidents requiring us to pay service level credits in the past, such as in January and February 2019 when transactions for one of our Customers were slowed and/or interrupted for several hours. In addition, the performance and availability of the cloud-based solutions that provide cloud infrastructures for our Platform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8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292"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16"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employees, Customers, and end users. The confidentiality, security, and integrity of such sensitive business information residing on our systems is important to our business. Any unauthorized access, intrusion, infiltration, network disruption, denial of service, or similar incident could disrupt the integrity, continuity, security, and trust of our systems or data, or the systems or data of our Customers or vendors. These incidents are often difficult to detect and are constantly evolving, and we or our Customers or vendors may face difficulties or delays in identifying or otherwise responding to any incident. Unauthorized parties have attempted and may continue to attempt to gain access to our Platform, systems, or facilities, and those of our Customers, partners,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and vendors, through various means and with increasing sophistication.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Customers or vendors, could have a material adverse effect on our business, results of operations, and financial condition.</w:t>
      </w:r>
    </w:p>
    <w:p>
      <w:pPr>
        <w:spacing w:after="0" w:line="194"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Under Card Network rules and our contracts with our Issuing Banks, if there is a breach of payment card information that we store or that is stored by our Customers or other third parties that we do business with, we could be liable to the Issuing Banks for certain of their costs and expenses. Additionally, if our own confidential business information were improperly disclosed, our business could be materially and adversely affected. The reliability and security of our Platform is a core component of our business. Any perceived or actual breach of security, regardless of how it occurs or the extent of the breach, could have a significant impact on our reputation as a trusted brand, cause us to lose existing Customers, prevent us from obtaining new Customers, require us to expend significant funds to remedy problems caused by breaches and to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vendor providing services to us or our Customers could have similar effects.</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While we maintain cybersecurity insurance, subject to applicable deductibles and policy limitations, our insurance may be insufficient to cover all liabilities incurred by such attacks. We cannot be certain that our insurance coverage will be adequate for privacy, data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business depends on a strong and trusted brand, and any failure to maintain, protect, enhance, and market our brand would hurt our business.</w:t>
      </w:r>
    </w:p>
    <w:p>
      <w:pPr>
        <w:spacing w:after="0" w:line="15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developed a strong and trusted brand that has contributed significantly to the success of our business. We believe that maintaining and promoting our brand in a cost-effective manner is important to achieving widespread acceptance of our Platform and the products and services we offer, expanding our base of Customers and end users, and increasing our TPV. Our brand is predicated on the idea that we offer modern payment solutions to our Customers and our Platform helps enable them to successfully operate their businesses. We are dedicated to building and maintaining a Platform our Customers can trust and creating solutions for our Customers who choose to build and grow their businesses with our card programs and other services. Maintaining and promoting our brand will depend largely on our ability to continue to provide a useful, reliable, secure, and innovative Platform, as well as our ability to maintain trust and be a payments processing innovator and leader. We may, from time to time, introduce, or make changes to, our Platform, products, services, privacy practices, or other practices or terms of service that Customers do not like, which may materially and adversely affect our brand. Brand promotion activities may not generate Customer awareness or increase net revenue, and even if they do, any increase in net revenue may not offset the expenses we incur in building our brand. In addition, due to the COVID-19 pandemic and the restrictions on travel, we are not able to organize certain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marketing and promotional events and in-person meetings to facilitate Customer adoption and generate leads with potential Customers. If we fail to successfully promote and maintain our brand or if we incur excessive expense in this effort, our business could be materially and adversely affected.</w:t>
      </w:r>
    </w:p>
    <w:p>
      <w:pPr>
        <w:spacing w:after="0" w:line="124"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 Any negative publicity about our company, our industry, the quality and reliability of our Platform, our risk management processes, changes to our products and services, our ability to effectively manage and resolve Customer complaints, our privacy, data protection, and information security practices, litigation, regulatory activity, policy positions, or the experience of our Customers with our Platform, products, and services could adversely affect our reputation and the confidence in and use of our Platform, products, and services. If we do not successfully maintain a strong and trusted brand, our business could be materially and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8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adapt to rapid technological change and develop enhancements and new capabilities for our Platform, our ability to remain competitive could be impaired.</w:t>
      </w:r>
    </w:p>
    <w:p>
      <w:pPr>
        <w:spacing w:after="0" w:line="6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compete in an industry that is characterized by rapid technological change,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programs and capabilities on a timely and secure basis to keep pace with technological developments and Customer expectations. If we are unable to provide enhancements and new programs for our Platform, develop new capabilities that achieve market acceptance, or innovate quickly enough to keep pace with rapid technological developments, our business could be adversely affected. We must also keep pace with changing legal and regulatory regimes that affect our Platform, products, services, and business practices. We may not be successful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developing modifications, enhancements, and improvements, in bringing them to market quickly or cost-effectively in response to market demands, or at modifying our Platform to remain compliant with applicable legal and regulatory requirements.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6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the year ended December 31, 2020, we derived less than 2% of our net revenue from Customers located outside the United States, based on their billing address. The future success of our business will depend, in part, on our ability to offer our Platform internationally and expand our international Customer base. While we have been expanding our Platform, products, services and sales efforts internationally, our experience in selling our Platform, products, and services outside of the United States is early. The spread of COVID-19 may also complicate efforts to expand our business internationally by restricting our ability to travel and engage in certain sales and marketing activities abroad. Furthermore, our business model may not be successful or have the same traction outside the United States and we may face additional regulatory hurdles. As a result, our investment in marketing our Platform to these potential Customers may not be successful. If we are unable to increase the net revenue that we derive from international Customers, then our business, results of operations, and financial condition may be adversely affected.</w:t>
      </w:r>
    </w:p>
    <w:p>
      <w:pPr>
        <w:spacing w:after="0" w:line="17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expansion, whether in our existing or new international markets, will require additional resources and controls, and offering our Platform in new geographic regions often requires substantial expenditures and takes considerable time. We may not be successful enough in these new geographies to recoup our investments in a timely manner or at all. Such expansion could also subject our business to substantial risks, including:</w:t>
      </w:r>
    </w:p>
    <w:p>
      <w:pPr>
        <w:spacing w:after="0" w:line="54"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anticipate competitive conditions and competition with market-players that have greater experience in the local markets than we do;</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conformity with applicable business customs, including translation into foreign languages and associated expenses;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we do business as compared with our current operations or a lack of acceptance of our Platform or certain products and services;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support and integrate with local Bank Identification Number sponsors and third-party vendors;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customs, and other challenges caused by distance;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language and cultural differences, and the increased travel, infrastructure, and legal and compliance costs associated with global operations;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gaining acceptance from industry self-regulatory bodies;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right="2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with respect to payment processing, data privacy, data protection, and information security;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U.S. and foreign anti-corruption, anti-bribery, and anti-money laundering laws;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tariffs, sanctions, fines, or other trade restrictions;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complex and potentially conflicting and changing laws of taxing jurisdictions where we conduct business and applicable U.S. tax laws; and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economic and political instability.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these risks, our efforts to expand our global operations may not be successful, potentially limiting our ability to grow our business.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losses relating to the settlement of payment transactions and use of payment cards issued through our Platform.</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are and will continue to be subject to the risk of losses relating to the day-to-day settlement of payment transactions that is inherent in our business model. Customers deposit a certain amount of pre-funding into their Customer account. However, depending on the model of the card program and the timing of funding and transactions, some transactions that exceed the amount of pre-funding in the Customer’s account are still authorized. Customers are ultimately responsible for fulfilling their obligations to fund transactions. However, when a Customer does not have sufficient funds to settle a transaction, we are liable to the Issuing Bank to settle the transaction and may incur losses as a result of claims from the Issuing Bank. We seek to recover such losses from the Customer, but we may not fully recover them if the Customer is unwilling or unable to pay due to their financial condition. Because we are liable to the Issuing Banks, we may also bear the risk of losses if a Customer does not provide payment due to fraudulent or disputed transactions. We are also subject to risk from fraudulent acts of employees or contractors. Although we maintain insurance for certain types of losses, that coverage may be insufficient or limited and may not fully protect against those losses. 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 to greater regulation that would increase our compliance costs. Fraudulent activity could also result in the imposition of regulatory sanctions, including significant monetary fines. The foregoing could have a material adverse effect on our business, results of operations, and financial condition.</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adversely affect our business.</w:t>
      </w:r>
    </w:p>
    <w:p>
      <w:pPr>
        <w:spacing w:after="0" w:line="62"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could terminate their employment with us at any time. Additionally, we do not maintain any key person insurance policies. The loss of one or more of our executive officers, especially our Chief Executive Officer, or other key employees could adversely affect our business. Changes in our executive management team may also cause disruptions in, and adverse impacts to, our business.</w:t>
      </w:r>
    </w:p>
    <w:p>
      <w:pPr>
        <w:spacing w:after="0" w:line="1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to maintain and grow our business, we must attract and retain highly qualified personnel. Competition for highly qualified personnel in the San Francisco Bay Area, where our headquarters is located,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other locations where we maintain offices, is intense, especially for highly skilled employees and experienced sales professionals. We have from time to time experienced, and we expect to continue to experience, difficulty in hiring and retaining employees with appropriate qualifications and at an appropriate cost, which may be compounded during the COVID-19 pandemic.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certain legal obligations, resulting in a diversion of time and resources, and potential liability for us or our employees. In addition, job candidates and existing employees often consider the value of the equity awards they receive in connection with their employment. If the perceived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Conversely, additions of executive-level management and large numbers of employees could significantly and adversely impact our culture.</w:t>
      </w:r>
    </w:p>
    <w:p>
      <w:pPr>
        <w:spacing w:after="0" w:line="182"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Volatility in or lack of appreciation of the trading price of our Class A common stock may also affect our ability to attract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impair our ability to foster the innovation, teamwork, curiosity, and diversity, that we believe is necessary to support our growth.</w:t>
      </w:r>
    </w:p>
    <w:p>
      <w:pPr>
        <w:spacing w:after="0" w:line="3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Exposure to political developments in the United Kingdom, including the United Kingdom’s decision to leave the European Union, could adversely affect us.</w:t>
      </w:r>
    </w:p>
    <w:p>
      <w:pPr>
        <w:spacing w:after="0" w:line="62"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On June 23, 2016, a referendum was held on the United Kingdom’s membership in the European Union, or E.U., resulting in a vote in favor of leaving the European Union. Effective as of January 31, 2020, the United Kingdom formally withdrew its membership from the European Union. The United Kingdom’s decision to leave the European Union has created an uncertain political and economic environment in the United Kingdom and across other European Union member states. The political and economic instability created by the United Kingdom’s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United Kingdom’s exit from the European Union, it is possible that there may be adverse practical or operational implications on our business. For example, the UK Data Protection Act, which substantially implements the General Data Protection Regulation, or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While we have taken measures to preemptively address the impact of the United Kingdom’s departure from the European Union by including contingency clauses in our E.U. master service agreements, for example, these may not adequately protect us from adverse implications on our business. Further, the United Kingdom’s exit from the European Union may create increased compliance costs and an uncertain regulatory landscape for offering equity-based incentives to our employees in the United Kingdom. If we are unable to maintain equity-based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 These and other factors related to the departure of the United Kingdom from the European Union may adversely affect our business, financial condition, and results of operations.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face exposure to foreign currency exchange rate fluctuations, and such fluctuations could adversely affect our business, results of operations, and financial condition.</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16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do not currently maintain a program to hedge exposures in foreign currencies. In the future, however,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estimates or judgments relating to our accounting policies prove to be incorrect, our results of operations could be adversely affected.</w:t>
      </w:r>
    </w:p>
    <w:p>
      <w:pPr>
        <w:spacing w:after="0" w:line="140"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Acquisitions, strategic investments, partnerships, or alliances could be difficult to identify, divert the attention of key management personnel, disrupt our business, dilute stockholder value, and adversely affect our results of operations and financial condition. We may be unable to integrate acquired businesses and technologies successfully or achieve the expected benefits of such acquisitions.</w:t>
      </w:r>
    </w:p>
    <w:p>
      <w:pPr>
        <w:spacing w:after="0" w:line="5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may seek to acquire or invest in businesses, products, or technologies that we believe could complement our Platform, products, and services or expand its breadth, enhance our products and capabilities, expand our geographic reach or Customer base, or otherwise offer growth opportunities. The pursuit of potential investments or acquisitions may divert the attention of management and cause us to incur various expenses in identifying, investigating, and pursuing suitable opportunities, whether or not they are consummated. Any acquisition, investment, or business relationship may result in unforeseen operating difficulties and expenditures. In addition, we have limited experience in investing in and acquiring other businesses. If we acquire additional businesses, we may not be able to successfully integrate the acquired personnel, operations, and technologies, or effectively manage the combined business following the acquisition. Specifically, we may not successfully evaluate or utilize the acquired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not be able to find and identify desirable acquisition targets or we may not be successful in entering into an agreement with any one target.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potentially adversely affecting our results of operations.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if an acquired business fails to meet our expectations, our business, results of operations, and financial condition may suffer.</w:t>
      </w:r>
    </w:p>
    <w:p>
      <w:pPr>
        <w:spacing w:after="0" w:line="21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in the past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Regulation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oversight in a variety of areas, directly and indirectly through our relationships with Issuing Banks and Card Networks, which regulations are subject to change and to uncertain interpretation.</w:t>
      </w:r>
    </w:p>
    <w:p>
      <w:pPr>
        <w:spacing w:after="0" w:line="6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our vendors and our partners are subject to a wide variety of state, federal, and international laws, regulations, and industry standards in the United States and in other countries where we operate both directly and indirectly through our relationships with Issuing Banks and Card Networks. These laws, regulations, industry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standards, and rules govern numerous areas important to our business. While we currently operate our business in an effort to ensure our business itself is not subject to extensive regulation, the Issuing Banks and Card Networks that we partner with operate in a highly regulated landscape, and there is a risk that those regulations could become applicable to us. We are directly subject to regulation in areas including privacy, data security, data protection, and anti-bribery, and our contractual relationships with Issuing Banks and Card Networks subject us to additional regulations including those relating to payments services (such as payment processing and settlement services), consumer protection, anti-money laundering, anti-bribery, escheatment, international sanctions regimes, data privacy and security, intellectual property, and compliance with the Payment Card Industry Data Security Standard, or PCI DSS, a data security standard obligating companies that process, store, or transmit payment card information to maintain security measures designed to protect cardholder data.</w:t>
      </w:r>
    </w:p>
    <w:p>
      <w:pPr>
        <w:spacing w:after="0" w:line="17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regulators. As we expand into new jurisdictions, or expand our Platform and product offerings in existing jurisdictions, the number of foreign regulations and regulators governing our business will expand as well. In addition, as our business and Platform continue to develop and expand, we may become subject to additional rules, regulations, and industry standards. 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to laws and regulations that apply directly to us, we are contractually subject to certain laws and regulations through our relationships with Issuing Banks and Card Networks, which operate in a highly regulated industry.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Consumer Financial Protection Bureau, or CFPB, which is engaged in rulemaking and regulation of the payments industry, including, among other things, the regulation of prepaid cards. While recent reform in the payment industry, such as the formation of the CFPB, has focused on individual consumer protection, legislatures continue to consider whether to include business customers, especially smaller business customers, within the scope of these regulations.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we offer our Platform or our products and services under.</w:t>
      </w:r>
    </w:p>
    <w:p>
      <w:pPr>
        <w:spacing w:after="0" w:line="185"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 majority of our net revenue is derived from Interchange Fees and we expect Interchange Fees to continue to represent a significant percentage of our total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or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Durbin Amendment are able to access higher interchange rates. As a result, to maximize our Interchange Fees, we currently only contract with Issuing Banks that are exempt from the Durbin Amendment when we provide program management services. Changes in regulation or additional rulemaking may adversely affect the way we conduct our business or result in additional compliance obligations and expense for our business and limitations on net revenue.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Many of these laws and regulations are evolving, unclear, and inconsistent across various jurisdictions, and ensuring compliance with them is difficult and costly. With increasing frequency, federal and state regulators are holding businesses in the payments industry to higher standards of training, monitoring, and compliance, including monitoring for possible violations of laws by our Customers and people who do business with our Customers while using our Platform or products. If we fail to comply with laws and regulations applicable to our business in a timely and appropriate manner, we may be subject to litigation or regulatory proceedings, we may have to pay fines and penalties, and our client relationships and reputation may be adversely affected, which could have a material adverse effect on our business, results of operations, and financial condition.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Regulations and industry standards related to privacy and data protection could adversely affect our ability to effectively provide our services.</w:t>
      </w:r>
    </w:p>
    <w:p>
      <w:pPr>
        <w:spacing w:after="0" w:line="14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Governmental bodies and industry organizations in the United States and abroad have adopted, or are considering adopting, laws and regulations restricting the use of, and requiring safeguarding of, personal information. For example, in the United States, all financial institutions must undertake certain steps to ensure the privacy and security of consumer financial information. Further, the California Consumer Privacy Act, or CCPA, became effective on January 1, 2020 and imposes additional restrictions on the collection, processing, and disclosure of personal information, including imposing increased penalties on data privacy incidents. Additionally, a new privacy law, the California Privacy Rights Act, or CPRA, creates additional obligations relating to personal information that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Other U.S. states also are considering omnibus privacy legislation and industry organizations regularly adopt and advocate for new standards in these areas. Many obligations under these other laws and legislative proposals remain uncertain, and we cannot fully predict their impact on our business. If we fail to comply with any of these laws or standards, we may be subject to investigations, enforcement actions, civil litigation, fines and other penalties, all of which may generate negative publicity and have a negative impact on our business.</w:t>
      </w:r>
    </w:p>
    <w:p>
      <w:pPr>
        <w:spacing w:after="0" w:line="17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In the European Economic Area, or EEA, the GDPR, which became effective in 2018, extends the scope of European Union, or E.U., data protection law to all companies processing personal data of E.U. residents, regardless of the company’s location, and requires companies to meet stringent requirements regarding the handling of personal data. The GDPR also imposes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following the exit of the United Kingdom, or U.K., from the E.U., it remains unclear how the U.K. Data Protection Act, which substantially implements the GDPR in the U.K., and other U.K. data protection laws or regulations will develop in the medium to longer term and how data transfers to and from the U.K. will be regulated. We have incurred substantial expense in complying with new data protection legal frameworks and we may be required to make additional, significant changes in our business operations, all of which may adversely affect our revenue and our business overall. Additionally, because these new regimes lack a substantial enforcement history, we are unable to predict how emerging standards may be applied to us.</w:t>
      </w:r>
    </w:p>
    <w:p>
      <w:pPr>
        <w:spacing w:after="0" w:line="168"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one of the mechanisms we had relied on to legitimize E.U.-U.S. data transfers. The court, however, approved an alternative transfer mechanism that we rely on known as the standard contractual clauses provided additional safeguards are in place. We are in the process of assessing this decision and its impact on our data transfer mechanisms. It is possible that the decision will restrict the ability to transfer personal data from the E.U. to the United States. We (and many other companies) may need to implement different or additional measures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establish or maintain legitimate means for the transfer and receipt of personal data from the E.U. to the U.S., and we may, in addition to other impacts, experience additional costs associated with increased compliance burdens, and we and our Customers face the potential for regulators to apply different standards to the transfer of personal data from the E.U. and Switzerland to the U.S., and to block, or require ad hoc verification of measures taken with respect to, certain personal data transfers from the E.U. and Switzerland to the United States. Any inability to transfer personal data from the E.U. to the United States in compliance with data protection laws or otherwise comply with requirements in this rapidly changing environment may impede our ability to attract and retain Customers unless and until we build out an E.U.-compliant data processing center. These restrictions may adversely affect our business and financial position.</w:t>
      </w:r>
    </w:p>
    <w:p>
      <w:pPr>
        <w:spacing w:after="0" w:line="19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Some countries are also considering or have passed legislation requiring local storage and processing of data, or similar requirements, potentially increasing the cost and complexity of our operations.</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connection with providing services to our Customers, we are required by certain self-regulatory frameworks and contractual arrangements with Card Networks and Issuing Banks to provide assurances regarding the confidentiality and security of non-public consumer information, including the PCI DSS. Further, certain Customers increasingly expect us to comply with more stringent privacy, data protection and information security requirements than those imposed by laws, regulations or self-regulatory requirements, and we may be obligated contractually to comply with additional or different standards relating to our handling or protection of data on or by our offerings. The compliance standards relate to our infrastructure, components, and operational procedures designed to safeguard the confidentiality and security of non-public consumer personal information received from our Customers in the course of providing services. Our ability to maintain compliance with these standards and meet our Customers’ requirements may affect our ability to attract and maintain business in the future.</w:t>
      </w:r>
    </w:p>
    <w:p>
      <w:pPr>
        <w:spacing w:after="0" w:line="178"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If we fail to comply with these standards or Customer requirements, or are alleged to have done so, we could be exposed to suits for breach of contract, potentially in addition to governmental proceedings. In addition, our Customer relationships and reputation could be adversely affected, and we could be inhibited in our ability to obtain new Customers. If more restrictive or burdensome laws, rules, or regulations related to privacy, data protection, or information security are adopted by authorities in the future on the federal or state level or internationally, or if existing laws, rules, or regulations become subject to new or differing interpretations or enforcement, or if we become bound by additional obligations to our Customers relating to privacy, data protection, or information security, including any additional compliance standards relating to non-public consumer personal information, our compliance and operational costs may increase, our opportunities for growth may be curtailed by our compliance capabilities or reputational harm, we may find it necessary or appropriate to modify our data processing practices or policies or otherwise restrict our operations, and our potential liability in connection with breaches or incidents relating to privacy, data protection, and information security may increase, all of which could have a material adverse effect on our business, results of operations, and financial condition.</w:t>
      </w:r>
    </w:p>
    <w:p>
      <w:pPr>
        <w:spacing w:after="0" w:line="18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There may continue to be changes in interpretations of existing laws and regulations, or new proposed laws, regulations, industry standards, and other obligations concerning privacy, data protection and information security, which could impair our or our Customers’ ability to collect, use or disclose information relating to consumers, which could decrease demand for our offerings, increase our costs and impair our ability to maintain and grow our Customer base and increase our revenue. Because the interpretation and application of many existing and emerging laws and regulations relating to privacy, data protection and information security, along with industry standards, are uncertain, it is possible that these laws and regulations may be interpreted and applied in new ways that are, or are alleged to be, inconsistent with our data management practices or the features of our products, and we could face fines, lawsuits, regulatory investigations and other claims and penalties, and we could be required to fundamentally change our products or our business practices, any of which could have an adverse effect on our business. Any inability to adequately address privacy, data protection and information security concerns, even if unfounded, or any actual or perceived failure to comply with applicable privacy, data protection or information security laws, regulations, standards and other obligations, could result 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additional cost and liability to us, damage our reputation, inhibit sales and adversely affect our business. Furthermore, the costs of compliance with, and other burdens imposed by, the laws, regulations, standards and policies that are applicable to the businesses of our Customers may limit the use and adoption of, and reduce the overall demand for, our Platform and our products and services.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Additionally, if third parties we work with, such as our partners or vendors, violate applicable laws or our policies, such violations may also put information we process at risk and could in turn adversely affect our business, reputation, financial condition, or results of operations.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adversely affect our business and reputation.</w:t>
      </w:r>
    </w:p>
    <w:p>
      <w:pPr>
        <w:spacing w:after="0" w:line="62"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the U.S. Travel Act, the USA PATRIOT Act, the U.K. Bribery Act 2010,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we outsource certain of our business operations to,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29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changes in applicable export or economic sanctions regulations may create delays in the introduction and deployment of our Platform, products, and services in international markets, or, in some cases, prevent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161"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2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7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recent periods, we have experienced rapid growth, and this growth has placed considerable strain on our IT and settlement operations systems, processes, and personnel. As a result of monitoring our internal controls,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material weakness that we identified occurred because we had inadequate processes and controls to ensure the timely reconciliations of certain customer-related settlement bank accounts.</w:t>
      </w:r>
    </w:p>
    <w:p>
      <w:pPr>
        <w:spacing w:after="0" w:line="170"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 address this material weakness, we are deploying additional engineering, and settlement operations personnel and are implementing process level and monitoring controls to ensure timely reconciliation of these customer-related settlement bank accounts. We will not be able to sufficiently remediate these control deficiencies until these steps have been completed and the controls have been operating effectively for a sufficient period of time. While we are undertaking efforts to remediate this material weakness, we cannot predict the success of such efforts or the outcome of our assessment of the remediation efforts at this time. We can give no assurance that our efforts will remediate this deficiency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system as part of our control environment, and we have hired additional accounting and finance personnel to help us implement these processes and controls. As a result of monitoring our internal controls for the year ended December 31, 2019, we identified a material weakness in our internal control over financial reporting. To address this material weakness, we are deploying additional engineering, and settlement operations personnel and are implementing process level and monitoring controls to ensure timely reconciliation of these customer-related settlement bank accounts.</w:t>
      </w:r>
    </w:p>
    <w:p>
      <w:pPr>
        <w:spacing w:after="0" w:line="18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95"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additional deficiencies in our disclosure controls and internal control over financial reporting may be discovered in the future. Any failure to develop or maintain effective controls or any difficulties encountered in their implementation or improvement could adversely affect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In addition,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 As a public company, we will be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required to provide an annual management report on the effectiveness of our internal control over financial reporting commencing with our second annual report on Form 10-K.</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results of operations or the way we conduct our business.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not collected sales, value added or similar indirect taxes in all jurisdictions in which we have sales. One or more jurisdictions may seek to impose incremental or new sales, value added or other indirect tax collection obligations on us. Additionally, the Supreme Court of the United States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The requirement to collect sales, value added or similar indirect taxes by foreign, state or local governments for sellers that do not have a physical presence in the jurisdiction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tax laws or regulations could have a material adverse effect on our business, results of operations, and financial conditions.</w:t>
      </w:r>
    </w:p>
    <w:p>
      <w:pPr>
        <w:spacing w:after="0" w:line="1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the U.S. Department of the Treasury, and state and local tax authorities. Changes in U.S. tax laws or their interpretations (which may have retroactive application), such as, for example, President Biden’s plan to increase the U.S. federal corporate income tax rate, could materially increase the amount of taxes we owe, thereby negatively impacting our results of 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w:t>
      </w:r>
    </w:p>
    <w:p>
      <w:pPr>
        <w:spacing w:after="0" w:line="19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potentially adversely affecting our liquidity and results of operations. In addition, the authorities in these jurisdictions could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review our tax returns and impose additional tax, 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have exposure to greater-than-anticipated tax liabilities, which may materially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17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We do not believe our existing NOLs are subject to limitation; however, if we have undergone previous ownership changes, or if we undergo an ownership change in the future, or in connection with this offering,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16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addition, the amount of NOLs arising in taxable years beginning after December 31, 2017 that we are permitted to deduct in a taxable year beginning after December 31, 2020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For example, California recently enacted legislation suspending the use of NOLs for taxable years 2020, 2021 and 2022 for many taxpayers.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Furthermore, our ability to utilize our NOLs is conditioned upon our becoming profitable in the future and generating U.S. federal taxable income. Since we do not know whether or when we will generate the U.S. federal taxable income necessary to utilize our remaining NOLs, the portion of our NOLs that was generated in taxable years beginning on or prior to December 31, 2017 could expire unused.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reduced net revenue, and incur costly litigation to protect our rights.</w:t>
      </w:r>
    </w:p>
    <w:p>
      <w:pPr>
        <w:spacing w:after="0" w:line="62"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 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 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16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capabilities, and we cannot assure you that we could license that technology on commercially reasonable terms or at all, and our inability to license this technology could impair our ability to compete.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accused of infringing the intellectual property rights of third parties.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9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 existing solutions, which could severely weaken our business. Even if we are successful in defending against these claims, litigation efforts are costly, time-consuming and a significant distraction to management.</w:t>
      </w:r>
    </w:p>
    <w:p>
      <w:pPr>
        <w:spacing w:after="0" w:line="17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b w:val="1"/>
          <w:bCs w:val="1"/>
          <w:i w:val="1"/>
          <w:iCs w:val="1"/>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1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will be determined through negotiation among the underwriters and us and may vary from the trading price of our Class A common stock following this offering. The market prices of the securities of other newly public companies have historically been highly volatile and markets in general have been highly volatile in light of the COVID-19 pandemic. The trading price of our Class A common stock may fluctuate significantly in response to numerous factors, many of which are beyond our control, including:</w:t>
      </w:r>
    </w:p>
    <w:p>
      <w:pPr>
        <w:spacing w:after="0" w:line="93"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fintech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cybersecurity in the United States or globally;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or elections (including the upcoming U.S. presidential election), or responses to these events;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stock markets, and the market for technology and fintech companies in particular, have experienced price and volume fluctuations that have affected and continue to affect the market prices of equity securities of many companies. Often, trading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6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trading price of our Class A common stock could decline substantially. Such a trading price decline could occur even when we have met any previously publicly stated net revenue or earnings forecasts that we may provide.</w:t>
      </w:r>
    </w:p>
    <w:p>
      <w:pPr>
        <w:spacing w:after="0" w:line="28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Class B common stock has 10 votes per share, and our Class A common stock, which is the stock we are offering in this offering, has one vote per</w:t>
      </w:r>
    </w:p>
    <w:p>
      <w:pPr>
        <w:spacing w:after="0" w:line="46" w:lineRule="exact"/>
        <w:rPr>
          <w:sz w:val="20"/>
          <w:szCs w:val="20"/>
          <w:color w:val="auto"/>
        </w:rPr>
      </w:pPr>
    </w:p>
    <w:p>
      <w:pPr>
        <w:jc w:val="both"/>
        <w:ind w:left="120" w:right="20"/>
        <w:spacing w:after="0" w:line="268" w:lineRule="auto"/>
        <w:rPr>
          <w:sz w:val="20"/>
          <w:szCs w:val="20"/>
          <w:color w:val="auto"/>
        </w:rPr>
      </w:pPr>
      <w:r>
        <w:rPr>
          <w:rFonts w:ascii="Arial" w:cs="Arial" w:eastAsia="Arial" w:hAnsi="Arial"/>
          <w:sz w:val="17"/>
          <w:szCs w:val="17"/>
          <w:color w:val="auto"/>
        </w:rPr>
        <w:t>share. Following this offering, our directors, executive officers, and their affiliates, will beneficially own in the aggregate % of the voting power of our capital stock as of December 31, 2020.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the tenth anniversary of the date of this prospectus,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18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adverse publicity, or other adverse consequences. For example, certain index providers have announced restrictions on including companies with multiple-class share structures in certain of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or continue to have on the valuations of publicly 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intend to apply to list our Class A common stock on Nasdaq, under the symbol “MQ.” However,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9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52" w:lineRule="exact"/>
        <w:rPr>
          <w:sz w:val="20"/>
          <w:szCs w:val="20"/>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 Oxley Act;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an emerging growth company for up to five years following the completion of this offering. Our status as an emerging growth company will end as soon as any of the following takes place: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 exemptions afforded emerging growth companies. If some investors find our Class A common stock less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attractive because we rely on any of these exemptions, there may be a less active trading market for our Class A common stock and the trading price of our Class A common stock may be more volatile.</w:t>
      </w:r>
    </w:p>
    <w:p>
      <w:pPr>
        <w:spacing w:after="0" w:line="170"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of our Class A common stock and trading volume could be adversely affected.</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trading price would likely decline. If one or more of these analysts cease coverage of us or fail to publish reports on us on a regular basis, demand for our Class A common stock could decrease, potentially causing our Class A common stock trading price and trading volume to decline.</w:t>
      </w:r>
    </w:p>
    <w:p>
      <w:pPr>
        <w:spacing w:after="0" w:line="27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such as when our lock-up restrictions are released, or the perception that sales might occur, could cause the trading price of our Class A common stock to decline.</w:t>
      </w:r>
    </w:p>
    <w:p>
      <w:pPr>
        <w:spacing w:after="0" w:line="62"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and principal stockholders, or the perception that these sales might occur, could cause the trading price of our Class A common stock to decline. Based on the total number of outstanding shares of our common stock as of December 31, 2020, upon completion of this offering, we will have outstanding a total</w:t>
      </w:r>
    </w:p>
    <w:p>
      <w:pPr>
        <w:spacing w:after="0" w:line="2"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of shares of Class A common stock and 482,157,178 shares of Class B common stock. This assumes no exercise of outstanding options and gives effect to the conversion of all of our outstanding shares of redeemable convertible preferred stock into shares of Class B common stock and the</w:t>
      </w:r>
    </w:p>
    <w:p>
      <w:pPr>
        <w:spacing w:after="0" w:line="1"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8"/>
          <w:szCs w:val="18"/>
          <w:color w:val="auto"/>
        </w:rPr>
        <w:t>issuance of</w:t>
      </w:r>
      <w:r>
        <w:rPr>
          <w:sz w:val="20"/>
          <w:szCs w:val="20"/>
          <w:color w:val="auto"/>
        </w:rPr>
        <w:tab/>
      </w:r>
      <w:r>
        <w:rPr>
          <w:rFonts w:ascii="Arial" w:cs="Arial" w:eastAsia="Arial" w:hAnsi="Arial"/>
          <w:sz w:val="16"/>
          <w:szCs w:val="16"/>
          <w:color w:val="auto"/>
        </w:rPr>
        <w:t>shares of Class A common stock on the completion of this offering.</w:t>
      </w:r>
    </w:p>
    <w:p>
      <w:pPr>
        <w:spacing w:after="0" w:line="211"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Substantially all of our securities outstanding prior to the completion of this offering are currently restricted from resale as a result of lock-up and market standoff agreements. See the section titled “Shares Eligible for Future Sale” for additional information. These securities will become available to be</w:t>
      </w:r>
    </w:p>
    <w:p>
      <w:pPr>
        <w:jc w:val="both"/>
        <w:ind w:left="120"/>
        <w:spacing w:after="0" w:line="252" w:lineRule="auto"/>
        <w:rPr>
          <w:sz w:val="20"/>
          <w:szCs w:val="20"/>
          <w:color w:val="auto"/>
        </w:rPr>
      </w:pPr>
      <w:r>
        <w:rPr>
          <w:rFonts w:ascii="Arial" w:cs="Arial" w:eastAsia="Arial" w:hAnsi="Arial"/>
          <w:sz w:val="18"/>
          <w:szCs w:val="18"/>
          <w:color w:val="auto"/>
        </w:rPr>
        <w:t>sold days after the date of the final prospectus relating to the offering. The lead underwriters may, in their discretion, permit our security holders to sell shares prior to the expiration of the restrictive provisions contained in the lock-up agreements. Sales of a substantial number of such shares upon expiration of the lock-up and market standoff agreements, the perception that such sales may occur, or early release of these agreements could cause our trading price to fall or make it more difficult for you to sell your Class A common stock at a time and price that you deem appropriate. Shares held by directors, executive officers, and other affiliates will also be subject to volume limitations under Rule 144 under the Securities Act of 1933, as amended, or the Securities Act, and various vesting agreements.</w:t>
      </w:r>
    </w:p>
    <w:p>
      <w:pPr>
        <w:spacing w:after="0" w:line="194"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as of December 31, 2020, we had 23,421,374 options outstanding that, if fully exercised, would result in the issuance of shares of Class B common stock, as well as 4,430,336 shares of common stock subject to RSU awards. All of the shares of Class B common stock issuable upon the exercise of stock options, subject to RSU awards, and the shares reserved for future issuance under our equity incentive plans will be registered for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2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Following this offering, the holders of up to 358,036,944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7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Because the initial public offering price of our Class A common stock is substantially higher than the pro forma net tangible book value per share of our outstanding common stock following this offering, new investors will experience immediate and substantial dilution.</w:t>
      </w:r>
    </w:p>
    <w:p>
      <w:pPr>
        <w:spacing w:after="0" w:line="38"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common stock immediately following this offering based on the total value of our tangible assets less our total liabilities. Therefore, if you purchase</w:t>
      </w:r>
    </w:p>
    <w:p>
      <w:pPr>
        <w:jc w:val="both"/>
        <w:ind w:left="120"/>
        <w:spacing w:after="0" w:line="255" w:lineRule="auto"/>
        <w:rPr>
          <w:sz w:val="20"/>
          <w:szCs w:val="20"/>
          <w:color w:val="auto"/>
        </w:rPr>
      </w:pPr>
      <w:r>
        <w:rPr>
          <w:rFonts w:ascii="Arial" w:cs="Arial" w:eastAsia="Arial" w:hAnsi="Arial"/>
          <w:sz w:val="18"/>
          <w:szCs w:val="18"/>
          <w:color w:val="auto"/>
        </w:rPr>
        <w:t>shares of our Class A common stock in this offering, you will experience immediate dilution of $ per share, representing the difference between the price per share you pay for our Class A common stock and the pro forma net tangible book value per share as of December 31, 2020, after giving effect to the issuance of shares of our Class A common stock in this offering. See the section titled “Dilution” below.</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proceeds from this offering and may not use them effectively.</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adversely affect our business. Pending their use, we may invest the net proceeds from this offering in short-term, investment-grade interest-bearing securities such as money market accounts, certificates of deposit, commercial paper, and guaranteed obligations of the U.S. government. Our investments may not yield a favorable return to our investors. If we do not use the net proceeds that we receive in this offering effectively, our business, results of operations, and financial condition could be adversely affected.</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 and could negatively affect our results of operations.</w:t>
      </w:r>
    </w:p>
    <w:p>
      <w:pPr>
        <w:spacing w:after="0" w:line="62" w:lineRule="exact"/>
        <w:rPr>
          <w:sz w:val="20"/>
          <w:szCs w:val="20"/>
          <w:color w:val="auto"/>
        </w:rPr>
      </w:pPr>
    </w:p>
    <w:p>
      <w:pPr>
        <w:jc w:val="both"/>
        <w:ind w:left="120" w:right="20"/>
        <w:spacing w:after="0" w:line="284"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Any additional grants of equity awards under our stock incentive plans will also increase share-based compensation expense and negatively affect our results of operations. For example, in April and May 2021, our</w:t>
      </w:r>
    </w:p>
    <w:p>
      <w:pPr>
        <w:spacing w:after="0" w:line="4"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board of directors granted stock options to Mr. Gardner, covering a maximum of 19,740,923 shares and shares, respectively, of our Class B common stock, which we refer to collectively as the CEO Long-Term Performance Award. The aggregate grant date fair value of these awards was</w:t>
      </w:r>
    </w:p>
    <w:p>
      <w:pPr>
        <w:spacing w:after="0" w:line="1" w:lineRule="exact"/>
        <w:rPr>
          <w:sz w:val="20"/>
          <w:szCs w:val="20"/>
          <w:color w:val="auto"/>
        </w:rPr>
      </w:pPr>
    </w:p>
    <w:p>
      <w:pPr>
        <w:ind w:left="5540" w:right="1300" w:hanging="5424"/>
        <w:spacing w:after="0" w:line="433" w:lineRule="auto"/>
        <w:tabs>
          <w:tab w:leader="none" w:pos="6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million, which will be recognized as share-based compensation over the service period using the accelerated attribution method. 51</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Further,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December 31, 2020, no share-based compensation expense had been recognized for RSUs because the liquidity condition had not occurred. If our initial public offering had occurred on December 31, 2020, we would have recognized $9.8 million of cumulative share-based compensation expense on that date.</w:t>
      </w:r>
    </w:p>
    <w:p>
      <w:pPr>
        <w:spacing w:after="0" w:line="303"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3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96"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Provisions that will be in our amended and restated certificate of incorporation and amended and restated bylaws may have the effect of delaying or preventing a change of control or changes in our management. Our amended and restated certificate of incorporation and amended and restated bylaws, which will become effective upon the completion of this offering, will include provisions that:</w:t>
      </w:r>
    </w:p>
    <w:p>
      <w:pPr>
        <w:spacing w:after="0" w:line="89"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88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75"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right="20" w:hanging="224"/>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292" w:lineRule="exact"/>
        <w:rPr>
          <w:sz w:val="20"/>
          <w:szCs w:val="20"/>
          <w:color w:val="auto"/>
        </w:rPr>
      </w:pPr>
    </w:p>
    <w:p>
      <w:pPr>
        <w:jc w:val="both"/>
        <w:ind w:left="120" w:right="20"/>
        <w:spacing w:after="0" w:line="375" w:lineRule="auto"/>
        <w:rPr>
          <w:sz w:val="20"/>
          <w:szCs w:val="20"/>
          <w:color w:val="auto"/>
        </w:rPr>
      </w:pPr>
      <w:r>
        <w:rPr>
          <w:rFonts w:ascii="Arial" w:cs="Arial" w:eastAsia="Arial" w:hAnsi="Arial"/>
          <w:sz w:val="15"/>
          <w:szCs w:val="15"/>
          <w:b w:val="1"/>
          <w:bCs w:val="1"/>
          <w:i w:val="1"/>
          <w:iCs w:val="1"/>
          <w:color w:val="auto"/>
        </w:rPr>
        <w:t>Our amended and restated bylaws will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to the fullest extent permitted by law, the Court of Chancery of the State of Delaware will be the sole and exclusive forum for any state law claims for:</w:t>
      </w:r>
    </w:p>
    <w:p>
      <w:pPr>
        <w:spacing w:after="0" w:line="76"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 owed by any of our directors, officers or other employees to us or our stockholders;</w:t>
      </w:r>
    </w:p>
    <w:p>
      <w:pPr>
        <w:spacing w:after="0" w:line="153" w:lineRule="exact"/>
        <w:rPr>
          <w:rFonts w:ascii="Arial" w:cs="Arial" w:eastAsia="Arial" w:hAnsi="Arial"/>
          <w:sz w:val="16"/>
          <w:szCs w:val="16"/>
          <w:color w:val="auto"/>
        </w:rPr>
      </w:pPr>
    </w:p>
    <w:p>
      <w:pPr>
        <w:ind w:left="880" w:right="2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22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Delaware Forum Provision will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the company is incorporated in the State of Delaware.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5"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and wildfires. A significant natural disaster, such as an earthquake, fire, or flood, occurring at our headquarters, at one of our other facilities or where a vendor is located, could adversely affect our business, results of operations, and financial condition. Further, if a natural disaster or man-made problem were to affect our vendors, this could adversely affect the ability of our Customers to use our Platform. In addition, natural disasters and acts of terrorism could cause disruptions in our or our Customers’ businesses, national economies, or the world economy as a whole. Health concerns or political or governmental developments in countries where we or our Customers and vendors operate could result in economic, social, or labor instability and could have a material adverse effect on our business, results of operations, and financial condition.</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in part or in full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addition, computer malware, viruses, computer hacking, fraudulent use attempts, and phishing attacks have become more prevalent generally and in our industry, have occurred on our Platform in the past, and may occur on our Platform in the future. Though it is difficult to determine fully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w:t>
      </w:r>
    </w:p>
    <w:p>
      <w:pPr>
        <w:spacing w:after="0" w:line="2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As a public company, we will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178"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 practices. We intend to invest substantial resources to comply with evolving laws, regulations, and standards,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potentially resulting in an increased risk of threatened or actual litigation, including by competitors and other third parties. If such claims are successful, our business, results of operations, and financial condition could be adversely affected, and even if the claims do not result in litigation or are resolved in our favor, these claims, and the time and resources necessary to resolve them, could divert the resources of our management and adversely affect our business, results of operations, and financial condition.</w:t>
      </w:r>
    </w:p>
    <w:p>
      <w:pPr>
        <w:spacing w:after="0" w:line="188"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management and could divert their attention away from the day-to-day management of our business, potentially adversely affecting our business,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8" w:lineRule="exact"/>
        <w:rPr>
          <w:sz w:val="20"/>
          <w:szCs w:val="20"/>
          <w:color w:val="auto"/>
        </w:rPr>
      </w:pPr>
    </w:p>
    <w:p>
      <w:pPr>
        <w:ind w:left="880" w:right="20" w:hanging="224"/>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U.S. and global economies, our business, results of operations, financial condition, demand for our Platform, sales cycles and Customer retention;</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enhance our Platform and develop and expand its capabilities;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further attract, retain, diversify, and expand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Issuing Banks and Card Networks;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strategies, plans, objectives, and goals;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plans to expand internationally;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This prospectus contains statistical data, estimates, and forecasts regarding the payments industry that are based on various sources, including Euromonitor International Limited and other independent industry publications or other publicly available information, as well as other information based on our internal sources. Some data and other information contained in this prospectus are also based on management’s estimates and calculations, which are derived from our review and interpretation of internal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and you are cautioned not to give undue weight to these estimates.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The content of the below sources, except to the extent specifically set forth in this prospectus, does not constitute a portion of this prospectus and is not incorporated herein.</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and publicly-available reports. The source of these independent industry publications is provided below:</w:t>
      </w:r>
    </w:p>
    <w:p>
      <w:pPr>
        <w:spacing w:after="0" w:line="76"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Bain &amp; Company, </w:t>
      </w:r>
      <w:r>
        <w:rPr>
          <w:rFonts w:ascii="Arial" w:cs="Arial" w:eastAsia="Arial" w:hAnsi="Arial"/>
          <w:sz w:val="18"/>
          <w:szCs w:val="18"/>
          <w:i w:val="1"/>
          <w:iCs w:val="1"/>
          <w:color w:val="auto"/>
        </w:rPr>
        <w:t>The Covid-19 Tipping Point for Digital Payments</w:t>
      </w:r>
      <w:r>
        <w:rPr>
          <w:rFonts w:ascii="Arial" w:cs="Arial" w:eastAsia="Arial" w:hAnsi="Arial"/>
          <w:sz w:val="18"/>
          <w:szCs w:val="18"/>
          <w:color w:val="auto"/>
        </w:rPr>
        <w:t>, April 29,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Edgar, Dunn &amp; Company, </w:t>
      </w:r>
      <w:r>
        <w:rPr>
          <w:rFonts w:ascii="Arial" w:cs="Arial" w:eastAsia="Arial" w:hAnsi="Arial"/>
          <w:sz w:val="18"/>
          <w:szCs w:val="18"/>
          <w:i w:val="1"/>
          <w:iCs w:val="1"/>
          <w:color w:val="auto"/>
        </w:rPr>
        <w:t>Global Issuing Processing Market Sizing Model</w:t>
      </w:r>
      <w:r>
        <w:rPr>
          <w:rFonts w:ascii="Arial" w:cs="Arial" w:eastAsia="Arial" w:hAnsi="Arial"/>
          <w:sz w:val="18"/>
          <w:szCs w:val="18"/>
          <w:color w:val="auto"/>
        </w:rPr>
        <w:t>, January 2019</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Euromonitor International Limited, Consumer Finance 2021 Edition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McKinsey &amp; Company, </w:t>
      </w:r>
      <w:r>
        <w:rPr>
          <w:rFonts w:ascii="Arial" w:cs="Arial" w:eastAsia="Arial" w:hAnsi="Arial"/>
          <w:sz w:val="18"/>
          <w:szCs w:val="18"/>
          <w:i w:val="1"/>
          <w:iCs w:val="1"/>
          <w:color w:val="auto"/>
        </w:rPr>
        <w:t>The 2020 McKinsey Global Payments Report</w:t>
      </w:r>
      <w:r>
        <w:rPr>
          <w:rFonts w:ascii="Arial" w:cs="Arial" w:eastAsia="Arial" w:hAnsi="Arial"/>
          <w:sz w:val="18"/>
          <w:szCs w:val="18"/>
          <w:color w:val="auto"/>
        </w:rPr>
        <w:t>,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PYMNTS.com, </w:t>
      </w:r>
      <w:r>
        <w:rPr>
          <w:rFonts w:ascii="Arial" w:cs="Arial" w:eastAsia="Arial" w:hAnsi="Arial"/>
          <w:sz w:val="18"/>
          <w:szCs w:val="18"/>
          <w:i w:val="1"/>
          <w:iCs w:val="1"/>
          <w:color w:val="auto"/>
        </w:rPr>
        <w:t>Inspiring Trust In The New Digital Economy</w:t>
      </w:r>
      <w:r>
        <w:rPr>
          <w:rFonts w:ascii="Arial" w:cs="Arial" w:eastAsia="Arial" w:hAnsi="Arial"/>
          <w:sz w:val="18"/>
          <w:szCs w:val="18"/>
          <w:color w:val="auto"/>
        </w:rPr>
        <w:t>, September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U.S. General Purpose Brands Purchase Volume in 2020</w:t>
      </w:r>
      <w:r>
        <w:rPr>
          <w:rFonts w:ascii="Arial" w:cs="Arial" w:eastAsia="Arial" w:hAnsi="Arial"/>
          <w:sz w:val="18"/>
          <w:szCs w:val="18"/>
          <w:color w:val="auto"/>
        </w:rPr>
        <w:t>, Issue 1191, February 2021</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Global Network Cards in 2019</w:t>
      </w:r>
      <w:r>
        <w:rPr>
          <w:rFonts w:ascii="Arial" w:cs="Arial" w:eastAsia="Arial" w:hAnsi="Arial"/>
          <w:sz w:val="18"/>
          <w:szCs w:val="18"/>
          <w:color w:val="auto"/>
        </w:rPr>
        <w:t>, Issue 1178, June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Top U.S. Issuers of Visa and Mastercard Consumer Cards</w:t>
      </w:r>
      <w:r>
        <w:rPr>
          <w:rFonts w:ascii="Arial" w:cs="Arial" w:eastAsia="Arial" w:hAnsi="Arial"/>
          <w:sz w:val="18"/>
          <w:szCs w:val="18"/>
          <w:color w:val="auto"/>
        </w:rPr>
        <w:t>, Issue 1180 July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Payment Cards Projected Worldwide</w:t>
      </w:r>
      <w:r>
        <w:rPr>
          <w:rFonts w:ascii="Arial" w:cs="Arial" w:eastAsia="Arial" w:hAnsi="Arial"/>
          <w:sz w:val="18"/>
          <w:szCs w:val="18"/>
          <w:color w:val="auto"/>
        </w:rPr>
        <w:t>, Issue 1184,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Visa Inc., 2020 Investor Day Presentation, February 11,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that the net proceeds from the sale of shares of our Class A common stock that we are selling in this offering will be approximately</w:t>
      </w:r>
    </w:p>
    <w:p>
      <w:pPr>
        <w:spacing w:after="0" w:line="35" w:lineRule="exact"/>
        <w:rPr>
          <w:sz w:val="20"/>
          <w:szCs w:val="20"/>
          <w:color w:val="auto"/>
        </w:rPr>
      </w:pPr>
    </w:p>
    <w:p>
      <w:pPr>
        <w:jc w:val="both"/>
        <w:ind w:left="120" w:right="20" w:hanging="4"/>
        <w:spacing w:after="0" w:line="281" w:lineRule="auto"/>
        <w:tabs>
          <w:tab w:leader="none" w:pos="75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million, based upon an assumed initial public offering price of $ per share, which is the midpoint of the estimated offering price range set forth on the cover page of this prospectus, and after deducting estimated underwriting discounts and commissions and estimated offering expenses</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payable by us. If the underwriters’ option to purchase additional shares of our Class A common stock from us is exercised in full, we estimate that our</w:t>
      </w:r>
    </w:p>
    <w:p>
      <w:pPr>
        <w:spacing w:after="0" w:line="2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proceeds would be approximately $ million, after deducting estimated underwriting discounts and commissions and estimated offering expenses payable by us.</w:t>
      </w:r>
    </w:p>
    <w:p>
      <w:pPr>
        <w:spacing w:after="0" w:line="170" w:lineRule="exact"/>
        <w:rPr>
          <w:sz w:val="20"/>
          <w:szCs w:val="20"/>
          <w:color w:val="auto"/>
        </w:rPr>
      </w:pPr>
    </w:p>
    <w:p>
      <w:pPr>
        <w:ind w:left="120"/>
        <w:spacing w:after="0"/>
        <w:tabs>
          <w:tab w:leader="none" w:pos="654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which is the midpoint of the estimated offering price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the net proceeds that we receive from this offering by</w:t>
      </w:r>
    </w:p>
    <w:p>
      <w:pPr>
        <w:spacing w:after="0" w:line="32"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approximately $ million, assuming that the number of shares of Class A common stock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w:t>
      </w:r>
    </w:p>
    <w:p>
      <w:pPr>
        <w:spacing w:after="0" w:line="2"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from this offering by approximately $ million, assuming the assumed initial public offering price remains the same and after deducting the estimated underwriting discounts and commissions payable by us.</w:t>
      </w:r>
    </w:p>
    <w:p>
      <w:pPr>
        <w:spacing w:after="0" w:line="185"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currently intend to use the net proceeds that we will receive from this offering for working capital and other general corporate purposes and to fund our growth strategies, including continued investments in our business globally. We may use some of the net proceeds to satisfy tax withholding obligations related to the vesting and settlement of RSUs. We may also use a portion of the net proceeds that we receive to acquire or invest in complementary businesses, products, services, technologies, or other assets. We do not, however, have any agreements or commitments to enter into any acquisitions or investments at this time.</w:t>
      </w:r>
    </w:p>
    <w:p>
      <w:pPr>
        <w:spacing w:after="0" w:line="16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that we will receive from this offering or the amounts we actually spend on the uses set forth above. Pending the use of proceeds from this offering as described above, we plan to invest a portion of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sets forth cash, cash equivalents, restricted cash, and marketable securities, as well as our capitalization, as of December 31, 2020 as follows:</w:t>
      </w:r>
    </w:p>
    <w:p>
      <w:pPr>
        <w:spacing w:after="0" w:line="76"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880" w:hanging="224"/>
        <w:spacing w:after="0" w:line="291"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 pro forma basis, giving effect to (i) the filing and effectiveness of our amended and restated certificate of incorporation and the adoption of our amended and restated bylaws, (ii) the automatic conversion of all outstanding shares of our redeemable convertible preferred stock into</w:t>
      </w:r>
    </w:p>
    <w:p>
      <w:pPr>
        <w:jc w:val="both"/>
        <w:ind w:left="880" w:right="20"/>
        <w:spacing w:after="0" w:line="281" w:lineRule="auto"/>
        <w:rPr>
          <w:sz w:val="20"/>
          <w:szCs w:val="20"/>
          <w:color w:val="auto"/>
        </w:rPr>
      </w:pPr>
      <w:r>
        <w:rPr>
          <w:rFonts w:ascii="Arial" w:cs="Arial" w:eastAsia="Arial" w:hAnsi="Arial"/>
          <w:sz w:val="16"/>
          <w:szCs w:val="16"/>
          <w:color w:val="auto"/>
        </w:rPr>
        <w:t>an aggregate of 351,844,340 shares of our common stock, (iii) the reclassification of our outstanding common stock as Class B common stock, (iv) the reclassification of the redeemable convertible preferred stock warrant liabilities to additional paid-in capital, (v) the net</w:t>
      </w:r>
    </w:p>
    <w:p>
      <w:pPr>
        <w:spacing w:after="0" w:line="1" w:lineRule="exact"/>
        <w:rPr>
          <w:sz w:val="20"/>
          <w:szCs w:val="20"/>
          <w:color w:val="auto"/>
        </w:rPr>
      </w:pPr>
    </w:p>
    <w:p>
      <w:pPr>
        <w:jc w:val="both"/>
        <w:ind w:left="880" w:right="20"/>
        <w:spacing w:after="0" w:line="529" w:lineRule="auto"/>
        <w:rPr>
          <w:sz w:val="20"/>
          <w:szCs w:val="20"/>
          <w:color w:val="auto"/>
        </w:rPr>
      </w:pPr>
      <w:r>
        <w:rPr>
          <w:rFonts w:ascii="Arial" w:cs="Arial" w:eastAsia="Arial" w:hAnsi="Arial"/>
          <w:sz w:val="17"/>
          <w:szCs w:val="17"/>
          <w:color w:val="auto"/>
        </w:rPr>
        <w:t>issuance of shares of our common stock issuable pursuant to the vesting and settlement of 505,993 RSUs for which the service condition was satisfied as of December 31, 2020, and for which we expect the liquidity condition to be satisfied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80"/>
        <w:spacing w:after="0" w:line="274" w:lineRule="auto"/>
        <w:rPr>
          <w:sz w:val="20"/>
          <w:szCs w:val="20"/>
          <w:color w:val="auto"/>
        </w:rPr>
      </w:pPr>
      <w:r>
        <w:rPr>
          <w:rFonts w:ascii="Arial" w:cs="Arial" w:eastAsia="Arial" w:hAnsi="Arial"/>
          <w:sz w:val="17"/>
          <w:szCs w:val="17"/>
          <w:color w:val="auto"/>
        </w:rPr>
        <w:t>offering, (vi) the increase in other accrued liabilities and an equivalent decrease in additional paid-in capital of $ in connection with tax withholding obligations related to such RSUs, based upon the initial public offering price of $ per share, which is the midpoint of</w:t>
      </w:r>
    </w:p>
    <w:p>
      <w:pPr>
        <w:jc w:val="both"/>
        <w:ind w:left="880" w:right="20"/>
        <w:spacing w:after="0" w:line="253" w:lineRule="auto"/>
        <w:rPr>
          <w:sz w:val="20"/>
          <w:szCs w:val="20"/>
          <w:color w:val="auto"/>
        </w:rPr>
      </w:pPr>
      <w:r>
        <w:rPr>
          <w:rFonts w:ascii="Arial" w:cs="Arial" w:eastAsia="Arial" w:hAnsi="Arial"/>
          <w:sz w:val="18"/>
          <w:szCs w:val="18"/>
          <w:color w:val="auto"/>
        </w:rPr>
        <w:t>the estimated offering price range set forth on the cover page of this prospectus, all of which will occur immediately prior to the completion of this offering, as if such actions had occurred on December 31, 2020, and (vii) $9.8 million of cumulative share-based compensation expense related to the RSUs for which the service condition was satisfied as of December 31, 2020 and for which we expect the liquidity condition to be satisfied in connection with this offering; and</w:t>
      </w:r>
    </w:p>
    <w:p>
      <w:pPr>
        <w:spacing w:after="0" w:line="98"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a pro forma as adjusted basis, giving effect to (i) the pro forma adjustments set forth above and (ii) the sale and issuance by us</w:t>
      </w:r>
    </w:p>
    <w:p>
      <w:pPr>
        <w:spacing w:after="0" w:line="23"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of shares of our Class A common stock in this offering, based on an assumed initial public offering price of $ per share, which is the midpoint of the estimated offering price range set forth on the cover page of this prospectus, and after deducting the estimated underwriting discounts and commissions and estimated offering expenses payable by us.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firstLine="551"/>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As of December 31, 2020</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7"/>
              </w:rPr>
              <w:t>Pro Forma</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60" w:type="dxa"/>
            <w:vAlign w:val="bottom"/>
            <w:tcBorders>
              <w:top w:val="single" w:sz="8" w:color="auto"/>
            </w:tcBorders>
            <w:gridSpan w:val="7"/>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 share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data)</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Cash, cash equivalents, restricted cash and marketable securities</w:t>
            </w:r>
          </w:p>
        </w:tc>
        <w:tc>
          <w:tcPr>
            <w:tcW w:w="2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$ 378,136</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$ 378,136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color w:val="auto"/>
              </w:rPr>
              <w:t>Redeemable convertible preferred stock warrant liabilities</w:t>
            </w: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4"/>
            <w:vMerge w:val="continue"/>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9"/>
              </w:rPr>
              <w:t>Redeemable convertible preferred stock, $0.0001 par value; 352,047,950 shares authorized;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0"/>
              </w:rPr>
              <w:t>351,844,340 shares issued and outstanding, actual; no shares authorized, issued, and outstanding,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pro forma and pro forma as adjusted</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501,881</w:t>
            </w: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and outstanding,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w:t>
            </w:r>
          </w:p>
        </w:tc>
        <w:tc>
          <w:tcPr>
            <w:tcW w:w="60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1"/>
              </w:rPr>
              <w:t>shares authorized, no shares issued and outstanding, pro forma and pro forma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as adjusted</w:t>
            </w:r>
          </w:p>
        </w:tc>
        <w:tc>
          <w:tcPr>
            <w:tcW w:w="1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tcPr>
          <w:p>
            <w:pPr>
              <w:ind w:left="360"/>
              <w:spacing w:after="0" w:line="201" w:lineRule="exact"/>
              <w:rPr>
                <w:sz w:val="20"/>
                <w:szCs w:val="20"/>
                <w:color w:val="auto"/>
              </w:rPr>
            </w:pPr>
            <w:r>
              <w:rPr>
                <w:rFonts w:ascii="Arial" w:cs="Arial" w:eastAsia="Arial" w:hAnsi="Arial"/>
                <w:sz w:val="18"/>
                <w:szCs w:val="18"/>
                <w:color w:val="auto"/>
                <w:w w:val="92"/>
              </w:rPr>
              <w:t>Common stock, $0.0001 par value; 545,000,000 shares authorized, 130,312,838 shares issued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540"/>
              <w:spacing w:after="0"/>
              <w:rPr>
                <w:sz w:val="20"/>
                <w:szCs w:val="20"/>
                <w:color w:val="auto"/>
              </w:rPr>
            </w:pPr>
            <w:r>
              <w:rPr>
                <w:rFonts w:ascii="Arial" w:cs="Arial" w:eastAsia="Arial" w:hAnsi="Arial"/>
                <w:sz w:val="18"/>
                <w:szCs w:val="18"/>
                <w:color w:val="auto"/>
              </w:rPr>
              <w:t>and outstanding, actual;</w:t>
            </w: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shares authorized,</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w w:val="88"/>
              </w:rPr>
              <w:t>shares issued and outstanding,</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w w:val="97"/>
              </w:rPr>
              <w:t>pro forma;</w:t>
            </w: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w w:val="89"/>
              </w:rPr>
              <w:t>shares authorized,</w:t>
            </w:r>
          </w:p>
        </w:tc>
        <w:tc>
          <w:tcPr>
            <w:tcW w:w="4160" w:type="dxa"/>
            <w:vAlign w:val="bottom"/>
            <w:gridSpan w:val="2"/>
          </w:tcPr>
          <w:p>
            <w:pPr>
              <w:jc w:val="right"/>
              <w:ind w:right="390"/>
              <w:spacing w:after="0"/>
              <w:rPr>
                <w:sz w:val="20"/>
                <w:szCs w:val="20"/>
                <w:color w:val="auto"/>
              </w:rPr>
            </w:pPr>
            <w:r>
              <w:rPr>
                <w:rFonts w:ascii="Arial" w:cs="Arial" w:eastAsia="Arial" w:hAnsi="Arial"/>
                <w:sz w:val="18"/>
                <w:szCs w:val="18"/>
                <w:color w:val="auto"/>
              </w:rPr>
              <w:t>shares issued and outstanding, pro forma as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adjusted</w:t>
            </w: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gridSpan w:val="3"/>
          </w:tcPr>
          <w:p>
            <w:pPr>
              <w:jc w:val="right"/>
              <w:ind w:right="41"/>
              <w:spacing w:after="0"/>
              <w:rPr>
                <w:sz w:val="20"/>
                <w:szCs w:val="20"/>
                <w:color w:val="auto"/>
              </w:rPr>
            </w:pPr>
            <w:r>
              <w:rPr>
                <w:rFonts w:ascii="Arial" w:cs="Arial" w:eastAsia="Arial" w:hAnsi="Arial"/>
                <w:sz w:val="18"/>
                <w:szCs w:val="18"/>
                <w:color w:val="auto"/>
              </w:rPr>
              <w:t>13</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Class A common stock, $0.0001 par value; no shares authorized, issued and outstanding,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w:t>
            </w: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shares authorized,</w:t>
            </w:r>
          </w:p>
        </w:tc>
        <w:tc>
          <w:tcPr>
            <w:tcW w:w="41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96"/>
              </w:rPr>
              <w:t>shares issued and outstanding, pro forma;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shares authorized,</w:t>
            </w:r>
          </w:p>
        </w:tc>
        <w:tc>
          <w:tcPr>
            <w:tcW w:w="40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88"/>
              </w:rPr>
              <w:t>shares issued and outstanding, pro forma as adjusted</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tcPr>
          <w:p>
            <w:pPr>
              <w:ind w:left="360"/>
              <w:spacing w:after="0" w:line="201" w:lineRule="exact"/>
              <w:rPr>
                <w:sz w:val="20"/>
                <w:szCs w:val="20"/>
                <w:color w:val="auto"/>
              </w:rPr>
            </w:pPr>
            <w:r>
              <w:rPr>
                <w:rFonts w:ascii="Arial" w:cs="Arial" w:eastAsia="Arial" w:hAnsi="Arial"/>
                <w:sz w:val="18"/>
                <w:szCs w:val="18"/>
                <w:color w:val="auto"/>
                <w:w w:val="97"/>
              </w:rPr>
              <w:t>Class B common stock, $0.0001 par value; no shares authorized, issued and outstanding,</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actual;</w:t>
            </w:r>
          </w:p>
        </w:tc>
        <w:tc>
          <w:tcPr>
            <w:tcW w:w="1860" w:type="dxa"/>
            <w:vAlign w:val="bottom"/>
            <w:gridSpan w:val="2"/>
          </w:tcPr>
          <w:p>
            <w:pPr>
              <w:ind w:left="240"/>
              <w:spacing w:after="0"/>
              <w:rPr>
                <w:sz w:val="20"/>
                <w:szCs w:val="20"/>
                <w:color w:val="auto"/>
              </w:rPr>
            </w:pPr>
            <w:r>
              <w:rPr>
                <w:rFonts w:ascii="Arial" w:cs="Arial" w:eastAsia="Arial" w:hAnsi="Arial"/>
                <w:sz w:val="18"/>
                <w:szCs w:val="18"/>
                <w:color w:val="auto"/>
              </w:rPr>
              <w:t>shares authorized,</w:t>
            </w:r>
          </w:p>
        </w:tc>
        <w:tc>
          <w:tcPr>
            <w:tcW w:w="4160" w:type="dxa"/>
            <w:vAlign w:val="bottom"/>
            <w:gridSpan w:val="2"/>
          </w:tcPr>
          <w:p>
            <w:pPr>
              <w:jc w:val="right"/>
              <w:ind w:right="810"/>
              <w:spacing w:after="0"/>
              <w:rPr>
                <w:sz w:val="20"/>
                <w:szCs w:val="20"/>
                <w:color w:val="auto"/>
              </w:rPr>
            </w:pPr>
            <w:r>
              <w:rPr>
                <w:rFonts w:ascii="Arial" w:cs="Arial" w:eastAsia="Arial" w:hAnsi="Arial"/>
                <w:sz w:val="18"/>
                <w:szCs w:val="18"/>
                <w:color w:val="auto"/>
                <w:w w:val="96"/>
              </w:rPr>
              <w:t>shares issued and outstanding, pro forma;</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and</w:t>
            </w:r>
          </w:p>
        </w:tc>
        <w:tc>
          <w:tcPr>
            <w:tcW w:w="1460" w:type="dxa"/>
            <w:vAlign w:val="bottom"/>
          </w:tcPr>
          <w:p>
            <w:pPr>
              <w:ind w:left="20"/>
              <w:spacing w:after="0"/>
              <w:rPr>
                <w:sz w:val="20"/>
                <w:szCs w:val="20"/>
                <w:color w:val="auto"/>
              </w:rPr>
            </w:pPr>
            <w:r>
              <w:rPr>
                <w:rFonts w:ascii="Arial" w:cs="Arial" w:eastAsia="Arial" w:hAnsi="Arial"/>
                <w:sz w:val="18"/>
                <w:szCs w:val="18"/>
                <w:color w:val="auto"/>
                <w:w w:val="95"/>
              </w:rPr>
              <w:t>shares authorized,</w:t>
            </w:r>
          </w:p>
        </w:tc>
        <w:tc>
          <w:tcPr>
            <w:tcW w:w="400" w:type="dxa"/>
            <w:vAlign w:val="bottom"/>
          </w:tcPr>
          <w:p>
            <w:pPr>
              <w:spacing w:after="0"/>
              <w:rPr>
                <w:sz w:val="20"/>
                <w:szCs w:val="20"/>
                <w:color w:val="auto"/>
              </w:rPr>
            </w:pPr>
          </w:p>
        </w:tc>
        <w:tc>
          <w:tcPr>
            <w:tcW w:w="4160" w:type="dxa"/>
            <w:vAlign w:val="bottom"/>
            <w:gridSpan w:val="2"/>
          </w:tcPr>
          <w:p>
            <w:pPr>
              <w:jc w:val="right"/>
              <w:ind w:right="250"/>
              <w:spacing w:after="0"/>
              <w:rPr>
                <w:sz w:val="20"/>
                <w:szCs w:val="20"/>
                <w:color w:val="auto"/>
              </w:rPr>
            </w:pPr>
            <w:r>
              <w:rPr>
                <w:rFonts w:ascii="Arial" w:cs="Arial" w:eastAsia="Arial" w:hAnsi="Arial"/>
                <w:sz w:val="18"/>
                <w:szCs w:val="18"/>
                <w:color w:val="auto"/>
                <w:w w:val="88"/>
              </w:rPr>
              <w:t>shares issued and outstanding, pro forma as adjusted</w:t>
            </w:r>
          </w:p>
        </w:tc>
        <w:tc>
          <w:tcPr>
            <w:tcW w:w="22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39,769</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553,926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4"/>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700" w:type="dxa"/>
            <w:vAlign w:val="bottom"/>
          </w:tcPr>
          <w:p>
            <w:pPr>
              <w:spacing w:after="0"/>
              <w:rPr>
                <w:sz w:val="18"/>
                <w:szCs w:val="18"/>
                <w:color w:val="auto"/>
              </w:rPr>
            </w:pPr>
          </w:p>
        </w:tc>
        <w:tc>
          <w:tcPr>
            <w:tcW w:w="1080" w:type="dxa"/>
            <w:vAlign w:val="bottom"/>
            <w:gridSpan w:val="3"/>
          </w:tcPr>
          <w:p>
            <w:pPr>
              <w:jc w:val="right"/>
              <w:ind w:right="41"/>
              <w:spacing w:after="0"/>
              <w:rPr>
                <w:sz w:val="20"/>
                <w:szCs w:val="20"/>
                <w:color w:val="auto"/>
              </w:rPr>
            </w:pPr>
            <w:r>
              <w:rPr>
                <w:rFonts w:ascii="Arial" w:cs="Arial" w:eastAsia="Arial" w:hAnsi="Arial"/>
                <w:sz w:val="18"/>
                <w:szCs w:val="18"/>
                <w:color w:val="auto"/>
              </w:rPr>
              <w:t>25</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(253,524)</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(263,318)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360"/>
              <w:spacing w:after="0"/>
              <w:rPr>
                <w:sz w:val="20"/>
                <w:szCs w:val="20"/>
                <w:color w:val="auto"/>
              </w:rPr>
            </w:pPr>
            <w:r>
              <w:rPr>
                <w:rFonts w:ascii="Arial" w:cs="Arial" w:eastAsia="Arial" w:hAnsi="Arial"/>
                <w:sz w:val="18"/>
                <w:szCs w:val="18"/>
                <w:color w:val="auto"/>
              </w:rPr>
              <w:t>Total stockholders’ equity (deficit):</w:t>
            </w: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(213,717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290,681</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$ 290,681</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$ 290,681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cash equivalents and marketable securities, additional paid-in capital, total stockholders’ equity (deficit), total capitalization, and shares of Class A common</w:t>
      </w:r>
    </w:p>
    <w:p>
      <w:pPr>
        <w:jc w:val="both"/>
        <w:ind w:left="840" w:right="20" w:hanging="719"/>
        <w:spacing w:after="0" w:line="250" w:lineRule="auto"/>
        <w:rPr>
          <w:sz w:val="20"/>
          <w:szCs w:val="20"/>
          <w:color w:val="auto"/>
        </w:rPr>
      </w:pPr>
      <w:r>
        <w:rPr>
          <w:rFonts w:ascii="Arial" w:cs="Arial" w:eastAsia="Arial" w:hAnsi="Arial"/>
          <w:sz w:val="18"/>
          <w:szCs w:val="18"/>
          <w:color w:val="auto"/>
        </w:rPr>
        <w:t>stock issued and outstanding as of December 31, 2020 would be $</w:t>
      </w:r>
      <w:r>
        <w:rPr>
          <w:sz w:val="20"/>
          <w:szCs w:val="20"/>
          <w:color w:val="auto"/>
        </w:rPr>
        <w:t xml:space="preserve"> </w:t>
      </w:r>
      <w:r>
        <w:rPr>
          <w:rFonts w:ascii="Arial" w:cs="Arial" w:eastAsia="Arial" w:hAnsi="Arial"/>
          <w:sz w:val="18"/>
          <w:szCs w:val="18"/>
          <w:color w:val="auto"/>
        </w:rPr>
        <w:t>million, $ million, $ million, $ million, and shares, respectively.</w:t>
      </w:r>
    </w:p>
    <w:p>
      <w:pPr>
        <w:spacing w:after="0" w:line="200" w:lineRule="exact"/>
        <w:rPr>
          <w:sz w:val="20"/>
          <w:szCs w:val="20"/>
          <w:color w:val="auto"/>
        </w:rPr>
      </w:pPr>
    </w:p>
    <w:p>
      <w:pPr>
        <w:spacing w:after="0" w:line="21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$1.00 increase or decrease in the assumed initial public offering price of $ per share, which is the midpoint of the estimated offering price range set forth on the cover page of this prospectus, would increase or decrease, as applicable, our cash, cash equivalents and marketable securities, additional paid-in capital, and total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stockholders’ equity (deficit) by approximately $ million, assuming that the number of shares offered by us, as set forth on the cover page of this prospectus, remains the same and after deducting the estimated underwriting discounts and commissions payable by us. Similarly, each increase or decrease of 1.0 million shares in the number of shares of our Class A common stock offered by us would increase or decrease, as applicable, our cash,</w:t>
      </w:r>
    </w:p>
    <w:p>
      <w:pPr>
        <w:spacing w:after="0" w:line="2"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7"/>
          <w:szCs w:val="17"/>
          <w:color w:val="auto"/>
        </w:rPr>
        <w:t>cash equivalents and marketable securities, additional paid-in capital, and total stockholders’ equity (deficit) by approximately $ million, assuming the assumed initial public offering price remains the same, and after deducting underwriting discounts and commissions payable by us.</w:t>
      </w:r>
    </w:p>
    <w:p>
      <w:pPr>
        <w:sectPr>
          <w:pgSz w:w="11900" w:h="16838" w:orient="portrait"/>
          <w:cols w:equalWidth="0" w:num="1">
            <w:col w:w="11140"/>
          </w:cols>
          <w:pgMar w:left="320" w:top="459" w:right="439" w:bottom="1440" w:gutter="0" w:footer="0" w:header="0"/>
        </w:sectPr>
      </w:pPr>
    </w:p>
    <w:p>
      <w:pPr>
        <w:spacing w:after="0" w:line="16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pro forma column in the table above is based on no shares of our Class A common stock and outstanding as of December 31, 2020, and excludes: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w:t>
      </w:r>
    </w:p>
    <w:p>
      <w:pPr>
        <w:spacing w:after="0" w:line="369" w:lineRule="exact"/>
        <w:rPr>
          <w:sz w:val="20"/>
          <w:szCs w:val="20"/>
          <w:color w:val="auto"/>
        </w:rPr>
      </w:pPr>
    </w:p>
    <w:p>
      <w:pPr>
        <w:sectPr>
          <w:pgSz w:w="11900" w:h="16838" w:orient="portrait"/>
          <w:cols w:equalWidth="0" w:num="2">
            <w:col w:w="7700" w:space="720"/>
            <w:col w:w="2720"/>
          </w:cols>
          <w:pgMar w:left="320" w:top="459" w:right="439" w:bottom="1440" w:gutter="0" w:footer="0" w:header="0"/>
          <w:type w:val="continuous"/>
        </w:sectPr>
      </w:pPr>
    </w:p>
    <w:p>
      <w:pPr>
        <w:ind w:left="880" w:right="20" w:hanging="224"/>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23,421,374 shares of our Class B common stock issuable upon the exercise of options to purchase shares of our Class B common stock that were outstanding as of December 31, 2020, with a weighted-average exercise price of $1.35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4,430,336 RSUs for shares of our Class B common stock that are issuable upon satisfaction of both service and liquidity conditions outstanding as of December 31, 2020, for which the liquidity condition was not yet satisfied as of December 31, 2020;</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25,480,169 shares of our Class B common stock issuable upon the exercise of options to purchase common stock granted after December 31, 2020, with a weighted-average exercise price of $19.753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2,121,593 RSUs for shares of our Class B common stock that are issuable upon satisfaction of both service and liquidity conditions that were granted after December 31, 2020;</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198,163 RSUs for shares of our Class B common stock that are issuable upon satisfaction of only service conditions that were granted after December 31, 2020;</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December 31, 2020,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December 31, 2020,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dated September 15, 2020, with an exercise price of $0.01 per share, 22,500 of which are currently exercisable and 727,500 of which are exercisable upon attaining the Uber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the Square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dated March 31, 2021, with an exercise price of $0.01 per share, none of which are currently exercisable and all of which are exercisable upon attaining the Ramp Warrant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5,335,253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18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2040" w:hanging="1155"/>
        <w:spacing w:after="0"/>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and</w:t>
      </w:r>
    </w:p>
    <w:p>
      <w:pPr>
        <w:spacing w:after="0" w:line="130" w:lineRule="exact"/>
        <w:rPr>
          <w:rFonts w:ascii="Arial" w:cs="Arial" w:eastAsia="Arial" w:hAnsi="Arial"/>
          <w:sz w:val="18"/>
          <w:szCs w:val="18"/>
          <w:color w:val="auto"/>
        </w:rPr>
      </w:pPr>
    </w:p>
    <w:p>
      <w:pPr>
        <w:ind w:left="2040" w:hanging="1155"/>
        <w:spacing w:after="0"/>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2021 Plan provides for annual automatic increases in the number of shares reserved thereunder and increases to the number of shares of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completion of this offering.</w:t>
      </w:r>
    </w:p>
    <w:p>
      <w:pPr>
        <w:spacing w:after="0" w:line="188" w:lineRule="exact"/>
        <w:rPr>
          <w:sz w:val="20"/>
          <w:szCs w:val="20"/>
          <w:color w:val="auto"/>
        </w:rPr>
      </w:pPr>
    </w:p>
    <w:p>
      <w:pPr>
        <w:jc w:val="both"/>
        <w:ind w:left="120" w:right="20"/>
        <w:spacing w:after="0" w:line="268" w:lineRule="auto"/>
        <w:rPr>
          <w:sz w:val="20"/>
          <w:szCs w:val="20"/>
          <w:color w:val="auto"/>
        </w:rPr>
      </w:pPr>
      <w:r>
        <w:rPr>
          <w:rFonts w:ascii="Arial" w:cs="Arial" w:eastAsia="Arial" w:hAnsi="Arial"/>
          <w:sz w:val="17"/>
          <w:szCs w:val="17"/>
          <w:color w:val="auto"/>
        </w:rPr>
        <w:t>Our pro forma net tangible book value (deficit) as of December 31, 2020 was $ million, or $ per share, based on the total number of shares of our common stock outstanding as of December 31, 2020, after giving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w:t>
      </w:r>
    </w:p>
    <w:p>
      <w:pPr>
        <w:spacing w:after="0" w:line="3"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capital, (v) the net issuance of shares of our common stock issuable pursuant to the vesting and settlement of 505,993 RSUs for which the service condition was satisfied as of December 31, 2020, and for which we expect the liquidity condition to be satisfied in connection with this offering, (vi) the</w:t>
      </w:r>
    </w:p>
    <w:p>
      <w:pPr>
        <w:spacing w:after="0" w:line="1" w:lineRule="exact"/>
        <w:rPr>
          <w:sz w:val="20"/>
          <w:szCs w:val="20"/>
          <w:color w:val="auto"/>
        </w:rPr>
      </w:pPr>
    </w:p>
    <w:p>
      <w:pPr>
        <w:jc w:val="both"/>
        <w:ind w:left="120" w:right="20"/>
        <w:spacing w:after="0" w:line="265" w:lineRule="auto"/>
        <w:rPr>
          <w:sz w:val="20"/>
          <w:szCs w:val="20"/>
          <w:color w:val="auto"/>
        </w:rPr>
      </w:pPr>
      <w:r>
        <w:rPr>
          <w:rFonts w:ascii="Arial" w:cs="Arial" w:eastAsia="Arial" w:hAnsi="Arial"/>
          <w:sz w:val="17"/>
          <w:szCs w:val="17"/>
          <w:color w:val="auto"/>
        </w:rPr>
        <w:t>increase in other accrued liabilities and an equivalent decrease in additional paid-in capital of $ in connection with tax withholding obligations related to such RSUs, based upon the initial public offering price of $ per share, which is the midpoint of the estimated offering price range set</w:t>
      </w:r>
    </w:p>
    <w:p>
      <w:pPr>
        <w:jc w:val="both"/>
        <w:ind w:left="120" w:right="20"/>
        <w:spacing w:after="0" w:line="255" w:lineRule="auto"/>
        <w:rPr>
          <w:sz w:val="20"/>
          <w:szCs w:val="20"/>
          <w:color w:val="auto"/>
        </w:rPr>
      </w:pPr>
      <w:r>
        <w:rPr>
          <w:rFonts w:ascii="Arial" w:cs="Arial" w:eastAsia="Arial" w:hAnsi="Arial"/>
          <w:sz w:val="18"/>
          <w:szCs w:val="18"/>
          <w:color w:val="auto"/>
        </w:rPr>
        <w:t>forth on the cover page of this prospectus, all of which will occur immediately prior to the completion of this offering, and (vii) $9.8 million of cumulative share-based compensation expense related to the RSUs for which the service condition was satisfied as of December 31, 2020 and for which we expect the liquidity condition to be satisfied in connection with this offering.</w:t>
      </w:r>
    </w:p>
    <w:p>
      <w:pPr>
        <w:spacing w:after="0" w:line="190" w:lineRule="exact"/>
        <w:rPr>
          <w:sz w:val="20"/>
          <w:szCs w:val="20"/>
          <w:color w:val="auto"/>
        </w:rPr>
      </w:pPr>
    </w:p>
    <w:p>
      <w:pPr>
        <w:ind w:left="120"/>
        <w:spacing w:after="0"/>
        <w:tabs>
          <w:tab w:leader="none" w:pos="390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7"/>
          <w:szCs w:val="17"/>
          <w:color w:val="auto"/>
        </w:rPr>
        <w:t>shares of our Class A common stock in this offering at an assumed initial public offering price of</w:t>
      </w:r>
    </w:p>
    <w:p>
      <w:pPr>
        <w:spacing w:after="0" w:line="23" w:lineRule="exact"/>
        <w:rPr>
          <w:sz w:val="20"/>
          <w:szCs w:val="20"/>
          <w:color w:val="auto"/>
        </w:rPr>
      </w:pPr>
    </w:p>
    <w:p>
      <w:pPr>
        <w:jc w:val="both"/>
        <w:ind w:left="120" w:hanging="4"/>
        <w:spacing w:after="0" w:line="281" w:lineRule="auto"/>
        <w:tabs>
          <w:tab w:leader="none" w:pos="977"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w:t>
      </w:r>
    </w:p>
    <w:tbl>
      <w:tblPr>
        <w:tblLayout w:type="fixed"/>
        <w:tblInd w:w="120" w:type="dxa"/>
        <w:tblCellMar>
          <w:top w:w="0" w:type="dxa"/>
          <w:left w:w="0" w:type="dxa"/>
          <w:bottom w:w="0" w:type="dxa"/>
          <w:right w:w="0" w:type="dxa"/>
        </w:tblCellMar>
      </w:tblPr>
      <w:tr>
        <w:trPr>
          <w:trHeight w:val="203"/>
        </w:trPr>
        <w:tc>
          <w:tcPr>
            <w:tcW w:w="3500" w:type="dxa"/>
            <w:vAlign w:val="bottom"/>
            <w:gridSpan w:val="2"/>
          </w:tcPr>
          <w:p>
            <w:pPr>
              <w:spacing w:after="0" w:line="203" w:lineRule="exact"/>
              <w:rPr>
                <w:sz w:val="20"/>
                <w:szCs w:val="20"/>
                <w:color w:val="auto"/>
              </w:rPr>
            </w:pPr>
            <w:r>
              <w:rPr>
                <w:rFonts w:ascii="Arial" w:cs="Arial" w:eastAsia="Arial" w:hAnsi="Arial"/>
                <w:sz w:val="18"/>
                <w:szCs w:val="18"/>
                <w:color w:val="auto"/>
              </w:rPr>
              <w:t>of December 31, 2020 would have been $</w:t>
            </w:r>
          </w:p>
        </w:tc>
        <w:tc>
          <w:tcPr>
            <w:tcW w:w="1600" w:type="dxa"/>
            <w:vAlign w:val="bottom"/>
          </w:tcPr>
          <w:p>
            <w:pPr>
              <w:ind w:left="160"/>
              <w:spacing w:after="0" w:line="203" w:lineRule="exact"/>
              <w:rPr>
                <w:sz w:val="20"/>
                <w:szCs w:val="20"/>
                <w:color w:val="auto"/>
              </w:rPr>
            </w:pPr>
            <w:r>
              <w:rPr>
                <w:rFonts w:ascii="Arial" w:cs="Arial" w:eastAsia="Arial" w:hAnsi="Arial"/>
                <w:sz w:val="18"/>
                <w:szCs w:val="18"/>
                <w:color w:val="auto"/>
              </w:rPr>
              <w:t>million, or $</w:t>
            </w:r>
          </w:p>
        </w:tc>
        <w:tc>
          <w:tcPr>
            <w:tcW w:w="5920" w:type="dxa"/>
            <w:vAlign w:val="bottom"/>
            <w:gridSpan w:val="6"/>
          </w:tcPr>
          <w:p>
            <w:pPr>
              <w:jc w:val="right"/>
              <w:ind w:right="20"/>
              <w:spacing w:after="0" w:line="203" w:lineRule="exact"/>
              <w:rPr>
                <w:sz w:val="20"/>
                <w:szCs w:val="20"/>
                <w:color w:val="auto"/>
              </w:rPr>
            </w:pPr>
            <w:r>
              <w:rPr>
                <w:rFonts w:ascii="Arial" w:cs="Arial" w:eastAsia="Arial" w:hAnsi="Arial"/>
                <w:sz w:val="18"/>
                <w:szCs w:val="18"/>
                <w:color w:val="auto"/>
                <w:w w:val="91"/>
              </w:rPr>
              <w:t>per share. This represents an immediate increase in pro forma net tangible book</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value of $</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w w:val="94"/>
              </w:rPr>
              <w:t>per share to our existing stockholders and immediate dilution of $</w:t>
            </w:r>
          </w:p>
        </w:tc>
        <w:tc>
          <w:tcPr>
            <w:tcW w:w="4660" w:type="dxa"/>
            <w:vAlign w:val="bottom"/>
            <w:gridSpan w:val="5"/>
          </w:tcPr>
          <w:p>
            <w:pPr>
              <w:jc w:val="right"/>
              <w:ind w:right="20"/>
              <w:spacing w:after="0"/>
              <w:rPr>
                <w:sz w:val="20"/>
                <w:szCs w:val="20"/>
                <w:color w:val="auto"/>
              </w:rPr>
            </w:pPr>
            <w:r>
              <w:rPr>
                <w:rFonts w:ascii="Arial" w:cs="Arial" w:eastAsia="Arial" w:hAnsi="Arial"/>
                <w:sz w:val="18"/>
                <w:szCs w:val="18"/>
                <w:color w:val="auto"/>
              </w:rPr>
              <w:t>per share to investors purchasing shares of our Class A</w:t>
            </w:r>
          </w:p>
        </w:tc>
      </w:tr>
      <w:tr>
        <w:trPr>
          <w:trHeight w:val="230"/>
        </w:trPr>
        <w:tc>
          <w:tcPr>
            <w:tcW w:w="6360" w:type="dxa"/>
            <w:vAlign w:val="bottom"/>
            <w:gridSpan w:val="4"/>
          </w:tcPr>
          <w:p>
            <w:pPr>
              <w:spacing w:after="0"/>
              <w:rPr>
                <w:sz w:val="20"/>
                <w:szCs w:val="20"/>
                <w:color w:val="auto"/>
              </w:rPr>
            </w:pPr>
            <w:r>
              <w:rPr>
                <w:rFonts w:ascii="Arial" w:cs="Arial" w:eastAsia="Arial" w:hAnsi="Arial"/>
                <w:sz w:val="18"/>
                <w:szCs w:val="18"/>
                <w:color w:val="auto"/>
              </w:rPr>
              <w:t>common stock in this offering. The following table illustrates this dilution:</w:t>
            </w:r>
          </w:p>
        </w:tc>
        <w:tc>
          <w:tcPr>
            <w:tcW w:w="2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500" w:type="dxa"/>
            <w:vAlign w:val="bottom"/>
            <w:gridSpan w:val="2"/>
          </w:tcPr>
          <w:p>
            <w:pPr>
              <w:spacing w:after="0"/>
              <w:rPr>
                <w:sz w:val="21"/>
                <w:szCs w:val="21"/>
                <w:color w:val="auto"/>
              </w:rPr>
            </w:pPr>
          </w:p>
        </w:tc>
        <w:tc>
          <w:tcPr>
            <w:tcW w:w="1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Assumed initial public offering price per share</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w w:val="91"/>
              </w:rPr>
              <w:t>Pro forma net tangible book value per share as of December 31, 2020</w:t>
            </w:r>
          </w:p>
        </w:tc>
        <w:tc>
          <w:tcPr>
            <w:tcW w:w="1260" w:type="dxa"/>
            <w:vAlign w:val="bottom"/>
          </w:tcPr>
          <w:p>
            <w:pPr>
              <w:spacing w:after="0"/>
              <w:rPr>
                <w:sz w:val="18"/>
                <w:szCs w:val="18"/>
                <w:color w:val="auto"/>
              </w:rPr>
            </w:pPr>
          </w:p>
        </w:tc>
        <w:tc>
          <w:tcPr>
            <w:tcW w:w="3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r>
      <w:tr>
        <w:trPr>
          <w:trHeight w:val="230"/>
        </w:trPr>
        <w:tc>
          <w:tcPr>
            <w:tcW w:w="6360" w:type="dxa"/>
            <w:vAlign w:val="bottom"/>
            <w:gridSpan w:val="4"/>
          </w:tcPr>
          <w:p>
            <w:pPr>
              <w:spacing w:after="0"/>
              <w:rPr>
                <w:sz w:val="20"/>
                <w:szCs w:val="20"/>
                <w:color w:val="auto"/>
              </w:rPr>
            </w:pPr>
            <w:r>
              <w:rPr>
                <w:rFonts w:ascii="Arial" w:cs="Arial" w:eastAsia="Arial" w:hAnsi="Arial"/>
                <w:sz w:val="18"/>
                <w:szCs w:val="18"/>
                <w:color w:val="auto"/>
                <w:w w:val="92"/>
              </w:rPr>
              <w:t>Pro forma as adjusted net tangible book value per share immediately after this offering</w:t>
            </w:r>
          </w:p>
        </w:tc>
        <w:tc>
          <w:tcPr>
            <w:tcW w:w="28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3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 in this offering</w:t>
            </w:r>
          </w:p>
        </w:tc>
        <w:tc>
          <w:tcPr>
            <w:tcW w:w="390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6360" w:type="dxa"/>
            <w:vAlign w:val="bottom"/>
            <w:gridSpan w:val="4"/>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360" w:type="dxa"/>
            <w:vAlign w:val="bottom"/>
            <w:gridSpan w:val="4"/>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6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per share, which is the midpoint of the estimated offering price</w:t>
            </w:r>
          </w:p>
        </w:tc>
      </w:tr>
    </w:tbl>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our pro forma as adjusted net tangible book value per</w:t>
      </w:r>
    </w:p>
    <w:p>
      <w:pPr>
        <w:spacing w:after="0" w:line="3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share to new investors by $ , and would increase or decrease, as applicable, dilution per share to new investors in this offering by $ , assuming that the number of shares of our Class A common stock offered by us, as set forth on the cover page of this prospectus, remains the same and after deducting estimated underwriting discounts and commissions payable by us.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the extent any outstanding options to purchase Class B common stock are exercised, new investors would experience further dilution. If</w:t>
      </w:r>
    </w:p>
    <w:p>
      <w:pPr>
        <w:spacing w:after="0" w:line="46" w:lineRule="exact"/>
        <w:rPr>
          <w:sz w:val="20"/>
          <w:szCs w:val="20"/>
          <w:color w:val="auto"/>
        </w:rPr>
      </w:pPr>
    </w:p>
    <w:p>
      <w:pPr>
        <w:ind w:left="120"/>
        <w:spacing w:after="0"/>
        <w:tabs>
          <w:tab w:leader="none" w:pos="4380" w:val="left"/>
        </w:tabs>
        <w:rPr>
          <w:sz w:val="20"/>
          <w:szCs w:val="20"/>
          <w:color w:val="auto"/>
        </w:rPr>
      </w:pPr>
      <w:r>
        <w:rPr>
          <w:rFonts w:ascii="Arial" w:cs="Arial" w:eastAsia="Arial" w:hAnsi="Arial"/>
          <w:sz w:val="18"/>
          <w:szCs w:val="18"/>
          <w:color w:val="auto"/>
        </w:rPr>
        <w:t>the underwriters exercise their option to purchase</w:t>
      </w:r>
      <w:r>
        <w:rPr>
          <w:sz w:val="20"/>
          <w:szCs w:val="20"/>
          <w:color w:val="auto"/>
        </w:rPr>
        <w:tab/>
      </w:r>
      <w:r>
        <w:rPr>
          <w:rFonts w:ascii="Arial" w:cs="Arial" w:eastAsia="Arial" w:hAnsi="Arial"/>
          <w:sz w:val="15"/>
          <w:szCs w:val="15"/>
          <w:color w:val="auto"/>
        </w:rPr>
        <w:t>additional shares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Class A common stock from us in full, the pro forma as adjusted net tangible book value per share of our common stock immediately after this</w:t>
      </w:r>
    </w:p>
    <w:p>
      <w:pPr>
        <w:spacing w:after="0" w:line="46" w:lineRule="exact"/>
        <w:rPr>
          <w:sz w:val="20"/>
          <w:szCs w:val="20"/>
          <w:color w:val="auto"/>
        </w:rPr>
      </w:pPr>
    </w:p>
    <w:p>
      <w:pPr>
        <w:ind w:left="120"/>
        <w:spacing w:after="0"/>
        <w:tabs>
          <w:tab w:leader="none" w:pos="2380" w:val="left"/>
        </w:tabs>
        <w:rPr>
          <w:sz w:val="20"/>
          <w:szCs w:val="20"/>
          <w:color w:val="auto"/>
        </w:rPr>
      </w:pPr>
      <w:r>
        <w:rPr>
          <w:rFonts w:ascii="Arial" w:cs="Arial" w:eastAsia="Arial" w:hAnsi="Arial"/>
          <w:sz w:val="18"/>
          <w:szCs w:val="18"/>
          <w:color w:val="auto"/>
        </w:rPr>
        <w:t>offering would be $</w:t>
      </w:r>
      <w:r>
        <w:rPr>
          <w:sz w:val="20"/>
          <w:szCs w:val="20"/>
          <w:color w:val="auto"/>
        </w:rPr>
        <w:tab/>
      </w:r>
      <w:r>
        <w:rPr>
          <w:rFonts w:ascii="Arial" w:cs="Arial" w:eastAsia="Arial" w:hAnsi="Arial"/>
          <w:sz w:val="17"/>
          <w:szCs w:val="17"/>
          <w:color w:val="auto"/>
        </w:rPr>
        <w:t>per share, and the dilution in pro forma net tangible book value per share to new investors in this offering would be</w:t>
      </w:r>
    </w:p>
    <w:p>
      <w:pPr>
        <w:spacing w:after="0" w:line="9" w:lineRule="exact"/>
        <w:rPr>
          <w:sz w:val="20"/>
          <w:szCs w:val="20"/>
          <w:color w:val="auto"/>
        </w:rPr>
      </w:pPr>
    </w:p>
    <w:p>
      <w:pPr>
        <w:ind w:left="740" w:hanging="624"/>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1" w:lineRule="exact"/>
        <w:rPr>
          <w:sz w:val="20"/>
          <w:szCs w:val="20"/>
          <w:color w:val="auto"/>
        </w:rPr>
      </w:pPr>
    </w:p>
    <w:p>
      <w:pPr>
        <w:jc w:val="both"/>
        <w:ind w:left="120" w:right="20"/>
        <w:spacing w:after="0" w:line="285" w:lineRule="auto"/>
        <w:rPr>
          <w:sz w:val="20"/>
          <w:szCs w:val="20"/>
          <w:color w:val="auto"/>
        </w:rPr>
      </w:pPr>
      <w:r>
        <w:rPr>
          <w:rFonts w:ascii="Arial" w:cs="Arial" w:eastAsia="Arial" w:hAnsi="Arial"/>
          <w:sz w:val="16"/>
          <w:szCs w:val="16"/>
          <w:color w:val="auto"/>
        </w:rPr>
        <w:t>The following table presents, on a pro forma as adjusted basis as of December 31, 2020, after giving effect to the conversion and reclassification of all outstanding shares of redeemable convertible preferred stock into Class B common stock immediately prior to the completion of this offering,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common stock and redeemable convertible preferred stock, and the average price per share paid or to be paid to us at an assumed initial public offering price of</w:t>
      </w:r>
    </w:p>
    <w:p>
      <w:pPr>
        <w:spacing w:after="0" w:line="2" w:lineRule="exact"/>
        <w:rPr>
          <w:sz w:val="20"/>
          <w:szCs w:val="20"/>
          <w:color w:val="auto"/>
        </w:rPr>
      </w:pPr>
    </w:p>
    <w:p>
      <w:pPr>
        <w:ind w:left="120" w:right="20" w:hanging="4"/>
        <w:spacing w:after="0" w:line="260" w:lineRule="auto"/>
        <w:tabs>
          <w:tab w:leader="none" w:pos="7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before deducting estimated underwriting discounts and commissions and estimated offering expenses payable by 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2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63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52"/>
        </w:trPr>
        <w:tc>
          <w:tcPr>
            <w:tcW w:w="634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4"/>
                <w:szCs w:val="4"/>
                <w:color w:val="auto"/>
              </w:rPr>
            </w:pPr>
          </w:p>
        </w:tc>
        <w:tc>
          <w:tcPr>
            <w:tcW w:w="98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w w:val="89"/>
              </w:rPr>
              <w:t>Percent</w:t>
            </w: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4"/>
                <w:szCs w:val="4"/>
                <w:color w:val="auto"/>
              </w:rPr>
            </w:pPr>
          </w:p>
        </w:tc>
        <w:tc>
          <w:tcPr>
            <w:tcW w:w="80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85"/>
              </w:rPr>
              <w:t>Percent</w:t>
            </w:r>
          </w:p>
        </w:tc>
        <w:tc>
          <w:tcPr>
            <w:tcW w:w="1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tcPr>
          <w:p>
            <w:pPr>
              <w:spacing w:after="0"/>
              <w:rPr>
                <w:sz w:val="20"/>
                <w:szCs w:val="20"/>
                <w:color w:val="auto"/>
              </w:rPr>
            </w:pPr>
            <w:r>
              <w:rPr>
                <w:rFonts w:ascii="Arial" w:cs="Arial" w:eastAsia="Arial" w:hAnsi="Arial"/>
                <w:sz w:val="18"/>
                <w:szCs w:val="18"/>
                <w:color w:val="auto"/>
                <w:w w:val="99"/>
              </w:rPr>
              <w:t>Each $1.00 increase or decrease in the assumed initial public offering price of $</w:t>
            </w:r>
          </w:p>
        </w:tc>
        <w:tc>
          <w:tcPr>
            <w:tcW w:w="4680" w:type="dxa"/>
            <w:vAlign w:val="bottom"/>
            <w:gridSpan w:val="12"/>
          </w:tcPr>
          <w:p>
            <w:pPr>
              <w:ind w:left="100"/>
              <w:spacing w:after="0"/>
              <w:rPr>
                <w:sz w:val="20"/>
                <w:szCs w:val="20"/>
                <w:color w:val="auto"/>
              </w:rPr>
            </w:pPr>
            <w:r>
              <w:rPr>
                <w:rFonts w:ascii="Arial" w:cs="Arial" w:eastAsia="Arial" w:hAnsi="Arial"/>
                <w:sz w:val="18"/>
                <w:szCs w:val="18"/>
                <w:color w:val="auto"/>
                <w:w w:val="92"/>
              </w:rPr>
              <w:t>per share, which is the midpoint of the estimated offering price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the total consideration paid by new investors and total</w:t>
      </w:r>
    </w:p>
    <w:p>
      <w:pPr>
        <w:spacing w:after="0" w:line="32"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consideration paid by all stockholders by approximately $ million, assuming that the number of shares of Class A common stock offered by us, as set forth on the cover page of this prospectus, remains the same and after deducting estimated underwriting discounts and commissions payable by us. In addition, to the extent any outstanding options to purchase Class B common stock are exercised, new investors will experience further dilution.</w:t>
      </w:r>
    </w:p>
    <w:p>
      <w:pPr>
        <w:spacing w:after="0" w:line="15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Class A common stock. If the underwriters exercise their option to purchase additional shares of Class A common stock in full from us, our existing stockholders would own % and our new investors would own % of the total number of shares of our common stock outstanding upon the completion of this offering.</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no shares of our Class A common stock and 482,157,178 shares of our Class B common stock outstanding including our redeemable convertible preferred stock on as-converted basis as of December 31, 2020, and excludes:</w:t>
      </w:r>
    </w:p>
    <w:p>
      <w:pPr>
        <w:spacing w:after="0" w:line="89" w:lineRule="exact"/>
        <w:rPr>
          <w:sz w:val="20"/>
          <w:szCs w:val="20"/>
          <w:color w:val="auto"/>
        </w:rPr>
      </w:pPr>
    </w:p>
    <w:p>
      <w:pPr>
        <w:ind w:left="880" w:right="20" w:hanging="224"/>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23,421,374 shares of our Class B common stock issuable upon the exercise of options to purchase shares of our Class B common stock that were outstanding as of December 31, 2020, with a weighted-average exercise price of $1.35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4,430,336 RSUs for shares of our Class B common stock that are issuable upon satisfaction of both service and liquidity conditions outstanding as of December 31, 2020, for which the liquidity condition was not yet satisfied as of December 31, 2020;</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25,480,169 shares of our Class B common stock issuable upon the exercise of options to purchase common stock granted after December 31, 2020, with a weighted-average exercise price of $19.753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2,121,593 RSUs for shares of our Class B common stock that are issuable upon satisfaction of both service and liquidity conditions that were granted after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198,163 RSUs for shares of our Class B common stock that are issuable upon satisfaction of only service conditions that were granted after December 31, 2020;</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December 31, 2020,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December 31, 2020,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dated September 15, 2020, with an exercise price of $0.01 per share, 22,500 of which are currently exercisable and 727,500 of which are exercisable upon attaining the Uber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the Square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dated March 31, 2021, with an exercise price of $0.01 per share, none of which are currently exercisable and all of which are exercisable upon attaining the Ramp Warrant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5,335,253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18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2040" w:hanging="1155"/>
        <w:spacing w:after="0"/>
        <w:tabs>
          <w:tab w:leader="none" w:pos="2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and</w:t>
      </w:r>
    </w:p>
    <w:p>
      <w:pPr>
        <w:spacing w:after="0" w:line="130" w:lineRule="exact"/>
        <w:rPr>
          <w:rFonts w:ascii="Arial" w:cs="Arial" w:eastAsia="Arial" w:hAnsi="Arial"/>
          <w:sz w:val="18"/>
          <w:szCs w:val="18"/>
          <w:color w:val="auto"/>
        </w:rPr>
      </w:pPr>
    </w:p>
    <w:p>
      <w:pPr>
        <w:ind w:left="2040" w:hanging="1155"/>
        <w:spacing w:after="0"/>
        <w:tabs>
          <w:tab w:leader="none" w:pos="2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w:t>
      </w:r>
    </w:p>
    <w:p>
      <w:pPr>
        <w:spacing w:after="0" w:line="22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2021 Plan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14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any outstanding options to purchase our Class B common stock are exercised, outstanding RSUs vest or new awards are granted under our equity compensation plans,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following selected consolidated statements of operations data for the years ended December 31, 2019 and 2020 and the consolidated balance sheet data as of December 31, 2019 and 2020 have been derived from our audited consolidated financial statements included elsewhere in this prospectus. Our historical results are not necessarily indicative of the results that may be expected in the future. You should read the following selected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221"/>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r>
      <w:tr>
        <w:trPr>
          <w:trHeight w:val="119"/>
        </w:trPr>
        <w:tc>
          <w:tcPr>
            <w:tcW w:w="8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220" w:type="dxa"/>
            <w:vAlign w:val="bottom"/>
          </w:tcPr>
          <w:p>
            <w:pPr>
              <w:spacing w:after="0"/>
              <w:rPr>
                <w:sz w:val="10"/>
                <w:szCs w:val="10"/>
                <w:color w:val="auto"/>
              </w:rPr>
            </w:pPr>
          </w:p>
        </w:tc>
      </w:tr>
      <w:tr>
        <w:trPr>
          <w:trHeight w:val="148"/>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center"/>
              <w:ind w:right="221"/>
              <w:spacing w:after="0" w:line="149" w:lineRule="exact"/>
              <w:rPr>
                <w:sz w:val="20"/>
                <w:szCs w:val="20"/>
                <w:color w:val="auto"/>
              </w:rPr>
            </w:pPr>
            <w:r>
              <w:rPr>
                <w:rFonts w:ascii="Arial" w:cs="Arial" w:eastAsia="Arial" w:hAnsi="Arial"/>
                <w:sz w:val="14"/>
                <w:szCs w:val="14"/>
                <w:b w:val="1"/>
                <w:bCs w:val="1"/>
                <w:color w:val="auto"/>
                <w:w w:val="91"/>
              </w:rPr>
              <w:t>and per share amounts or</w:t>
            </w:r>
          </w:p>
        </w:tc>
      </w:tr>
      <w:tr>
        <w:trPr>
          <w:trHeight w:val="171"/>
        </w:trPr>
        <w:tc>
          <w:tcPr>
            <w:tcW w:w="8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86"/>
              </w:rPr>
              <w:t>as noted)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Net revenue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1"/>
              <w:spacing w:after="0"/>
              <w:rPr>
                <w:sz w:val="20"/>
                <w:szCs w:val="20"/>
                <w:color w:val="auto"/>
              </w:rPr>
            </w:pPr>
            <w:r>
              <w:rPr>
                <w:rFonts w:ascii="Arial" w:cs="Arial" w:eastAsia="Arial" w:hAnsi="Arial"/>
                <w:sz w:val="18"/>
                <w:szCs w:val="18"/>
                <w:color w:val="auto"/>
                <w:w w:val="89"/>
              </w:rPr>
              <w:t>143,267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290,292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82,814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172,385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117,907</w:t>
            </w:r>
          </w:p>
        </w:tc>
        <w:tc>
          <w:tcPr>
            <w:tcW w:w="2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86,506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126,861</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All other 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color w:val="auto"/>
              </w:rPr>
              <w:t>32,810</w:t>
            </w:r>
          </w:p>
        </w:tc>
        <w:tc>
          <w:tcPr>
            <w:tcW w:w="10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38,133</w:t>
            </w: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w w:val="95"/>
              </w:rPr>
              <w:t>(58,863)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(47,087)</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(521)</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(47,695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r>
      <w:tr>
        <w:trPr>
          <w:trHeight w:val="20"/>
        </w:trPr>
        <w:tc>
          <w:tcPr>
            <w:tcW w:w="8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Class A and Class B common stockholders, basic and diluted</w:t>
            </w:r>
            <w:r>
              <w:rPr>
                <w:rFonts w:ascii="Arial" w:cs="Arial" w:eastAsia="Arial" w:hAnsi="Arial"/>
                <w:sz w:val="15"/>
                <w:szCs w:val="15"/>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(0.39)</w:t>
            </w:r>
          </w:p>
        </w:tc>
      </w:tr>
      <w:tr>
        <w:trPr>
          <w:trHeight w:val="202"/>
        </w:trPr>
        <w:tc>
          <w:tcPr>
            <w:tcW w:w="872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Class A and Class B common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8720" w:type="dxa"/>
            <w:vAlign w:val="bottom"/>
          </w:tcPr>
          <w:p>
            <w:pPr>
              <w:ind w:left="18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color w:val="auto"/>
                <w:w w:val="89"/>
              </w:rPr>
              <w:t>113,852</w:t>
            </w:r>
          </w:p>
        </w:tc>
        <w:tc>
          <w:tcPr>
            <w:tcW w:w="10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122,933</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Class A and Class B common stockholders, basic and diluted (unaudited)</w:t>
            </w:r>
            <w:r>
              <w:rPr>
                <w:rFonts w:ascii="Arial" w:cs="Arial" w:eastAsia="Arial" w:hAnsi="Arial"/>
                <w:sz w:val="15"/>
                <w:szCs w:val="15"/>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(55,542)</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w w:val="91"/>
              </w:rPr>
              <w:t>Pro forma net loss per share attributable to Class A and Class B common stockholders, basic and diluted (unaudited)</w:t>
            </w:r>
            <w:r>
              <w:rPr>
                <w:rFonts w:ascii="Arial" w:cs="Arial" w:eastAsia="Arial" w:hAnsi="Arial"/>
                <w:sz w:val="15"/>
                <w:szCs w:val="15"/>
                <w:color w:val="auto"/>
                <w:w w:val="91"/>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(0.12)</w:t>
            </w:r>
          </w:p>
        </w:tc>
      </w:tr>
      <w:tr>
        <w:trPr>
          <w:trHeight w:val="202"/>
        </w:trPr>
        <w:tc>
          <w:tcPr>
            <w:tcW w:w="8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Weighted-average shares used in computing pro forma net loss per share attributable to Class A and Class B common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 (unaudited)</w:t>
            </w:r>
            <w:r>
              <w:rPr>
                <w:rFonts w:ascii="Arial" w:cs="Arial" w:eastAsia="Arial" w:hAnsi="Arial"/>
                <w:sz w:val="15"/>
                <w:szCs w:val="15"/>
                <w:color w:val="auto"/>
              </w:rPr>
              <w:t>(3)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469,360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jc w:val="both"/>
        <w:ind w:left="660" w:right="20" w:hanging="544"/>
        <w:spacing w:after="0" w:line="283"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Compensation and benefits include share-based compensation expense of $21.8 million and $28.2 million for the years ended December 31, 2019 and December 31, 2020,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5"/>
          <w:szCs w:val="15"/>
          <w:color w:val="auto"/>
        </w:rPr>
      </w:pPr>
    </w:p>
    <w:p>
      <w:pPr>
        <w:ind w:left="660" w:hanging="544"/>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r>
      <w:tr>
        <w:trPr>
          <w:trHeight w:val="142"/>
        </w:trPr>
        <w:tc>
          <w:tcPr>
            <w:tcW w:w="89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19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w w:val="95"/>
              </w:rPr>
              <w:t>$  60,344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$ 220,433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7,800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95,225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149,903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132,894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289,808</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223,191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457,680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85,849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169,516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335,748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501,881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(198,406)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(213,717)</w:t>
            </w: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6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3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2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loss (in thousands)</w:t>
            </w:r>
          </w:p>
        </w:tc>
        <w:tc>
          <w:tcPr>
            <w:tcW w:w="1740" w:type="dxa"/>
            <w:vAlign w:val="bottom"/>
            <w:gridSpan w:val="2"/>
          </w:tcPr>
          <w:p>
            <w:pPr>
              <w:jc w:val="right"/>
              <w:ind w:right="1020"/>
              <w:spacing w:after="0"/>
              <w:rPr>
                <w:sz w:val="20"/>
                <w:szCs w:val="20"/>
                <w:color w:val="auto"/>
              </w:rPr>
            </w:pPr>
            <w:r>
              <w:rPr>
                <w:rFonts w:ascii="Arial" w:cs="Arial" w:eastAsia="Arial" w:hAnsi="Arial"/>
                <w:sz w:val="18"/>
                <w:szCs w:val="18"/>
                <w:color w:val="auto"/>
                <w:w w:val="90"/>
              </w:rPr>
              <w:t>$(58,200)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$(47,695)</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1740" w:type="dxa"/>
            <w:vAlign w:val="bottom"/>
            <w:gridSpan w:val="2"/>
          </w:tcPr>
          <w:p>
            <w:pPr>
              <w:jc w:val="right"/>
              <w:ind w:right="1020"/>
              <w:spacing w:after="0"/>
              <w:rPr>
                <w:sz w:val="20"/>
                <w:szCs w:val="20"/>
                <w:color w:val="auto"/>
              </w:rPr>
            </w:pPr>
            <w:r>
              <w:rPr>
                <w:rFonts w:ascii="Arial" w:cs="Arial" w:eastAsia="Arial" w:hAnsi="Arial"/>
                <w:sz w:val="18"/>
                <w:szCs w:val="18"/>
                <w:color w:val="auto"/>
                <w:w w:val="90"/>
              </w:rPr>
              <w:t>$(34,026)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$(15,378)</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Total Processing Volume (TPV) represents the total dollar amount of payments processed through our Platform, net of returns and chargebacks.</w:t>
      </w:r>
    </w:p>
    <w:p>
      <w:pPr>
        <w:spacing w:after="0" w:line="22" w:lineRule="exact"/>
        <w:rPr>
          <w:rFonts w:ascii="Arial" w:cs="Arial" w:eastAsia="Arial" w:hAnsi="Arial"/>
          <w:sz w:val="16"/>
          <w:szCs w:val="16"/>
          <w:color w:val="auto"/>
        </w:rPr>
      </w:pPr>
    </w:p>
    <w:p>
      <w:pPr>
        <w:jc w:val="both"/>
        <w:ind w:left="660" w:right="20" w:hanging="544"/>
        <w:spacing w:after="0" w:line="30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 Key Operating Metric and Non-GAAP Financial Measures.”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and Other Data” and the consolidated financial statements and related notes that are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and authorize and settle payments transactions.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the Marqeta Platform processed $60.1 billion of TPV, up 177% from $21.7 billion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3094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8604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Historically, the capabilities to build and deploy card programs at scale were typically reserved for large financial institutions, not innovative and disruptive companies. Our Platform is designed to meet the card issuing and transaction processing needs of commerce disruptors and large financial institutions. Marqeta has already emerged as a card issuing platform category leader in many disruptive verticals, including on-demand delivery, alternative lending, expense management, disbursement, digital remittances, and digital banks. Our platform is sought out by large financial institutions to improve their existing offerings and stay competitive with technology-focused new market entrants. With approximately 275 million cards issued through the Marqeta Platform as of December 31, 2020, we are democratizing card issuing as the critical interface between Issuing Banks, Card Networks, and our Customers to manage all aspects of card issuing and processing.</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Marqeta’s growth, future success, and performance are dependent upon a number of factors, including those listed below. While these factors present significant opportunities for us, they also represent challenges we must successfully address to grow the adoption and use of the Marqeta Platform and improve our results of operations.</w:t>
      </w:r>
    </w:p>
    <w:p>
      <w:pPr>
        <w:spacing w:after="0" w:line="180"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b w:val="1"/>
          <w:bCs w:val="1"/>
          <w:color w:val="auto"/>
        </w:rPr>
        <w:t xml:space="preserve">Our growth is aligned with our Customers’ growth. </w:t>
      </w:r>
      <w:r>
        <w:rPr>
          <w:rFonts w:ascii="Arial" w:cs="Arial" w:eastAsia="Arial" w:hAnsi="Arial"/>
          <w:sz w:val="16"/>
          <w:szCs w:val="16"/>
          <w:color w:val="auto"/>
        </w:rPr>
        <w:t>We believe our growth, future success, and performance is closely aligned with that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We employ a usage-based model, based on processing volume, and derive the majority of our revenue from Interchange Fees generated by card transactions through our Platform. Interchange Fees are transaction- and volume-based fees paid by the Acquiring Bank to the Issuing Bank that issued the payment card used to purchase goods or services from the merchant. Our agreements with our Issuing Banks provide that we receive 100% of the Interchange Fees for processing our Customers’ card transactions. As our Customers’ processing volumes grow, they may earn an increased percentage of Revenue Share, where we share a portion of Interchange Fees with our Customers. Sharing an increased percentage of Interchange Fees with our Customers aligns our interests with our Customers’ growth and builds deeper Customer relationships. As the chart below illustrates, we have a consistent history of attracting new Customers and expanding their annual spend with us over time. The sustained year-over-year growth of our annual cohorts shows a healthy momentum across our Customer base, even exclusive of our largest Customer (Square). Some of our Customers have experienced incredible growth in the time they have been on our Platform and we remain a key operating partner that continues to support and benefit from their success. For example, Square became a Customer in 2016. Square launched their Square Card program on our Platform in 2018. As processing volume with Square has grown, our net revenue has also grown such that Square is now our largest Customer, representing approximately 60% and approximately 70% of our net revenue in 2019 and 2020, respectively. If Square were to see a slowdown in its business or use our Platform in a more limited capacity, our business, results of operations, and financial condition could be adversely affected.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213995</wp:posOffset>
            </wp:positionV>
            <wp:extent cx="5168900" cy="26574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color w:val="auto"/>
        </w:rPr>
        <w:t xml:space="preserve">Revenue model. </w:t>
      </w:r>
      <w:r>
        <w:rPr>
          <w:rFonts w:ascii="Arial" w:cs="Arial" w:eastAsia="Arial" w:hAnsi="Arial"/>
          <w:sz w:val="18"/>
          <w:szCs w:val="18"/>
          <w:color w:val="auto"/>
        </w:rPr>
        <w:t>We derive the majority of our revenue from Interchange Fees generated by processing payment transactions through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Interchange Fees are established by the Card Networks and the total Interchange Fees we collect are dependent on various factors including processing volume, merchant category code, transaction size, and other transaction attributes. For Customers under certain contracts, their percentage of Revenue Share increases as their respective processing volumes increase. Our gross margins may decrease as a result of this dynamic. However, we remain strategically focused on growing incremental gross profit dollars and have the ability to partially offset margin declines with better pricing that we achieve with Issuing Banks and Card Networks. Changes in transaction mix, which refers to the proportion of signature debit versus PIN debit transactions and consumer versus commercial debit cards that make up our TPV, and changes in TPV as a result of the COVID-19 pandemic, could result in fluctuations to our net revenue. Further, certain Customers’ processing volumes are subject to seasonal fluctuations that could cause varied revenue results across the quarters.</w:t>
      </w:r>
    </w:p>
    <w:p>
      <w:pPr>
        <w:spacing w:after="0" w:line="188"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Effect of pricing initiatives for our payment processing services. </w:t>
      </w:r>
      <w:r>
        <w:rPr>
          <w:rFonts w:ascii="Arial" w:cs="Arial" w:eastAsia="Arial" w:hAnsi="Arial"/>
          <w:sz w:val="17"/>
          <w:szCs w:val="17"/>
          <w:color w:val="auto"/>
        </w:rPr>
        <w:t>Our Customer contracts typically include Revenue Share provisions, incentivizing</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to continue to use our Platform and increase their processing volumes on our Platform. Revenue Share provisions include increased rates of Revenue Share when processing volumes reach specified volume tiers. As Customers’ processing volumes increase, they may earn an increased percentage of Revenue Share, which generally results in higher gross profit but can reduce our gross margin.</w:t>
      </w:r>
    </w:p>
    <w:p>
      <w:pPr>
        <w:spacing w:after="0" w:line="16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 xml:space="preserve">Ecosystem of key vendor partners. </w:t>
      </w:r>
      <w:r>
        <w:rPr>
          <w:rFonts w:ascii="Arial" w:cs="Arial" w:eastAsia="Arial" w:hAnsi="Arial"/>
          <w:sz w:val="16"/>
          <w:szCs w:val="16"/>
          <w:color w:val="auto"/>
        </w:rPr>
        <w:t>We partner with Card Networks who oversee their global payment networks, through which debit, credit,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prepaid card payments are authorized, processed, and settled. We incur fees charged by the Card Networks to route our Customers’ transactions within the payments ecosystem. These fees are reflected in our costs of revenue. Given our ability to direct transactions to specific Card Networks, we are able to negotiate certain incentive rebates that effectively reduce the overall network fees. With the scale of the transactions we process on behalf of our Customers, we believe we can continue to negotiate favorable incentive rebates. However, if these fees increase, our gross margins will decrease.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partner with Issuing Banks to facilitate the issuance of payment cards to our Customers and to sponsor our Customers’ card programs on Card Networks because we do not have regulatory authority to perform these activities ourselves. We pay volume- and transaction-based fees to the Issuing Banks. The fees are typically structured based on volume tiers; as our processing volumes grow, these fees as a percentage of processing volume decline. These fees are reflected in our costs of revenue.</w:t>
      </w:r>
    </w:p>
    <w:p>
      <w:pPr>
        <w:spacing w:after="0" w:line="183"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System performance and reliability. </w:t>
      </w:r>
      <w:r>
        <w:rPr>
          <w:rFonts w:ascii="Arial" w:cs="Arial" w:eastAsia="Arial" w:hAnsi="Arial"/>
          <w:sz w:val="17"/>
          <w:szCs w:val="17"/>
          <w:color w:val="auto"/>
        </w:rPr>
        <w:t>Our partnerships with the Card Networks and Issuing Banks rely on our secure and compliant processing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their standards and require continued diligence to combat fraud and misuse of our Platform. Any disruption to our ability to process transactions through our Platform may impact our net revenue. Additionally, system downtime could result in contractual payments to our Customers based on service level commitments included in our Customer contracts, which could adversely affect our financial performance.</w:t>
      </w:r>
    </w:p>
    <w:p>
      <w:pPr>
        <w:spacing w:after="0" w:line="165"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 xml:space="preserve">Continued investment in our Platform. </w:t>
      </w:r>
      <w:r>
        <w:rPr>
          <w:rFonts w:ascii="Arial" w:cs="Arial" w:eastAsia="Arial" w:hAnsi="Arial"/>
          <w:sz w:val="16"/>
          <w:szCs w:val="16"/>
          <w:color w:val="auto"/>
        </w:rPr>
        <w:t>We make significant investments in both new product development and platform enhancements, such as our</w:t>
      </w:r>
      <w:r>
        <w:rPr>
          <w:rFonts w:ascii="Arial" w:cs="Arial" w:eastAsia="Arial" w:hAnsi="Arial"/>
          <w:sz w:val="16"/>
          <w:szCs w:val="16"/>
          <w:b w:val="1"/>
          <w:bCs w:val="1"/>
          <w:color w:val="auto"/>
        </w:rPr>
        <w:t xml:space="preserve"> </w:t>
      </w:r>
      <w:r>
        <w:rPr>
          <w:rFonts w:ascii="Arial" w:cs="Arial" w:eastAsia="Arial" w:hAnsi="Arial"/>
          <w:sz w:val="16"/>
          <w:szCs w:val="16"/>
          <w:color w:val="auto"/>
        </w:rPr>
        <w:t>Tokenization as a Service product introduced in 2020. Further, we will continue to invest in operational support to maintain service levels expected by our Customers. We believe these investments in product development and operational efficiency will lead to long-term growth and profitability.</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unprecedented and rapid spread of COVID-19 and the resultant shelter-in-place orders, promotion of social distancing measures, restrictions on businesses deemed non-essential, and travel restrictions implemented throughout the United States in March 2020 have significantly affected many aspects of the economy. In response to the COVID-19 pandemic, we have implemented measures to focus on employee safety and Customer support, while at the same time seeking to mitigate any negative impact on our financial position and operations. We have implemented remote working capabilities for our entire company and, to date, there has been minimal disruption to our operations.</w:t>
      </w:r>
    </w:p>
    <w:p>
      <w:pPr>
        <w:spacing w:after="0" w:line="17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restaurant, travel, and hospitality sectors of the U.S. economy have been significantly and adversely affected by the COVID-19 pandemic. We believe this has accelerated the shift of purchasing activities from offline to online and the growth of on-demand delivery services. Many of these service providers are our Customers, and are experiencing accelerated adoption of virtual and contactless forms of payments.</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Overall, these trends significantly contributed to the increases in our net revenue of $147.0 million, or 103%, and in our gross profit of $57.5 million, or 95%, for 2020 as compared to 2019. It is uncertain what effect a lifting of shelter-in-place orders, social distancing, and other restrictions will have on the processing volumes of our Customers, and on our results of operations.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While our business has not been adversely affected by the COVID-19 pandemic to date, we continue to monitor the situation and may take actions that alter our operations and business practices as may be required by federal, state, or local authorities or that we determine are in the best interests of our Customers, vendors, and employees.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Year Ended</w:t>
      </w:r>
    </w:p>
    <w:p>
      <w:pPr>
        <w:jc w:val="center"/>
        <w:ind w:left="85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7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2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loss (in thousands)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$(58,200)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$(47,695)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$(34,026)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$(15,378)</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bl>
    <w:p>
      <w:pPr>
        <w:spacing w:after="0" w:line="198"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Total Processing Volume (TPV)—</w:t>
      </w:r>
      <w:r>
        <w:rPr>
          <w:rFonts w:ascii="Arial" w:cs="Arial" w:eastAsia="Arial" w:hAnsi="Arial"/>
          <w:sz w:val="18"/>
          <w:szCs w:val="18"/>
          <w:color w:val="auto"/>
        </w:rPr>
        <w:t>Total Processing Volume (TPV) represents the total dollar amount of payments processed through our Platform, net</w:t>
      </w:r>
      <w:r>
        <w:rPr>
          <w:rFonts w:ascii="Arial" w:cs="Arial" w:eastAsia="Arial" w:hAnsi="Arial"/>
          <w:sz w:val="18"/>
          <w:szCs w:val="18"/>
          <w:b w:val="1"/>
          <w:bCs w:val="1"/>
          <w:color w:val="auto"/>
        </w:rPr>
        <w:t xml:space="preserve"> </w:t>
      </w:r>
      <w:r>
        <w:rPr>
          <w:rFonts w:ascii="Arial" w:cs="Arial" w:eastAsia="Arial" w:hAnsi="Arial"/>
          <w:sz w:val="18"/>
          <w:szCs w:val="18"/>
          <w:color w:val="auto"/>
        </w:rPr>
        <w:t>of returns and chargebacks. We believe that TPV is a key indicator of the market adoption of our Platform, growth of our brand, growth of our Customers’ business and scale of our business.</w:t>
      </w:r>
    </w:p>
    <w:p>
      <w:pPr>
        <w:spacing w:after="0" w:line="176" w:lineRule="exact"/>
        <w:rPr>
          <w:sz w:val="20"/>
          <w:szCs w:val="20"/>
          <w:color w:val="auto"/>
        </w:rPr>
      </w:pPr>
    </w:p>
    <w:p>
      <w:pPr>
        <w:jc w:val="both"/>
        <w:ind w:left="120"/>
        <w:spacing w:after="0" w:line="294"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Adjusted EBITDA is a non-GAAP financial measure that is calculated as net income (loss) adjusted to exclude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certain annual employee bonus plans.</w:t>
      </w:r>
    </w:p>
    <w:p>
      <w:pPr>
        <w:spacing w:after="0" w:line="160" w:lineRule="exact"/>
        <w:rPr>
          <w:sz w:val="20"/>
          <w:szCs w:val="20"/>
          <w:color w:val="auto"/>
        </w:rPr>
      </w:pPr>
    </w:p>
    <w:p>
      <w:pPr>
        <w:jc w:val="both"/>
        <w:ind w:left="120" w:right="20"/>
        <w:spacing w:after="0" w:line="282" w:lineRule="auto"/>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This is used by management and our board of directors to determine our operating efficiency.</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of Non-GAAP Financial Measures</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set forth above. There are a number of limitations related to the use of these non-GAAP measures versus their most directly comparable GAAP measures, including the following:</w:t>
      </w:r>
    </w:p>
    <w:p>
      <w:pPr>
        <w:spacing w:after="0" w:line="77" w:lineRule="exact"/>
        <w:rPr>
          <w:sz w:val="20"/>
          <w:szCs w:val="20"/>
          <w:color w:val="auto"/>
        </w:rPr>
      </w:pPr>
    </w:p>
    <w:p>
      <w:pPr>
        <w:ind w:left="880" w:right="20" w:hanging="224"/>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than how we calculate this measure or not at all; this reduces its usefulness as a comparative measure;</w:t>
      </w:r>
    </w:p>
    <w:p>
      <w:pPr>
        <w:spacing w:after="0" w:line="75"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 A reconciliation of net loss to adjusted EBITDA and adjusted EBITDA margin for the years ended December 31, 2019 and 2020 is as follows:</w:t>
      </w:r>
    </w:p>
    <w:p>
      <w:pPr>
        <w:spacing w:after="0" w:line="202"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Year Ended</w:t>
      </w:r>
    </w:p>
    <w:p>
      <w:pPr>
        <w:jc w:val="center"/>
        <w:ind w:left="8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7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2040" w:type="dxa"/>
            <w:vAlign w:val="bottom"/>
            <w:gridSpan w:val="3"/>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 )</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87"/>
              </w:rPr>
              <w:t>$143,267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$290,292</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510"/>
              <w:spacing w:after="0"/>
              <w:rPr>
                <w:sz w:val="20"/>
                <w:szCs w:val="20"/>
                <w:color w:val="auto"/>
              </w:rPr>
            </w:pPr>
            <w:r>
              <w:rPr>
                <w:rFonts w:ascii="Arial" w:cs="Arial" w:eastAsia="Arial" w:hAnsi="Arial"/>
                <w:sz w:val="18"/>
                <w:szCs w:val="18"/>
                <w:color w:val="auto"/>
                <w:w w:val="87"/>
              </w:rPr>
              <w:t>$ (58,200)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 (47,695)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13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510"/>
              <w:spacing w:after="0"/>
              <w:rPr>
                <w:sz w:val="20"/>
                <w:szCs w:val="20"/>
                <w:color w:val="auto"/>
              </w:rPr>
            </w:pPr>
            <w:r>
              <w:rPr>
                <w:rFonts w:ascii="Arial" w:cs="Arial" w:eastAsia="Arial" w:hAnsi="Arial"/>
                <w:sz w:val="18"/>
                <w:szCs w:val="18"/>
                <w:color w:val="auto"/>
                <w:w w:val="87"/>
              </w:rPr>
              <w:t>$ (58,200)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 (47,695)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3,080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21,757</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3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(698)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35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w w:val="87"/>
              </w:rPr>
              <w:t>$ (34,026)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 (15,378)</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2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22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 xml:space="preserve">Platform services revenue, net. </w:t>
      </w:r>
      <w:r>
        <w:rPr>
          <w:rFonts w:ascii="Arial" w:cs="Arial" w:eastAsia="Arial" w:hAnsi="Arial"/>
          <w:sz w:val="16"/>
          <w:szCs w:val="16"/>
          <w:color w:val="auto"/>
        </w:rPr>
        <w:t>Platform services revenue includes Interchange Fees, net of Revenue Share and other service level payments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Platform services revenue also includes processing and other fees. Interchange Fees are earned on card transactions we process for our Customers and are calculated based on a percentage of the amount of a specific card transaction plus a fixed amount per transaction. Interchange Fees are recognized when the associated transactions are settled. Processing and other fees include fees earned when end users use payment cards at automated teller machines and minimum processing fees earned if Customers’ processing volumes fall below certain thresholds.</w:t>
      </w:r>
    </w:p>
    <w:p>
      <w:pPr>
        <w:spacing w:after="0" w:line="16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Revenue Share payments are incentives to Customers to increase processing volumes on our Platform. Revenue Share is generally computed as a percentage of the Interchange Fees earned or processing volume and is paid to Customers monthly. Revenue Share payments are recorded as a reduction to revenue. As Customers’ processing volumes increase, they may earn an increased percentage of Revenue Share.</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billed to Customers upon ordering card inventory and recognized as revenue when the cards are shipped to the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w:t>
      </w:r>
    </w:p>
    <w:p>
      <w:pPr>
        <w:spacing w:after="0" w:line="121"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Costs of revenue consist of Card Network costs, Issuing Bank costs, and card fulfillment costs. Card Network costs are generally equal to a specified percentage of processing volume or a fixed amount per transaction routed through the respective Card Network. Issuing Bank costs compensate our Issuing Banks for issuing cards to our Customers and sponsoring our card programs with the Card Networks and are generally equal to a specified percentage of processing volume or a fixed amount per transaction. Card fulfillment costs include physical cards, packaging, and other fulfillment costs.</w:t>
      </w:r>
    </w:p>
    <w:p>
      <w:pPr>
        <w:spacing w:after="0" w:line="15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have separate marketing and incentive arrangements with Card Networks that provide us with monetary incentives for processing volume via the respective Card Network. The amount of the incentives is determined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based on a percentage of the processing volume routed over the Card Network. We record these incentives as a reduction of Card Network fees included in costs of revenue. Generally, as Customers’ processing volumes increase we earn a higher rate of monetary incentives from these arrangements, subject to attaining certain volume tiering thresholds.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i w:val="1"/>
          <w:iCs w:val="1"/>
          <w:color w:val="auto"/>
        </w:rPr>
        <w:t xml:space="preserve">Compensation and Benefits. </w:t>
      </w:r>
      <w:r>
        <w:rPr>
          <w:rFonts w:ascii="Arial" w:cs="Arial" w:eastAsia="Arial" w:hAnsi="Arial"/>
          <w:sz w:val="16"/>
          <w:szCs w:val="16"/>
          <w:color w:val="auto"/>
        </w:rPr>
        <w:t>Compensation and benefits consist primarily of salaries, employees’ benefits, incentive compensation, and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We expect that our compensation and benefits expenses will increase in absolute dollars as our business grows.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December 31, 2020, no share-based compensation expense had been recognized for RSUs because the liquidity condition had not occurred. If our initial public offering had occurred on December 31, 2020, we would have recognized $9.8 million of cumulative share-based compensation expense on that date.</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and recruiting fees. We expect that our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Technology consists primarily of third-party hosting fees, software licenses, and hardware purchases below our capitalization threshold,</w:t>
      </w:r>
      <w:r>
        <w:rPr>
          <w:rFonts w:ascii="Arial" w:cs="Arial" w:eastAsia="Arial" w:hAnsi="Arial"/>
          <w:sz w:val="17"/>
          <w:szCs w:val="17"/>
          <w:i w:val="1"/>
          <w:iCs w:val="1"/>
          <w:color w:val="auto"/>
        </w:rPr>
        <w:t xml:space="preserve"> </w:t>
      </w:r>
      <w:r>
        <w:rPr>
          <w:rFonts w:ascii="Arial" w:cs="Arial" w:eastAsia="Arial" w:hAnsi="Arial"/>
          <w:sz w:val="17"/>
          <w:szCs w:val="17"/>
          <w:color w:val="auto"/>
        </w:rPr>
        <w:t>and support and maintenance costs. We expect that our technology expenses will increase in absolute dollars as our business grows.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 We expect that our occupancy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We expect that our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will increase in absolute dollars as our business grows.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activities and promotional activities.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marketing and advertising expenses will increase in absolute dollars as our business grows.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indirect state and local taxes, employees training, charitable donation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general office expenses. We expect that our other operating expenses will increase in absolute dollars as our business grows and we expect we will incur increased expenses to operate as a public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Other income (expense), net consists primarily of interest income from our marketable securities, interest expense on our loan and security agreement that was paid off in December 2019, realized foreign currency gains and losses, changes in the fair value of the redeemable convertible preferred stock warrant liabilities, and impairment of our equity method investments in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Income tax expense consists of U.S. federal and state income taxes and U.K. income taxes. We maintain a full valuation allowance on our federal and state net deferred tax assets as we have concluded that it is not more likely than not that we will realize our net deferred tax assets.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right"/>
              <w:ind w:right="361"/>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8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jc w:val="right"/>
              <w:ind w:right="491"/>
              <w:spacing w:after="0"/>
              <w:rPr>
                <w:sz w:val="20"/>
                <w:szCs w:val="20"/>
                <w:color w:val="auto"/>
              </w:rPr>
            </w:pPr>
            <w:r>
              <w:rPr>
                <w:rFonts w:ascii="Arial" w:cs="Arial" w:eastAsia="Arial" w:hAnsi="Arial"/>
                <w:sz w:val="16"/>
                <w:szCs w:val="16"/>
                <w:b w:val="1"/>
                <w:bCs w:val="1"/>
                <w:color w:val="auto"/>
              </w:rPr>
              <w:t>(in thousands)</w:t>
            </w:r>
          </w:p>
        </w:tc>
        <w:tc>
          <w:tcPr>
            <w:tcW w:w="120" w:type="dxa"/>
            <w:vAlign w:val="bottom"/>
            <w:shd w:val="clear" w:color="auto" w:fill="CCEEFF"/>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Net revenue</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143,267</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290,292</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172,385</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86,506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126,861</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10,129</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7,796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13,239</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4,337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3,498</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advertising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1,670</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5,260</w:t>
            </w:r>
          </w:p>
        </w:tc>
      </w:tr>
      <w:tr>
        <w:trPr>
          <w:trHeight w:val="27"/>
        </w:trPr>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164,994</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(58,863)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(47,087)</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(58,165)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(47,608)</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(58,200</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 as a percentage of our net revenue:</w:t>
      </w:r>
    </w:p>
    <w:p>
      <w:pPr>
        <w:spacing w:after="0" w:line="24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5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Costs of revenue</w:t>
            </w:r>
          </w:p>
        </w:tc>
        <w:tc>
          <w:tcPr>
            <w:tcW w:w="5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58</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Professional services</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Occupancy</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Marketing and advertising</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420"/>
              <w:spacing w:after="0"/>
              <w:rPr>
                <w:sz w:val="20"/>
                <w:szCs w:val="20"/>
                <w:color w:val="auto"/>
              </w:rPr>
            </w:pPr>
            <w:r>
              <w:rPr>
                <w:rFonts w:ascii="Arial" w:cs="Arial" w:eastAsia="Arial" w:hAnsi="Arial"/>
                <w:sz w:val="18"/>
                <w:szCs w:val="18"/>
                <w:color w:val="auto"/>
              </w:rPr>
              <w:t>77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for the Fiscal Years Ended December 31, 2019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and Costs of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4"/>
                <w:szCs w:val="14"/>
                <w:color w:val="auto"/>
              </w:rPr>
            </w:pPr>
          </w:p>
        </w:tc>
        <w:tc>
          <w:tcPr>
            <w:tcW w:w="10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5"/>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Net interchange fees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116,469</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234,397</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w w:val="92"/>
              </w:rPr>
              <w:t>$ 117,928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other fees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26,940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4700" w:type="dxa"/>
            <w:vAlign w:val="bottom"/>
          </w:tcPr>
          <w:p>
            <w:pPr>
              <w:ind w:left="720"/>
              <w:spacing w:after="0"/>
              <w:rPr>
                <w:sz w:val="20"/>
                <w:szCs w:val="20"/>
                <w:color w:val="auto"/>
              </w:rPr>
            </w:pPr>
            <w:r>
              <w:rPr>
                <w:rFonts w:ascii="Arial" w:cs="Arial" w:eastAsia="Arial" w:hAnsi="Arial"/>
                <w:sz w:val="18"/>
                <w:szCs w:val="18"/>
                <w:color w:val="auto"/>
              </w:rPr>
              <w:t>Total platform services, net</w:t>
            </w:r>
          </w:p>
        </w:tc>
        <w:tc>
          <w:tcPr>
            <w:tcW w:w="2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282,286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144,868</w:t>
            </w:r>
          </w:p>
        </w:tc>
        <w:tc>
          <w:tcPr>
            <w:tcW w:w="3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700" w:type="dxa"/>
            <w:vAlign w:val="bottom"/>
          </w:tcPr>
          <w:p>
            <w:pPr>
              <w:ind w:left="1080"/>
              <w:spacing w:after="0"/>
              <w:rPr>
                <w:sz w:val="20"/>
                <w:szCs w:val="20"/>
                <w:color w:val="auto"/>
              </w:rPr>
            </w:pPr>
            <w:r>
              <w:rPr>
                <w:rFonts w:ascii="Arial" w:cs="Arial" w:eastAsia="Arial" w:hAnsi="Arial"/>
                <w:sz w:val="18"/>
                <w:szCs w:val="18"/>
                <w:color w:val="auto"/>
              </w:rPr>
              <w:t>Total net revenue</w:t>
            </w:r>
          </w:p>
        </w:tc>
        <w:tc>
          <w:tcPr>
            <w:tcW w:w="20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143,267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290,292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147,025</w:t>
            </w:r>
          </w:p>
        </w:tc>
        <w:tc>
          <w:tcPr>
            <w:tcW w:w="3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of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64,947</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145,617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80,670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1,627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82,814</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89,571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Gross profit</w:t>
            </w:r>
          </w:p>
        </w:tc>
        <w:tc>
          <w:tcPr>
            <w:tcW w:w="20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57,454</w:t>
            </w:r>
          </w:p>
        </w:tc>
        <w:tc>
          <w:tcPr>
            <w:tcW w:w="3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Total net revenue increased by $147.0 million, or 103%, for the year ended December 31, 2020 compared to the year ended December 31, 2019, of which $117.7 million was generated by Square. The increase was primarily driven by a 177% increase in TPV. This increase was due to a 170% increase in processing volume generated from Square, and a 188% increase in processing volume generated from all other programs, excluding Square. This increase in TPV drove a $117.9 million, or 101%, increase in net Interchange Fees. In relation to the growth in TPV, net revenue grew slower in the year ended December 31, 2020, due primarily to the change in processing mix. Specifically, the consumer card processing volume and PIN network volume, which generates lower Interchange Fees, grew faster than the commercial processing volume, which typically generates higher Interchange Fees. The increase in TPV also drove a 161% increase in Revenue Share in the year ended December 31, 2020 compared to the year ended December 31, 2019. Processing and other fees increased $26.9 million, or 129%, in the year ended December 31, 2020 compared to the year ended December 31, 2019, due to an increase in automated teller machine processing volume.</w:t>
      </w:r>
    </w:p>
    <w:p>
      <w:pPr>
        <w:spacing w:after="0" w:line="181"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Costs of revenue increased by $89.6 million, or 108%, for the year ended December 31, 2020 compared to the year ended December 31, 2019. The increase was primarily due to increased Card Network fees as the result of the 177% increase in TPV and 112% increase in the number of transactions. Such fees are net of monetary incentives from Card Networks for processing volume via the respective Card Networks during the period. Issuing Bank fees are typically structured based on volume tiers; as our processing volumes grow, these fees as a percentage of processing volume decline. Issuing Bank fees increased $7.3 million, or 58%, which was lower than the percentage of increase in TPV as a result of volume tiers being met at Sutton Bank.</w:t>
      </w:r>
    </w:p>
    <w:p>
      <w:pPr>
        <w:spacing w:after="0" w:line="16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a result of the increases in net revenue and cost of revenue discussed above, gross profit increased by $57.5 million, or 95%, for the year ended December 31, 2020 compared to the year ended December 31, 2019.</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Gross margin decreased from 42% during the year ended December 31, 2019 to 41% during the year ended December 31, 2020, primarily due to the increase in Revenue Share amounts paid to Customers.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vMerge w:val="continue"/>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benefits and payroll taxes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$33,901</w:t>
            </w:r>
          </w:p>
        </w:tc>
        <w:tc>
          <w:tcPr>
            <w:tcW w:w="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21,757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28,211</w:t>
            </w:r>
          </w:p>
        </w:tc>
        <w:tc>
          <w:tcPr>
            <w:tcW w:w="1620" w:type="dxa"/>
            <w:vAlign w:val="bottom"/>
            <w:gridSpan w:val="3"/>
          </w:tcPr>
          <w:p>
            <w:pPr>
              <w:jc w:val="right"/>
              <w:ind w:right="650"/>
              <w:spacing w:after="0"/>
              <w:rPr>
                <w:sz w:val="20"/>
                <w:szCs w:val="20"/>
                <w:color w:val="auto"/>
              </w:rPr>
            </w:pPr>
            <w:r>
              <w:rPr>
                <w:rFonts w:ascii="Arial" w:cs="Arial" w:eastAsia="Arial" w:hAnsi="Arial"/>
                <w:sz w:val="18"/>
                <w:szCs w:val="18"/>
                <w:color w:val="auto"/>
              </w:rPr>
              <w:t>6,454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126,861</w:t>
            </w:r>
          </w:p>
        </w:tc>
        <w:tc>
          <w:tcPr>
            <w:tcW w:w="162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40,355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Percentage of net revenue</w:t>
            </w: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7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full time employees during the period</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w:t>
            </w:r>
          </w:p>
        </w:tc>
        <w:tc>
          <w:tcPr>
            <w:tcW w:w="162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131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Compensation and benefits expenses increased by $40.4 million, or 47%, for the year ended December 31, 2020 compared to the year ended December 31, 2019. The increase was primarily due to a $33.9 million increase in employee-related costs due to an increase in the number of employees, and a $6.5 million increase in share-based compensation related to employees’ stock options and secondary common stock sale transactions.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employees grouped by functional area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8"/>
          </w:tcPr>
          <w:p>
            <w:pPr>
              <w:ind w:left="600"/>
              <w:spacing w:after="0"/>
              <w:rPr>
                <w:sz w:val="20"/>
                <w:szCs w:val="20"/>
                <w:color w:val="auto"/>
              </w:rPr>
            </w:pPr>
            <w:r>
              <w:rPr>
                <w:rFonts w:ascii="Arial" w:cs="Arial" w:eastAsia="Arial" w:hAnsi="Arial"/>
                <w:sz w:val="14"/>
                <w:szCs w:val="14"/>
                <w:b w:val="1"/>
                <w:bCs w:val="1"/>
                <w:color w:val="auto"/>
              </w:rPr>
              <w:t>As of December 31,</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gridSpan w:val="2"/>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Product &amp; Technology</w:t>
            </w: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149</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Payment Operations</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Professional Services</w:t>
            </w: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24"/>
                <w:szCs w:val="24"/>
                <w:color w:val="auto"/>
              </w:rPr>
            </w:pPr>
          </w:p>
        </w:tc>
        <w:tc>
          <w:tcPr>
            <w:tcW w:w="3020" w:type="dxa"/>
            <w:vAlign w:val="bottom"/>
            <w:gridSpan w:val="8"/>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8,960</w:t>
            </w:r>
          </w:p>
        </w:tc>
        <w:tc>
          <w:tcPr>
            <w:tcW w:w="1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00" w:type="dxa"/>
            <w:vAlign w:val="bottom"/>
            <w:vMerge w:val="continue"/>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92"/>
              </w:rPr>
              <w:t>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Professional services expenses increased by $1.2 million, or 13%, for the year ended December 31, 2020 compared to the year ended December 31, 2019. The increase was primarily due to a $1.2 million increase in accounting, consulting, and legal fees, and a $0.9 million increase in contractors fees, which were partially offset by a $0.9 million decrease in recruiting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4"/>
                <w:szCs w:val="14"/>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7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$ 5,443</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Technology expenses increased by $5.4 million, or 70%, for the year ended December 31, 2020 compared to the year ended December 31, 2019. The increase was primarily due to a $3.3 million increase in hosting costs to support our continued growth and increase in TPV and a $2.1 million increase in software licensing costs.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Occupancy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Occupancy</w:t>
            </w:r>
          </w:p>
        </w:tc>
        <w:tc>
          <w:tcPr>
            <w:tcW w:w="18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3,777</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Occupancy expense increased by $0.6 million, or 15%, for the year ended December 31, 2020 compared to the year ended December 31, 2019. The increase was primarily due to an increase in rent and related charges for an office space that we committed to add, prior to the enactment of shelter-in-place orders, as a result of the expected increase in the number of employees. With the increase of the number of our employees working remotely, we will continue to evaluate the need for additional office space.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3,080</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Depreciation and amortization increased by $0.4 million, or 14%, for the year ended December 31, 2020 compared to the year ended December 31, 2019. The increase was primarily due to depreciation on fixed assets used to support continued headcount and business growth.</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Marketing and advertising expenses decreased by $0.4 million, or 20%, for the year ended December 31, 2020 compared to the year ended December 31, 2019. The decrease was primarily due to participation in fewer trade shows and conferences as a result of the COVID-19 pandemic. We continue to monitor the pandemic situation and if authorities continue to loosen restrictions related to COVID-19, we expect these expenses to increase.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(1,857)</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Other operating expenses decreased by $1.9 million, or 26%, for the year ended December 31, 2020 compared to the year ended December 31, 2019. The decrease was primarily due to reduced travel and office related expenses as a result of the shelter-in-place orders instituted in response to the spread of COVID-19. In March 2020, we closed our offices and ceased all employee business travel. These actions reduced employee travel and related expenses by $2.2 million and reduced office meals by $1.2 million during the year ended December 31, 2020 compared to the year ended December 31, 2019. When shelter-in-place orders are lifted, and we open our offices and allow business travel, we expect these expenses to increase. The decrease was partially offset by an increase in various state and local taxes of $0.8 million, an increase in charitable donations of $0.5 million and an increase in other miscellaneous operating expenses of $0.2 million.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(1,219)</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Other income (expense), net decreased by $1.2 million, or 175%, for the year ended December 31, 2020 compared to the year ended December 31, 2019. The decrease was primarily due to $1.9 million increase in the fair value of the redeemable convertible preferred stock warrant liabilities and $0.6 million decrease in interest income from our marketable securities. These changes were partially offset by a $0.8 million expense in 2019 related to an impairment of our equity method investment, that did not recur in 2020, and $0.5 million decrease in interest expense on our loan and security agreement that was paid off in December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 and Customer Concentration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we are deeply integrated with our Customers in three ways: our technology underpins their core business or supports a core business process, our people become their trusted partner, and our solutions drive their key processes.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solutions are helping to power market disruptors, with scalable card issuing programs that have experienced rapid adoption. The outperformance of innovators such as Square has underpinned our rapid growth, while we add new innovators to our Platform.</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an indicator of the strength of our relationships, we achieved dollar-based net revenue retention</w:t>
      </w:r>
      <w:r>
        <w:rPr>
          <w:rFonts w:ascii="Arial" w:cs="Arial" w:eastAsia="Arial" w:hAnsi="Arial"/>
          <w:sz w:val="15"/>
          <w:szCs w:val="15"/>
          <w:color w:val="auto"/>
        </w:rPr>
        <w:t>3</w:t>
      </w:r>
      <w:r>
        <w:rPr>
          <w:rFonts w:ascii="Arial" w:cs="Arial" w:eastAsia="Arial" w:hAnsi="Arial"/>
          <w:sz w:val="18"/>
          <w:szCs w:val="18"/>
          <w:color w:val="auto"/>
        </w:rPr>
        <w:t xml:space="preserve"> of over 200% for each of the years ended December 31, 2019 and 2020.</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we continue to onboard new Customers and they begin to increase their processing volumes on our Platform, we expect meaningful processing volume and net revenue diversification over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2020, we generated 60% and 70% of our net revenue from our largest Customer,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jc w:val="both"/>
        <w:ind w:left="440" w:right="20" w:hanging="324"/>
        <w:spacing w:after="0" w:line="264" w:lineRule="auto"/>
        <w:tabs>
          <w:tab w:leader="none" w:pos="440" w:val="left"/>
        </w:tabs>
        <w:numPr>
          <w:ilvl w:val="0"/>
          <w:numId w:val="41"/>
        </w:numPr>
        <w:rPr>
          <w:rFonts w:ascii="Arial" w:cs="Arial" w:eastAsia="Arial" w:hAnsi="Arial"/>
          <w:sz w:val="11"/>
          <w:szCs w:val="11"/>
          <w:color w:val="auto"/>
        </w:rPr>
      </w:pPr>
      <w:r>
        <w:rPr>
          <w:rFonts w:ascii="Arial" w:cs="Arial" w:eastAsia="Arial" w:hAnsi="Arial"/>
          <w:sz w:val="13"/>
          <w:szCs w:val="13"/>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following tables set forth selected unaudited consolidated quarterly statements of operations data for each of the eight fiscal quarters ended December 31, 2020, as well as the percentage of net revenue that each line item represents for each quarter. The information for each of these quarters has been prepared on the same basis as the audited annual consolidated financial statements included elsewhere in this prospectus and, in the opinion of management, includes all adjustments, which consist only of normal recurring adjustments, necessary for the fair presentation of the results of operations for these periods. This data should be read in conjunction with our audited consolidated financial statements and related notes included elsewhere in this prospectus. These quarterly results are not necessarily indicative of our results of operations to be expected for any future period.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8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 30,</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8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Dec 31,</w:t>
            </w: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8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Sep 30,</w:t>
            </w:r>
          </w:p>
        </w:tc>
        <w:tc>
          <w:tcPr>
            <w:tcW w:w="68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0"/>
                <w:szCs w:val="10"/>
                <w:color w:val="auto"/>
              </w:rPr>
            </w:pPr>
          </w:p>
        </w:tc>
      </w:tr>
      <w:tr>
        <w:trPr>
          <w:trHeight w:val="171"/>
        </w:trPr>
        <w:tc>
          <w:tcPr>
            <w:tcW w:w="3360" w:type="dxa"/>
            <w:vAlign w:val="bottom"/>
          </w:tcPr>
          <w:p>
            <w:pPr>
              <w:spacing w:after="0"/>
              <w:rPr>
                <w:sz w:val="14"/>
                <w:szCs w:val="14"/>
                <w:color w:val="auto"/>
              </w:rPr>
            </w:pPr>
          </w:p>
        </w:tc>
        <w:tc>
          <w:tcPr>
            <w:tcW w:w="14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74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$ 25,705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$ 35,572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$ 39,184</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$ 42,806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$ 48,388</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$69,402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$ 84,306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$ 88,196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Costs of revenue</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18,936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25,297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29,826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41,785</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49,024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51,750</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27,617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35,282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36,446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14,610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30,493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19,053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24,982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25,901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38,231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37,747</w:t>
            </w: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2,038</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2,502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2,137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2,283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2,346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2,479</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2,132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3,172</w:t>
            </w: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1,584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3,432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4,708</w:t>
            </w: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824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951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1,052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1,087</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1,080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1,100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1,070</w:t>
            </w: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w:t>
            </w: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310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454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1,098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343</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371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618</w:t>
            </w: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1,287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w:t>
            </w:r>
          </w:p>
        </w:tc>
      </w:tr>
      <w:tr>
        <w:trPr>
          <w:trHeight w:val="230"/>
        </w:trPr>
        <w:tc>
          <w:tcPr>
            <w:tcW w:w="3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38,978</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31,614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47,454</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49,551</w:t>
            </w:r>
          </w:p>
        </w:tc>
        <w:tc>
          <w:tcPr>
            <w:tcW w:w="12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(11,721)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(22,342)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(10,695)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(14,105)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(15,013)</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(6,797)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(12,172)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496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(295)</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(83)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(14,325)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(7,092)</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(12,255)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(13,743)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(11,879)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(14,360)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(14,530)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(7,107)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(12,298)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(13,760)</w:t>
            </w:r>
          </w:p>
        </w:tc>
      </w:tr>
      <w:tr>
        <w:trPr>
          <w:trHeight w:val="20"/>
        </w:trPr>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5"/>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8"/>
              </w:rPr>
              <w:t>Jun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288"/>
              <w:spacing w:after="0" w:line="119" w:lineRule="exact"/>
              <w:rPr>
                <w:sz w:val="20"/>
                <w:szCs w:val="20"/>
                <w:color w:val="auto"/>
              </w:rPr>
            </w:pPr>
            <w:r>
              <w:rPr>
                <w:rFonts w:ascii="Arial" w:cs="Arial" w:eastAsia="Arial" w:hAnsi="Arial"/>
                <w:sz w:val="13"/>
                <w:szCs w:val="13"/>
                <w:b w:val="1"/>
                <w:bCs w:val="1"/>
                <w:color w:val="auto"/>
                <w:w w:val="87"/>
              </w:rPr>
              <w:t>Sep 30,</w:t>
            </w:r>
          </w:p>
        </w:tc>
        <w:tc>
          <w:tcPr>
            <w:tcW w:w="820" w:type="dxa"/>
            <w:vAlign w:val="bottom"/>
            <w:gridSpan w:val="5"/>
          </w:tcPr>
          <w:p>
            <w:pPr>
              <w:jc w:val="right"/>
              <w:ind w:right="360"/>
              <w:spacing w:after="0" w:line="119" w:lineRule="exact"/>
              <w:rPr>
                <w:sz w:val="20"/>
                <w:szCs w:val="20"/>
                <w:color w:val="auto"/>
              </w:rPr>
            </w:pPr>
            <w:r>
              <w:rPr>
                <w:rFonts w:ascii="Arial" w:cs="Arial" w:eastAsia="Arial" w:hAnsi="Arial"/>
                <w:sz w:val="13"/>
                <w:szCs w:val="13"/>
                <w:b w:val="1"/>
                <w:bCs w:val="1"/>
                <w:color w:val="auto"/>
                <w:w w:val="96"/>
              </w:rPr>
              <w:t>Dec 31,</w:t>
            </w:r>
          </w:p>
        </w:tc>
        <w:tc>
          <w:tcPr>
            <w:tcW w:w="740" w:type="dxa"/>
            <w:vAlign w:val="bottom"/>
            <w:gridSpan w:val="4"/>
          </w:tcPr>
          <w:p>
            <w:pPr>
              <w:jc w:val="right"/>
              <w:ind w:right="26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40" w:type="dxa"/>
            <w:vAlign w:val="bottom"/>
            <w:gridSpan w:val="4"/>
          </w:tcPr>
          <w:p>
            <w:pPr>
              <w:jc w:val="right"/>
              <w:ind w:right="213"/>
              <w:spacing w:after="0" w:line="119" w:lineRule="exact"/>
              <w:rPr>
                <w:sz w:val="20"/>
                <w:szCs w:val="20"/>
                <w:color w:val="auto"/>
              </w:rPr>
            </w:pPr>
            <w:r>
              <w:rPr>
                <w:rFonts w:ascii="Arial" w:cs="Arial" w:eastAsia="Arial" w:hAnsi="Arial"/>
                <w:sz w:val="13"/>
                <w:szCs w:val="13"/>
                <w:b w:val="1"/>
                <w:bCs w:val="1"/>
                <w:color w:val="auto"/>
                <w:w w:val="98"/>
              </w:rPr>
              <w:t>Jun 30,</w:t>
            </w:r>
          </w:p>
        </w:tc>
        <w:tc>
          <w:tcPr>
            <w:tcW w:w="80" w:type="dxa"/>
            <w:vAlign w:val="bottom"/>
          </w:tcPr>
          <w:p>
            <w:pPr>
              <w:spacing w:after="0"/>
              <w:rPr>
                <w:sz w:val="10"/>
                <w:szCs w:val="10"/>
                <w:color w:val="auto"/>
              </w:rPr>
            </w:pPr>
          </w:p>
        </w:tc>
        <w:tc>
          <w:tcPr>
            <w:tcW w:w="60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Dec 31,</w:t>
            </w:r>
          </w:p>
        </w:tc>
        <w:tc>
          <w:tcPr>
            <w:tcW w:w="260" w:type="dxa"/>
            <w:vAlign w:val="bottom"/>
          </w:tcPr>
          <w:p>
            <w:pPr>
              <w:spacing w:after="0"/>
              <w:rPr>
                <w:sz w:val="10"/>
                <w:szCs w:val="10"/>
                <w:color w:val="auto"/>
              </w:rPr>
            </w:pPr>
          </w:p>
        </w:tc>
      </w:tr>
      <w:tr>
        <w:trPr>
          <w:trHeight w:val="171"/>
        </w:trPr>
        <w:tc>
          <w:tcPr>
            <w:tcW w:w="28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100%</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100%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w w:val="95"/>
              </w:rPr>
              <w:t>100%</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Costs of revenue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60</w:t>
            </w:r>
          </w:p>
        </w:tc>
        <w:tc>
          <w:tcPr>
            <w:tcW w:w="680" w:type="dxa"/>
            <w:vAlign w:val="bottom"/>
            <w:gridSpan w:val="4"/>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59</w:t>
            </w: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40</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37</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4</w:t>
            </w:r>
          </w:p>
        </w:tc>
        <w:tc>
          <w:tcPr>
            <w:tcW w:w="68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4</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2</w:t>
            </w:r>
          </w:p>
        </w:tc>
        <w:tc>
          <w:tcPr>
            <w:tcW w:w="68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2</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r>
      <w:tr>
        <w:trPr>
          <w:trHeight w:val="230"/>
        </w:trPr>
        <w:tc>
          <w:tcPr>
            <w:tcW w:w="28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3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34"/>
        </w:trPr>
        <w:tc>
          <w:tcPr>
            <w:tcW w:w="5180" w:type="dxa"/>
            <w:vAlign w:val="bottom"/>
            <w:gridSpan w:val="10"/>
          </w:tcPr>
          <w:p>
            <w:pPr>
              <w:spacing w:after="0"/>
              <w:rPr>
                <w:sz w:val="20"/>
                <w:szCs w:val="20"/>
                <w:color w:val="auto"/>
              </w:rPr>
            </w:pPr>
            <w:r>
              <w:rPr>
                <w:rFonts w:ascii="Arial" w:cs="Arial" w:eastAsia="Arial" w:hAnsi="Arial"/>
                <w:sz w:val="18"/>
                <w:szCs w:val="18"/>
                <w:b w:val="1"/>
                <w:bCs w:val="1"/>
                <w:color w:val="auto"/>
              </w:rPr>
              <w:t>Key Operating Metric and Non-GAAP Financial Measures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1"/>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19"/>
        </w:trPr>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90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860" w:type="dxa"/>
            <w:vAlign w:val="bottom"/>
            <w:gridSpan w:val="5"/>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Sep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248"/>
              <w:spacing w:after="0" w:line="119" w:lineRule="exact"/>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Mar 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5"/>
          </w:tcPr>
          <w:p>
            <w:pPr>
              <w:jc w:val="right"/>
              <w:ind w:right="160"/>
              <w:spacing w:after="0" w:line="119" w:lineRule="exact"/>
              <w:rPr>
                <w:sz w:val="20"/>
                <w:szCs w:val="20"/>
                <w:color w:val="auto"/>
              </w:rPr>
            </w:pPr>
            <w:r>
              <w:rPr>
                <w:rFonts w:ascii="Arial" w:cs="Arial" w:eastAsia="Arial" w:hAnsi="Arial"/>
                <w:sz w:val="13"/>
                <w:szCs w:val="13"/>
                <w:b w:val="1"/>
                <w:bCs w:val="1"/>
                <w:color w:val="auto"/>
              </w:rPr>
              <w:t>Jun 30,</w:t>
            </w:r>
          </w:p>
        </w:tc>
        <w:tc>
          <w:tcPr>
            <w:tcW w:w="300" w:type="dxa"/>
            <w:vAlign w:val="bottom"/>
          </w:tcPr>
          <w:p>
            <w:pPr>
              <w:spacing w:after="0"/>
              <w:rPr>
                <w:sz w:val="10"/>
                <w:szCs w:val="10"/>
                <w:color w:val="auto"/>
              </w:rPr>
            </w:pPr>
          </w:p>
        </w:tc>
        <w:tc>
          <w:tcPr>
            <w:tcW w:w="960" w:type="dxa"/>
            <w:vAlign w:val="bottom"/>
            <w:gridSpan w:val="5"/>
          </w:tcPr>
          <w:p>
            <w:pPr>
              <w:jc w:val="right"/>
              <w:ind w:right="460"/>
              <w:spacing w:after="0" w:line="119" w:lineRule="exact"/>
              <w:rPr>
                <w:sz w:val="20"/>
                <w:szCs w:val="20"/>
                <w:color w:val="auto"/>
              </w:rPr>
            </w:pPr>
            <w:r>
              <w:rPr>
                <w:rFonts w:ascii="Arial" w:cs="Arial" w:eastAsia="Arial" w:hAnsi="Arial"/>
                <w:sz w:val="13"/>
                <w:szCs w:val="13"/>
                <w:b w:val="1"/>
                <w:bCs w:val="1"/>
                <w:color w:val="auto"/>
              </w:rPr>
              <w:t>Sep 30,</w:t>
            </w:r>
          </w:p>
        </w:tc>
        <w:tc>
          <w:tcPr>
            <w:tcW w:w="100" w:type="dxa"/>
            <w:vAlign w:val="bottom"/>
          </w:tcPr>
          <w:p>
            <w:pPr>
              <w:spacing w:after="0"/>
              <w:rPr>
                <w:sz w:val="10"/>
                <w:szCs w:val="10"/>
                <w:color w:val="auto"/>
              </w:rPr>
            </w:pPr>
          </w:p>
        </w:tc>
        <w:tc>
          <w:tcPr>
            <w:tcW w:w="56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w w:val="92"/>
              </w:rPr>
              <w:t>Dec 31,</w:t>
            </w:r>
          </w:p>
        </w:tc>
        <w:tc>
          <w:tcPr>
            <w:tcW w:w="260" w:type="dxa"/>
            <w:vAlign w:val="bottom"/>
          </w:tcPr>
          <w:p>
            <w:pPr>
              <w:spacing w:after="0"/>
              <w:rPr>
                <w:sz w:val="10"/>
                <w:szCs w:val="10"/>
                <w:color w:val="auto"/>
              </w:rPr>
            </w:pPr>
          </w:p>
        </w:tc>
      </w:tr>
      <w:tr>
        <w:trPr>
          <w:trHeight w:val="171"/>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98"/>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r>
      <w:tr>
        <w:trPr>
          <w:trHeight w:val="182"/>
        </w:trPr>
        <w:tc>
          <w:tcPr>
            <w:tcW w:w="2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Processing Volume (TPV) (in</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4,793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5,922</w:t>
            </w:r>
          </w:p>
        </w:tc>
        <w:tc>
          <w:tcPr>
            <w:tcW w:w="240" w:type="dxa"/>
            <w:vAlign w:val="bottom"/>
            <w:shd w:val="clear" w:color="auto" w:fill="CCEEFF"/>
          </w:tcPr>
          <w:p>
            <w:pPr>
              <w:spacing w:after="0"/>
              <w:rPr>
                <w:sz w:val="20"/>
                <w:szCs w:val="20"/>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7,105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8,996</w:t>
            </w:r>
          </w:p>
        </w:tc>
        <w:tc>
          <w:tcPr>
            <w:tcW w:w="200" w:type="dxa"/>
            <w:vAlign w:val="bottom"/>
            <w:shd w:val="clear" w:color="auto" w:fill="CCEEFF"/>
          </w:tcPr>
          <w:p>
            <w:pPr>
              <w:spacing w:after="0"/>
              <w:rPr>
                <w:sz w:val="20"/>
                <w:szCs w:val="20"/>
                <w:color w:val="auto"/>
              </w:rPr>
            </w:pPr>
          </w:p>
        </w:tc>
        <w:tc>
          <w:tcPr>
            <w:tcW w:w="7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$15,082</w:t>
            </w:r>
          </w:p>
        </w:tc>
        <w:tc>
          <w:tcPr>
            <w:tcW w:w="110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$ 17,250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18,748</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Net loss (in thousands)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(11,879)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90"/>
              <w:spacing w:after="0"/>
              <w:rPr>
                <w:sz w:val="20"/>
                <w:szCs w:val="20"/>
                <w:color w:val="auto"/>
              </w:rPr>
            </w:pPr>
            <w:r>
              <w:rPr>
                <w:rFonts w:ascii="Arial" w:cs="Arial" w:eastAsia="Arial" w:hAnsi="Arial"/>
                <w:sz w:val="18"/>
                <w:szCs w:val="18"/>
                <w:color w:val="auto"/>
                <w:w w:val="89"/>
              </w:rPr>
              <w:t>(21,846)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(10,115)</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88"/>
              <w:spacing w:after="0"/>
              <w:rPr>
                <w:sz w:val="20"/>
                <w:szCs w:val="20"/>
                <w:color w:val="auto"/>
              </w:rPr>
            </w:pPr>
            <w:r>
              <w:rPr>
                <w:rFonts w:ascii="Arial" w:cs="Arial" w:eastAsia="Arial" w:hAnsi="Arial"/>
                <w:sz w:val="18"/>
                <w:szCs w:val="18"/>
                <w:color w:val="auto"/>
                <w:w w:val="89"/>
              </w:rPr>
              <w:t>(14,360)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11"/>
              <w:spacing w:after="0"/>
              <w:rPr>
                <w:sz w:val="20"/>
                <w:szCs w:val="20"/>
                <w:color w:val="auto"/>
              </w:rPr>
            </w:pPr>
            <w:r>
              <w:rPr>
                <w:rFonts w:ascii="Arial" w:cs="Arial" w:eastAsia="Arial" w:hAnsi="Arial"/>
                <w:sz w:val="18"/>
                <w:szCs w:val="18"/>
                <w:color w:val="auto"/>
                <w:w w:val="89"/>
              </w:rPr>
              <w:t>(14,530)</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 (7,107)</w:t>
            </w:r>
          </w:p>
        </w:tc>
        <w:tc>
          <w:tcPr>
            <w:tcW w:w="1100" w:type="dxa"/>
            <w:vAlign w:val="bottom"/>
            <w:gridSpan w:val="5"/>
          </w:tcPr>
          <w:p>
            <w:pPr>
              <w:jc w:val="right"/>
              <w:ind w:right="30"/>
              <w:spacing w:after="0"/>
              <w:rPr>
                <w:sz w:val="20"/>
                <w:szCs w:val="20"/>
                <w:color w:val="auto"/>
              </w:rPr>
            </w:pPr>
            <w:r>
              <w:rPr>
                <w:rFonts w:ascii="Arial" w:cs="Arial" w:eastAsia="Arial" w:hAnsi="Arial"/>
                <w:sz w:val="18"/>
                <w:szCs w:val="18"/>
                <w:color w:val="auto"/>
              </w:rPr>
              <w:t>$(12,298)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(13,760)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80" w:type="dxa"/>
            <w:vAlign w:val="bottom"/>
            <w:tcBorders>
              <w:right w:val="single" w:sz="8" w:color="CCEEFF"/>
            </w:tcBorders>
            <w:gridSpan w:val="7"/>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(9,837)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90"/>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(8,325)</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88"/>
              <w:spacing w:after="0"/>
              <w:rPr>
                <w:sz w:val="20"/>
                <w:szCs w:val="20"/>
                <w:color w:val="auto"/>
              </w:rPr>
            </w:pPr>
            <w:r>
              <w:rPr>
                <w:rFonts w:ascii="Arial" w:cs="Arial" w:eastAsia="Arial" w:hAnsi="Arial"/>
                <w:sz w:val="18"/>
                <w:szCs w:val="18"/>
                <w:color w:val="auto"/>
              </w:rPr>
              <w:t>(9,789)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11"/>
              <w:spacing w:after="0"/>
              <w:rPr>
                <w:sz w:val="20"/>
                <w:szCs w:val="20"/>
                <w:color w:val="auto"/>
              </w:rPr>
            </w:pPr>
            <w:r>
              <w:rPr>
                <w:rFonts w:ascii="Arial" w:cs="Arial" w:eastAsia="Arial" w:hAnsi="Arial"/>
                <w:sz w:val="18"/>
                <w:szCs w:val="18"/>
                <w:color w:val="auto"/>
                <w:w w:val="89"/>
              </w:rPr>
              <w:t>(10,411)</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 (3,029)</w:t>
            </w:r>
          </w:p>
        </w:tc>
        <w:tc>
          <w:tcPr>
            <w:tcW w:w="580" w:type="dxa"/>
            <w:vAlign w:val="bottom"/>
            <w:gridSpan w:val="2"/>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(2,624)</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4"/>
            <w:shd w:val="clear" w:color="auto" w:fill="CCEEFF"/>
          </w:tcPr>
          <w:p>
            <w:pPr>
              <w:jc w:val="right"/>
              <w:ind w:right="91"/>
              <w:spacing w:after="0"/>
              <w:rPr>
                <w:sz w:val="20"/>
                <w:szCs w:val="20"/>
                <w:color w:val="auto"/>
              </w:rPr>
            </w:pPr>
            <w:r>
              <w:rPr>
                <w:rFonts w:ascii="Arial" w:cs="Arial" w:eastAsia="Arial" w:hAnsi="Arial"/>
                <w:sz w:val="18"/>
                <w:szCs w:val="18"/>
                <w:color w:val="auto"/>
                <w:w w:val="89"/>
              </w:rPr>
              <w:t>(4)%</w:t>
            </w: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365"/>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ind w:right="138"/>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net loss to adjusted EBITDA for the eight fiscal quarters ended December 31, 2020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4"/>
                <w:szCs w:val="14"/>
                <w:b w:val="1"/>
                <w:bCs w:val="1"/>
                <w:color w:val="auto"/>
                <w:w w:val="96"/>
              </w:rPr>
              <w:t>Three Months Ended</w:t>
            </w: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right"/>
              <w:ind w:right="31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98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880" w:type="dxa"/>
            <w:vAlign w:val="bottom"/>
            <w:gridSpan w:val="2"/>
          </w:tcPr>
          <w:p>
            <w:pPr>
              <w:jc w:val="right"/>
              <w:ind w:right="330"/>
              <w:spacing w:after="0" w:line="119" w:lineRule="exact"/>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0"/>
                <w:szCs w:val="10"/>
                <w:color w:val="auto"/>
              </w:rPr>
            </w:pPr>
          </w:p>
        </w:tc>
        <w:tc>
          <w:tcPr>
            <w:tcW w:w="1080" w:type="dxa"/>
            <w:vAlign w:val="bottom"/>
            <w:gridSpan w:val="2"/>
          </w:tcPr>
          <w:p>
            <w:pPr>
              <w:jc w:val="right"/>
              <w:ind w:right="430"/>
              <w:spacing w:after="0" w:line="119" w:lineRule="exact"/>
              <w:rPr>
                <w:sz w:val="20"/>
                <w:szCs w:val="20"/>
                <w:color w:val="auto"/>
              </w:rPr>
            </w:pPr>
            <w:r>
              <w:rPr>
                <w:rFonts w:ascii="Arial" w:cs="Arial" w:eastAsia="Arial" w:hAnsi="Arial"/>
                <w:sz w:val="13"/>
                <w:szCs w:val="13"/>
                <w:b w:val="1"/>
                <w:bCs w:val="1"/>
                <w:color w:val="auto"/>
              </w:rPr>
              <w:t>Mar 31,</w:t>
            </w:r>
          </w:p>
        </w:tc>
        <w:tc>
          <w:tcPr>
            <w:tcW w:w="10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9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5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w w:val="92"/>
              </w:rPr>
              <w:t>Dec 31,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right"/>
              <w:ind w:right="69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8"/>
              </w:rPr>
              <w:t>25,705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35,572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8"/>
              </w:rPr>
              <w:t>39,184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8"/>
              </w:rPr>
              <w:t>42,806</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$ 48,388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$69,402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84,306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88,196</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(11,879)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0"/>
              <w:spacing w:after="0"/>
              <w:rPr>
                <w:sz w:val="20"/>
                <w:szCs w:val="20"/>
                <w:color w:val="auto"/>
              </w:rPr>
            </w:pPr>
            <w:r>
              <w:rPr>
                <w:rFonts w:ascii="Arial" w:cs="Arial" w:eastAsia="Arial" w:hAnsi="Arial"/>
                <w:sz w:val="18"/>
                <w:szCs w:val="18"/>
                <w:color w:val="auto"/>
                <w:w w:val="92"/>
              </w:rPr>
              <w:t>(21,846)</w:t>
            </w:r>
          </w:p>
        </w:tc>
        <w:tc>
          <w:tcPr>
            <w:tcW w:w="100" w:type="dxa"/>
            <w:vAlign w:val="bottom"/>
          </w:tcPr>
          <w:p>
            <w:pPr>
              <w:spacing w:after="0"/>
              <w:rPr>
                <w:sz w:val="18"/>
                <w:szCs w:val="18"/>
                <w:color w:val="auto"/>
              </w:rPr>
            </w:pPr>
          </w:p>
        </w:tc>
        <w:tc>
          <w:tcPr>
            <w:tcW w:w="980" w:type="dxa"/>
            <w:vAlign w:val="bottom"/>
            <w:gridSpan w:val="2"/>
          </w:tcPr>
          <w:p>
            <w:pPr>
              <w:jc w:val="right"/>
              <w:ind w:right="270"/>
              <w:spacing w:after="0"/>
              <w:rPr>
                <w:sz w:val="20"/>
                <w:szCs w:val="20"/>
                <w:color w:val="auto"/>
              </w:rPr>
            </w:pPr>
            <w:r>
              <w:rPr>
                <w:rFonts w:ascii="Arial" w:cs="Arial" w:eastAsia="Arial" w:hAnsi="Arial"/>
                <w:sz w:val="18"/>
                <w:szCs w:val="18"/>
                <w:color w:val="auto"/>
                <w:w w:val="89"/>
              </w:rPr>
              <w:t>(10,115)</w:t>
            </w:r>
          </w:p>
        </w:tc>
        <w:tc>
          <w:tcPr>
            <w:tcW w:w="10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(14,360)</w:t>
            </w:r>
          </w:p>
        </w:tc>
        <w:tc>
          <w:tcPr>
            <w:tcW w:w="1200" w:type="dxa"/>
            <w:vAlign w:val="bottom"/>
            <w:gridSpan w:val="3"/>
          </w:tcPr>
          <w:p>
            <w:pPr>
              <w:jc w:val="right"/>
              <w:ind w:right="270"/>
              <w:spacing w:after="0"/>
              <w:rPr>
                <w:sz w:val="20"/>
                <w:szCs w:val="20"/>
                <w:color w:val="auto"/>
              </w:rPr>
            </w:pPr>
            <w:r>
              <w:rPr>
                <w:rFonts w:ascii="Arial" w:cs="Arial" w:eastAsia="Arial" w:hAnsi="Arial"/>
                <w:sz w:val="18"/>
                <w:szCs w:val="18"/>
                <w:color w:val="auto"/>
              </w:rPr>
              <w:t>(14,530)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(12,298)</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(13,760)</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Depreciation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855</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857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2"/>
        </w:trPr>
        <w:tc>
          <w:tcPr>
            <w:tcW w:w="2520" w:type="dxa"/>
            <w:vAlign w:val="bottom"/>
          </w:tcPr>
          <w:p>
            <w:pPr>
              <w:ind w:left="360"/>
              <w:spacing w:after="0" w:line="201" w:lineRule="exact"/>
              <w:rPr>
                <w:sz w:val="20"/>
                <w:szCs w:val="20"/>
                <w:color w:val="auto"/>
              </w:rPr>
            </w:pPr>
            <w:r>
              <w:rPr>
                <w:rFonts w:ascii="Arial" w:cs="Arial" w:eastAsia="Arial" w:hAnsi="Arial"/>
                <w:sz w:val="18"/>
                <w:szCs w:val="18"/>
                <w:color w:val="auto"/>
                <w:w w:val="97"/>
              </w:rPr>
              <w:t>Share-based 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20"/>
                <w:szCs w:val="20"/>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3,461</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3,745</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11,957</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Other income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220</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(495)</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5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35</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(9,837)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(8,325)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(9,789)</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99"/>
              </w:rPr>
              <w:t>$ (10,411)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 (3,029)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Costs of Revenue and Gross Profit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net revenue increased in each of the quarters presented and is generally highly correlated to TPV. Net revenue for the second quarter of 2020 increased significantly due to additional processing volume from on-demand delivery Customers as a result of the changing spending patterns caused by the COVID-19 pandemic. See the section titled “Impact of COVID-19” for further discussion.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Costs of revenue are also generally highly correlated to processing volume and can fluctuate period to period due to the timing of Card Network incentives, as incentives arrangements are typically structured based on volume tiers.</w:t>
      </w:r>
    </w:p>
    <w:p>
      <w:pPr>
        <w:spacing w:after="0" w:line="170"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Our gross profit also increased in each of the quarters presented with a significant increase in the quarter ended June 30, 2020 due to the impact of the COVID-19 pandemic on some of our largest on-demand delivery Customers discussed above. Net revenue and gross profit were each negatively affected by service level agreement payments to Customers that totaled $2.8 million in the quarter ended March 31, 2019.</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Gross margin fluctuated across the quarters presented. The declining gross margin in the quarter ended June 30, 2020 was a function of increased processing volume and the Revenue Share arrangements with Customers that provide increased rates of Revenue Share when processing volumes reach specified volume tiers.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major component of our operating expenses is compensation and benefits. Over the last eight quarters we have invested heavily in product development, operations, customer delivery, and general and administrative functions, and as such, compensation and benefits expense has grown. In the second quarter of 2019 and the third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and fourth quarters of 2020, compensation and benefits includes share-based compensation of $13.7 million, $9.0 million and $6.8 million, respectively, related to secondary sales of common stock by our employees and former employees that were purchased by our existing stockholders. In the fourth quarter of 2020, as a result of our continuous expansion and growth, professional services expenses increased due to the hiring of additional contractors and consultants as well as full-time employees that resulted in an increase of recruiting fees. Our technology cost increased during the fourth quarter of 2020 as a result of the increase in our costs of cloud computing services and software licenses driven by increase in TPV. As we continue investing in our Platform infrastructure, we expect those costs to continue to increase. For the fourth quarter of 2019, marketing and advertising expenses increased due to our participation in Money20/20, an annual global fintech conference. We expect such increase in marketing and advertising expenses to occur every fourth quarter because of the conference, other than in the fourth quarter of 2020 during which, due to the COVID-19 pandemic, only a few virtual events were held. Our marketing and advertising expenses increased in the fourth quarter of 2020 as we invested in marketing and promotional campaigns to grow our brand and increase engagement with potential customers.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Other income (expense), net reflects interest income on our marketable securities portfolio, that commenced in the second quarter of 2019, interest expense from a bank loan that was paid off in the fourth quarter of 2019, an impairment loss on an equity method investment of $0.8 million in the fourth quarter of 2019, and the expense related to the change in the fair value of the redeemable convertible preferred stock warrant liabilities that significantly increased in the second, third, and fourth quarters of 2020 to reach $0.9 million in the fourth quarter of 2020.</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Key Operating Metric and Non-GAAP Financial Measures</w:t>
      </w:r>
    </w:p>
    <w:p>
      <w:pPr>
        <w:spacing w:after="0" w:line="121"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have experienced increases in TPV over the years ended December 31, 2019 and 2020 as we continue to add new Customers and as our existing Customers grow their businesses. Our adjusted EBITDA margin has generally improved across the periods demonstrating the leverage in our operating model as we have been able to grow revenue and gross profit at a faster pace than operating expenses. TPV, adjusted EBITDA, and adjusted EBITDA margin for the second, third, and fourth quarters of 2020 were positively affected by increased processing volumes from on-demand delivery Customers as a result of the changing spending patterns caused by the COVID-19 pandemic. See the section titled “Impact of COVID-19” for further discussion.</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calculation of pro forma net loss per share attributable to common stockholders gives effect to the conversion of our redeemable convertible preferred stock using the if-converted method as though the conversion had occurred as of the beginning of the period or on the date of issuance, if later. The pro forma share amounts also give effect to the RSUs subject to both a service condition and a liquidity condition for which the service condition has been satisfied as of December 31, 2020 on a weighted-average basis.</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net loss used in computing unaudited pro forma basic net loss per share gives effect to losses resulting from the remeasurement of the redeemable convertible preferred stock warrant liabilities. The net loss used in computing unaudited pro forma basic net loss per share also gives effect to the share-based compensation expense associated with our RSUs. If a qualifying liquidity condition had occurred on December 31, 2020, the Company would have recognized approximately $9.8 million of cumulative share-based compensation on that date. Unaudited pro forma diluted net loss per share is the same as the unaudited pro forma basic net loss per share for the period as the impact of any potentially dilutive securities was anti-dilutive.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calculated unaudited pro forma basic and diluted net loss per share is as follows (in thousands, except share and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990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9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(47,695)</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convertible preferred stock warrant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Share-based compensation expense for RSUs with vesting conditions contingent upon a liquidity condition</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(9,795)</w:t>
            </w: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(55,542)</w:t>
            </w: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122,932,556</w:t>
            </w:r>
          </w:p>
        </w:tc>
      </w:tr>
      <w:tr>
        <w:trPr>
          <w:trHeight w:val="202"/>
        </w:trPr>
        <w:tc>
          <w:tcPr>
            <w:tcW w:w="9900" w:type="dxa"/>
            <w:vAlign w:val="bottom"/>
          </w:tcPr>
          <w:p>
            <w:pPr>
              <w:spacing w:after="0" w:line="201" w:lineRule="exact"/>
              <w:rPr>
                <w:sz w:val="20"/>
                <w:szCs w:val="20"/>
                <w:color w:val="auto"/>
              </w:rPr>
            </w:pPr>
            <w:r>
              <w:rPr>
                <w:rFonts w:ascii="Arial" w:cs="Arial" w:eastAsia="Arial" w:hAnsi="Arial"/>
                <w:sz w:val="18"/>
                <w:szCs w:val="18"/>
                <w:color w:val="auto"/>
              </w:rPr>
              <w:t>Pro forma adjustment for the automatic conversion of all outstanding shares of redeemable convertible preferred stock into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900" w:type="dxa"/>
            <w:vAlign w:val="bottom"/>
          </w:tcPr>
          <w:p>
            <w:pPr>
              <w:ind w:left="180"/>
              <w:spacing w:after="0"/>
              <w:rPr>
                <w:sz w:val="20"/>
                <w:szCs w:val="20"/>
                <w:color w:val="auto"/>
              </w:rPr>
            </w:pPr>
            <w:r>
              <w:rPr>
                <w:rFonts w:ascii="Arial" w:cs="Arial" w:eastAsia="Arial" w:hAnsi="Arial"/>
                <w:sz w:val="18"/>
                <w:szCs w:val="18"/>
                <w:color w:val="auto"/>
              </w:rPr>
              <w:t>shares of common stock</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346,203,754</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for the vesting of RSUs with vesting conditions contingent upon a liquidity condition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223,856</w:t>
            </w: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w w:val="97"/>
              </w:rPr>
              <w:t>Pro forma weighted-average shares used in computing pro forma net loss per share attributable to common stockholders, basic</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90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469,360,166</w:t>
            </w: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Since our inception through December 31, 2020, we have financed our operations primarily through private sales of equity securities for net proceeds of $422.1 million and, to a lesser extent, bank debt financing of $20.0 million. As of December 31, 2020, our principal sources of liquidity included cash, cash equivalents, and marketable securities totaling $370.3 million, with such amounts held for working capital purposes. Our cash equivalents and marketable securities were comprised primarily of money market funds, U.S. government securities, commercial paper, asset-backed securities, and corporate debt securities. We have generated significant operating losses as reflected in our accumulated deficit. We expect to continue to incur operating losses for the foreseeable future.</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at least the next 12 months. Our future capital requirements will depend on many factors, including our planned continuing investment in product development, platform infrastructure, and global expansion.</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we had $7.8 million in restricted cash. This restricted cash includes $6.3 million held at our Issuing Banks to provide the Issuing Bank collateral in the event that our Customers’ funds are not deposited at the Issuing Banks in time to settle our Customers’ transactions with the Card Networks. Restricted cash also includes $1.5 million of cash held at a bank to secure our payments under a lease agreement for our office space.</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2018, we had an outstanding principal balance of $5.0 million under a loan and security agreement. On December 2, 2019, we paid off the outstanding principal balance of $5.0 million under this agreement and closed this loan facility.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9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9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jc w:val="right"/>
              <w:ind w:right="3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(15,428)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50,273</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(100,318)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(57,562)</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139,049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167,378</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160,089</w:t>
            </w:r>
          </w:p>
        </w:tc>
        <w:tc>
          <w:tcPr>
            <w:tcW w:w="12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largest source of operating cash is Interchange Fees generated by card transactions through our Platform. Our primary uses of cash from operating activities are for Card Network and Issuing Bank fees, and employee-related expenditures. Historically, we have generated negative cash flows from operating activities and have supplemented working capital requirements through net proceeds from the private sales of equity securities. The timing of settlement of certain operating liabilities, including Revenue Share payments, can affect the amounts reported as net cash (used in) provided by operating activities on the consolidated statement of cash flows.</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2019, cash used in operating activities was $15.4 million primarily due to our net loss of $58.2 million, adjusted for non-cash charges of $27.2 million and net cash inflows of $15.6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$18.6 million increase in Revenue Share payable and a $17.4 million increase in accrued expenses and other current liabilities, partially offset by a $8.2 million increase in network incentives receivable, a $5.4 million increase in prepaid expenses and other current assets, and a $4.0 million increase in settlements receivable.</w:t>
      </w:r>
    </w:p>
    <w:p>
      <w:pPr>
        <w:spacing w:after="0" w:line="164"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2020, cash provided by operating activities was $50.3 million primarily due to our net loss of $47.7 million, adjusted for non-cash charges of $36.2 million and net cash inflows of $61.8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$48.4 million increase in Revenue Share payable and a $35.0 million increase in accrued expenses and other current liabilities, partially offset by a $9.4 million increase in network incentives receivable, a $4.5 million increase in accounts receivable and a $3.0 million increase in settlements receivable.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of $100.3 million was primarily attributable to purchases of marketable securities of $528.3 million and property and equipment, and strategic investments of $5.6 million, partially offset by maturities of marketable securities of $433.6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2020 of $57.6 million was primarily attributable to purchases of marketable securities of $216.2 million and purchases of property and equipment of $2.4 million, partially offset by sales and maturities of marketable securities of $161.0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cash provided by financing activities during the year ended December 31, 2019 of $139.0 million was primarily the result of $143.0 million in net proceeds from the issuance of Series E redeemable convertible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preferred stock, net of issuance costs, and $1.0 million in proceeds from the exercise of stock options, partially offset by the bank loan repayment of $5.0 million.</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2020 of $167.4 million was primarily the result of $166.9 million in net proceeds from the issuance of Series E-1 redeemable convertible preferred stock, net of issuance costs and $3.2 million in proceeds from the exercise of stock options, partially offset by the payment of deferred offering costs of $2.7 million.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Obligations and Other Commitments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The following table summarizes our contractual obligations as of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6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3 to 5</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1 year</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years</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than 5 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$12,823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$5,379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$22,283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Non-cancellable purchase obligations</w:t>
            </w:r>
            <w:r>
              <w:rPr>
                <w:rFonts w:ascii="Arial" w:cs="Arial" w:eastAsia="Arial" w:hAnsi="Arial"/>
                <w:sz w:val="15"/>
                <w:szCs w:val="15"/>
                <w:color w:val="auto"/>
              </w:rPr>
              <w:t>(1)</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11,609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1,478</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550</w:t>
            </w:r>
          </w:p>
        </w:tc>
        <w:tc>
          <w:tcPr>
            <w:tcW w:w="5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15,690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14,301</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35,920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jc w:val="both"/>
        <w:ind w:left="660" w:right="20" w:hanging="544"/>
        <w:spacing w:after="0" w:line="278"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Non-cancellable purchase obligations primarily relate to minimum commitments to certain service providers and Issuing Banks. These purchase obligations generally represent minimum commitments for cloud-computing services and Issuing Bank processing fees over the fixed, non-cancellable respective contract terms.</w:t>
      </w:r>
    </w:p>
    <w:p>
      <w:pPr>
        <w:spacing w:after="0" w:line="18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consolidated balance sheets.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comprehensive loss, or consolidated statements of cash flows.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operations within the United States and the United Kingdom,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had cash, cash equivalents, and marketable securities totaling $370.3 million as of December 31, 2020. Such amounts included cash deposits, money market funds, U.S. government securities, commercial paper, asset-backed securities, and corporate debt securities. The fair value of our cash, cash equivalents, and marketable securities would not be significantly affected by either an increase or decrease in interest rates due to the short-term maturities of the majority of these instruments. Because we classify our marketable securities as “available for sale,” no gains or losses are recognized in the consolidated statement of operations due to changes in interest rates unless such securities are sold prior to maturity or declines in fair value are determined to be other-than-temporary. We have the ability to hold all marketable securities until their maturities. A hypothetical 100 basis point increase or decrease in interest rates would not have a material effect on our financial results.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Most of our sales and operating expenses are denominated in U.S. dollars, and therefore our results of operations are not currently subject to significant foreign currency risk. During the year ended December 31, 2020, a hypothetical 10% change in foreign currency exchange rates applicable to our business would not have had a material impact on our consolidated financial statements.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believe that of our significant accounting policies, described in Note 2 to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8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adopted Accounting Standards Codification, or ASC, Topic 606, Revenue from Contracts with Customers (ASC 606), effective as of January 1, 2019, utilizing the full retrospective method of adoption. The consolidated financial statements for all the periods presented are presented in accordance with ASC 606. We recognize revenue from contracts with Customers using the five-step method described in Note 2 to our consolidated financial statements. We generate revenue from providing Platform services, which includes Interchange Fees and processing fees, and other services, which includes card fulfillment revenue, to our Customers.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contracts with Customers typically include two performance obligations: 1) providing access to our payment processing Platform and 2) providing card fulfillment services. Certain Customer contracts require us to allocate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transaction price of the contract based on the relative stand-alone selling price of the performance obligations which are estimated using an analysis of our historical contract pricing and costs incurred to fulfill services.</w:t>
      </w:r>
    </w:p>
    <w:p>
      <w:pPr>
        <w:spacing w:after="0" w:line="170"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the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17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measure compensation expense for all share-based payment awards, including stock options and RSUs, granted to employees, directors, and other service providers, based on the estimated fair value of the awards on the date of grant. The most significant input in determining the fair value of a stock option is the estimated fair value of our common stock. The estimated fair value of our common stock is also used to measure the grant date fair value of RSUs. Additionally, the determination of whether we should ascribe share-based compensation expense to secondary sales of common stock by employees or former employees requires a significant amount of judgement.</w:t>
      </w:r>
    </w:p>
    <w:p>
      <w:pPr>
        <w:spacing w:after="0" w:line="1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related to secondary sales of common stock are discussed below.</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the common stock underlying our share-based awards was determined by our board of directors,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contemporaneous third-party valuations. If awards were granted a short period of time preceding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Given the absence of a public trading market for our common stock, and in accordance with the American Institute of Certified Public Accountants Practice Guide, Valuation of Privately-Held-Company Equity Securities Issued as Compensation, or the AICPA Guide,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our company given prevailing market conditions and the nature and history of our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multiples of comparable companies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estimating the fair value of our common stock, our board of directors determined our equity value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 stage companies and is adjusted to reflect the risks inherent in our cash flows. The market approach estimates fair value based on a comparison to comparable public companies in a similar line of business.</w:t>
      </w:r>
    </w:p>
    <w:p>
      <w:pPr>
        <w:spacing w:after="0" w:line="18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Prior to March of 2019, the equity valuation was based on both the income and the market approach valuation methods and the Option Pricing Method, or OPM, was selected as the principal equity allocation method. Both these methods were consistent with prior valuations. Starting in the second quarter of 2019, we have used a hybrid method to determine the fair value of our common stock, in addition to giving consideration to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Marqeta. In addition, we have considered the impact on our valuation estimates from secondary transactions and given weighting to such transactions in our common stock fair value estimates. We considered the facts and circumstances of each secondary transaction including the different buyers and sellers, transaction volume, timing relative to the valuation date, and whether the transaction involved investors with access to our financial information.</w:t>
      </w:r>
    </w:p>
    <w:p>
      <w:pPr>
        <w:spacing w:after="0" w:line="18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our valuations as of each valuation date and may have a material impact on the valuation of our common stock. Such estimates will not be necessary upon completion of this offering as we will be using the fair value of our publicly traded shares.</w:t>
      </w:r>
    </w:p>
    <w:p>
      <w:pPr>
        <w:spacing w:after="0" w:line="176"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i w:val="1"/>
          <w:iCs w:val="1"/>
          <w:color w:val="auto"/>
        </w:rPr>
        <w:t xml:space="preserve">Secondary Sales of Common Stock. </w:t>
      </w:r>
      <w:r>
        <w:rPr>
          <w:rFonts w:ascii="Arial" w:cs="Arial" w:eastAsia="Arial" w:hAnsi="Arial"/>
          <w:sz w:val="16"/>
          <w:szCs w:val="16"/>
          <w:color w:val="auto"/>
        </w:rPr>
        <w:t>During the years ended December 31, 2019 and 2020, certain stockholders acquired outstanding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from current or former employees for a purchase price greater than our estimated fair value of our common stock at the time of the respective transaction. The determination of whether the excess of purchase price over the estimated fair value represents share-based compensation is highly judgmental. We determine whether secondary sales of common stock by employees and former employees result in share-based compensation by evaluating the extent of our involvement in secondary sale transactions, whether the purchaser of the shares is an existing or new stockholder, and the extent the sale price per share exceeds our estimated fair value per share. We recorded share-based compensation expense for the difference between the price paid and the estimated fair value on the date of the transaction of $14.8 million and $17.3 million during the years ended December 31, 2019 and 2020, respectively. Such amounts were recorded in compensation and benefits expense on the statements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Note 2 to our Consolidated Financial Statements “Summary of Significant Accounting Policies—New Accounting Standards Not Yet Adopted” for more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When you receive money from your friend through an app, modern card issuing helps move the funds to your debit card, making it instantly available to you to make purchases.</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6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 of over 200% for each of the years ended December 31, 2019 and 2020.</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2020, the Marqeta Platform processed $60.1 billion of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9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We incurred net losses of $58.2 million and $47.7 million for the years ended December 31, 2019 and 2020, respectively, a decrease of 18%.</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Trends in Our Favor</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4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proliferation of digital commerce required consumers and businesses to become comfortable with digital payments. Two decades after PayPal transformed online payments, consumers and businesses are increasingly 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8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371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Payments Ecosystem</w:t>
      </w:r>
    </w:p>
    <w:p>
      <w:pPr>
        <w:spacing w:after="0" w:line="252" w:lineRule="exact"/>
        <w:rPr>
          <w:sz w:val="20"/>
          <w:szCs w:val="20"/>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Issuing Bank: </w:t>
      </w:r>
      <w:r>
        <w:rPr>
          <w:rFonts w:ascii="Arial" w:cs="Arial" w:eastAsia="Arial" w:hAnsi="Arial"/>
          <w:sz w:val="18"/>
          <w:szCs w:val="18"/>
          <w:color w:val="auto"/>
        </w:rPr>
        <w:t>The financial institution that issues the payment card (credit, debit, or prepaid) either on its own behalf or on behalf of a card</w:t>
      </w:r>
      <w:r>
        <w:rPr>
          <w:rFonts w:ascii="Arial" w:cs="Arial" w:eastAsia="Arial" w:hAnsi="Arial"/>
          <w:sz w:val="18"/>
          <w:szCs w:val="18"/>
          <w:i w:val="1"/>
          <w:iCs w:val="1"/>
          <w:color w:val="auto"/>
        </w:rPr>
        <w:t xml:space="preserve"> </w:t>
      </w:r>
      <w:r>
        <w:rPr>
          <w:rFonts w:ascii="Arial" w:cs="Arial" w:eastAsia="Arial" w:hAnsi="Arial"/>
          <w:sz w:val="18"/>
          <w:szCs w:val="18"/>
          <w:color w:val="auto"/>
        </w:rPr>
        <w:t>issuer.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Issuer Processor: </w:t>
      </w:r>
      <w:r>
        <w:rPr>
          <w:rFonts w:ascii="Arial" w:cs="Arial" w:eastAsia="Arial" w:hAnsi="Arial"/>
          <w:sz w:val="18"/>
          <w:szCs w:val="18"/>
          <w:color w:val="auto"/>
        </w:rPr>
        <w:t>Provides the technology platform, ledger, and infrastructure to support a card issuer and connects with a Card Network to</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payment transactions.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Card issuer: </w:t>
      </w:r>
      <w:r>
        <w:rPr>
          <w:rFonts w:ascii="Arial" w:cs="Arial" w:eastAsia="Arial" w:hAnsi="Arial"/>
          <w:sz w:val="18"/>
          <w:szCs w:val="18"/>
          <w:color w:val="auto"/>
        </w:rPr>
        <w:t>A business that issues customized card products to its end users.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Card Networks: </w:t>
      </w:r>
      <w:r>
        <w:rPr>
          <w:rFonts w:ascii="Arial" w:cs="Arial" w:eastAsia="Arial" w:hAnsi="Arial"/>
          <w:sz w:val="18"/>
          <w:szCs w:val="18"/>
          <w:color w:val="auto"/>
        </w:rPr>
        <w:t>Provides the infrastructure for settlement and card payment information that flows between the Issuer Processor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Acquirer Processor.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Acquirer Processor: </w:t>
      </w:r>
      <w:r>
        <w:rPr>
          <w:rFonts w:ascii="Arial" w:cs="Arial" w:eastAsia="Arial" w:hAnsi="Arial"/>
          <w:sz w:val="18"/>
          <w:szCs w:val="18"/>
          <w:color w:val="auto"/>
        </w:rPr>
        <w:t>Provides the technology that facilitates the flow of card payment information through Card Networks to the Issuing</w:t>
      </w:r>
      <w:r>
        <w:rPr>
          <w:rFonts w:ascii="Arial" w:cs="Arial" w:eastAsia="Arial" w:hAnsi="Arial"/>
          <w:sz w:val="18"/>
          <w:szCs w:val="18"/>
          <w:i w:val="1"/>
          <w:iCs w:val="1"/>
          <w:color w:val="auto"/>
        </w:rPr>
        <w:t xml:space="preserve"> </w:t>
      </w:r>
      <w:r>
        <w:rPr>
          <w:rFonts w:ascii="Arial" w:cs="Arial" w:eastAsia="Arial" w:hAnsi="Arial"/>
          <w:sz w:val="18"/>
          <w:szCs w:val="18"/>
          <w:color w:val="auto"/>
        </w:rPr>
        <w:t>Bank.</w:t>
      </w:r>
    </w:p>
    <w:p>
      <w:pPr>
        <w:spacing w:after="0" w:line="75" w:lineRule="exact"/>
        <w:rPr>
          <w:rFonts w:ascii="Arial" w:cs="Arial" w:eastAsia="Arial" w:hAnsi="Arial"/>
          <w:sz w:val="18"/>
          <w:szCs w:val="18"/>
          <w:color w:val="auto"/>
        </w:rPr>
      </w:pPr>
    </w:p>
    <w:p>
      <w:pPr>
        <w:ind w:left="880" w:right="20" w:hanging="224"/>
        <w:spacing w:after="0" w:line="342"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Acquiring Bank: </w:t>
      </w:r>
      <w:r>
        <w:rPr>
          <w:rFonts w:ascii="Arial" w:cs="Arial" w:eastAsia="Arial" w:hAnsi="Arial"/>
          <w:sz w:val="16"/>
          <w:szCs w:val="16"/>
          <w:color w:val="auto"/>
        </w:rPr>
        <w:t>The financial institution that merchants use to hold funds and manage their business. The Acquiring Bank may work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Acquirer Processor to provide access to the Card Networks. The Acquiring Bank is also referred to sometimes as the merchant bank.</w:t>
      </w:r>
    </w:p>
    <w:p>
      <w:pPr>
        <w:spacing w:after="0" w:line="12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 — ultimately stifling innovation.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120" w:right="20" w:firstLine="551"/>
        <w:spacing w:after="0" w:line="259" w:lineRule="auto"/>
        <w:rPr>
          <w:sz w:val="20"/>
          <w:szCs w:val="20"/>
          <w:color w:val="auto"/>
        </w:rPr>
      </w:pPr>
      <w:r>
        <w:rPr>
          <w:rFonts w:ascii="Arial" w:cs="Arial" w:eastAsia="Arial" w:hAnsi="Arial"/>
          <w:sz w:val="18"/>
          <w:szCs w:val="18"/>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processing platform that overcomes legacy technology constraints while also being able to integrate seamlessly with Issuing Banks and Card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183515</wp:posOffset>
            </wp:positionV>
            <wp:extent cx="5186045" cy="2125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6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Platform and Products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 Our Platform is also sought out by large financial institutions to improve their existing offerings and stay competitive with digitally native new market entrants.</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Platform</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Marqeta’s modern card issuing Platform was built by developers for developers. Our Customers are able to use our simple, data-rich, and accessible Platform to build and rapidly scale their card programs, with extensive control and configurability, and with the highest standards of reliability and security. Our Platform is designed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reduce complexity for card issuers, enabling a full spectrum of card issuing and transaction processing services in a single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834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has a number of key attributes, including:</w:t>
      </w:r>
    </w:p>
    <w:p>
      <w:pPr>
        <w:spacing w:after="0" w:line="11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 cards (e.g.,</w:t>
      </w:r>
      <w:r>
        <w:rPr>
          <w:rFonts w:ascii="Arial" w:cs="Arial" w:eastAsia="Arial" w:hAnsi="Arial"/>
          <w:sz w:val="18"/>
          <w:szCs w:val="18"/>
          <w:i w:val="1"/>
          <w:iCs w:val="1"/>
          <w:color w:val="auto"/>
        </w:rPr>
        <w:t xml:space="preserve"> </w:t>
      </w:r>
      <w:r>
        <w:rPr>
          <w:rFonts w:ascii="Arial" w:cs="Arial" w:eastAsia="Arial" w:hAnsi="Arial"/>
          <w:sz w:val="18"/>
          <w:szCs w:val="18"/>
          <w:color w:val="auto"/>
        </w:rPr>
        <w:t>Apple Pay, Google Pay, Samsung Pay) that are configured to its individual business needs with the extensive documentation libraries that are available to our Customers on our website. New Customers do not need to have deep payment expertise to issue cards and process transactions. Marqeta’s intuitive and feature-rich Platform is instantly available in our testing environment so developers can build cutting-edge embedded payment capabilities. This immediate availability of features within the developer sandbox environment promotes experimentation and ultimately accelerates product launch and iteration cycles. Once a card program is live, developers have access to rich data and insights that inform future improvements and new programs.</w:t>
      </w:r>
    </w:p>
    <w:p>
      <w:pPr>
        <w:spacing w:after="0" w:line="87"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Simple: </w:t>
      </w:r>
      <w:r>
        <w:rPr>
          <w:rFonts w:ascii="Arial" w:cs="Arial" w:eastAsia="Arial" w:hAnsi="Arial"/>
          <w:sz w:val="17"/>
          <w:szCs w:val="17"/>
          <w:color w:val="auto"/>
        </w:rPr>
        <w:t>Our Platform makes payment transactions simple by working behind the scenes to translate the complex into intuitive and developer-friendly user experiences. We provide direct integrations with the Card Networks, including Visa, Mastercard, and PULSE, which is part of the Discover Global Network, enabling developers to use Marqeta’s single unified platform for all of their payments integrations. Developers who build on our Platform take advantage of our APIs and services to quickly build products for their card issuing and payment processing needs.</w:t>
      </w:r>
    </w:p>
    <w:p>
      <w:pPr>
        <w:spacing w:after="0" w:line="63" w:lineRule="exact"/>
        <w:rPr>
          <w:sz w:val="20"/>
          <w:szCs w:val="20"/>
          <w:color w:val="auto"/>
        </w:rPr>
      </w:pPr>
    </w:p>
    <w:p>
      <w:pPr>
        <w:jc w:val="both"/>
        <w:ind w:left="440" w:right="20"/>
        <w:spacing w:after="0" w:line="257" w:lineRule="auto"/>
        <w:rPr>
          <w:sz w:val="20"/>
          <w:szCs w:val="20"/>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 confidence.</w:t>
      </w:r>
      <w:r>
        <w:rPr>
          <w:rFonts w:ascii="Arial" w:cs="Arial" w:eastAsia="Arial" w:hAnsi="Arial"/>
          <w:sz w:val="18"/>
          <w:szCs w:val="18"/>
          <w:i w:val="1"/>
          <w:iCs w:val="1"/>
          <w:color w:val="auto"/>
        </w:rPr>
        <w:t xml:space="preserve"> </w:t>
      </w:r>
      <w:r>
        <w:rPr>
          <w:rFonts w:ascii="Arial" w:cs="Arial" w:eastAsia="Arial" w:hAnsi="Arial"/>
          <w:sz w:val="18"/>
          <w:szCs w:val="18"/>
          <w:color w:val="auto"/>
        </w:rPr>
        <w:t>As a global platform built on a single codebase to support our Customers worldwide, we have a build-once, deploy-anywhere model, offering seamless integration with global and local Card Networks. Our cloud-based solution is designed for high volumes as evidenced by our rapid TPV growth from $1.9 billion in 2017 to $60.1 billion in 2020 and reliable performance with 99.995% uptime in 2020. Our Customers can create and deploy new card programs in days, not months or years.</w:t>
      </w:r>
    </w:p>
    <w:p>
      <w:pPr>
        <w:spacing w:after="0" w:line="80" w:lineRule="exact"/>
        <w:rPr>
          <w:sz w:val="20"/>
          <w:szCs w:val="20"/>
          <w:color w:val="auto"/>
        </w:rPr>
      </w:pPr>
    </w:p>
    <w:p>
      <w:pPr>
        <w:jc w:val="both"/>
        <w:ind w:left="440" w:right="20"/>
        <w:spacing w:after="0" w:line="255" w:lineRule="auto"/>
        <w:rPr>
          <w:sz w:val="20"/>
          <w:szCs w:val="20"/>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at the point-of-sale in the lending industry. Our Platform’s configurability significantly expands the categories of businesses that can begin issuing their own cards to</w:t>
      </w:r>
    </w:p>
    <w:p>
      <w:pPr>
        <w:spacing w:after="0" w:line="3" w:lineRule="exact"/>
        <w:rPr>
          <w:sz w:val="20"/>
          <w:szCs w:val="20"/>
          <w:color w:val="auto"/>
        </w:rPr>
      </w:pPr>
    </w:p>
    <w:p>
      <w:pPr>
        <w:jc w:val="both"/>
        <w:ind w:left="440" w:right="20"/>
        <w:spacing w:after="0" w:line="255" w:lineRule="auto"/>
        <w:rPr>
          <w:sz w:val="20"/>
          <w:szCs w:val="20"/>
          <w:color w:val="auto"/>
        </w:rPr>
      </w:pPr>
      <w:r>
        <w:rPr>
          <w:rFonts w:ascii="Arial" w:cs="Arial" w:eastAsia="Arial" w:hAnsi="Arial"/>
          <w:sz w:val="18"/>
          <w:szCs w:val="18"/>
          <w:color w:val="auto"/>
        </w:rPr>
        <w:t>solve complex payment needs. Developers choose from hundreds of our open API endpoints to easily enable custom features such as spend, authorization, and issuing controls, JIT Funding, and application tools that are PCI compliant, allowing maximum configurability to meet their business needs.</w:t>
      </w:r>
    </w:p>
    <w:p>
      <w:pPr>
        <w:spacing w:after="0" w:line="82"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Innovative: </w:t>
      </w:r>
      <w:r>
        <w:rPr>
          <w:rFonts w:ascii="Arial" w:cs="Arial" w:eastAsia="Arial" w:hAnsi="Arial"/>
          <w:sz w:val="17"/>
          <w:szCs w:val="17"/>
          <w:color w:val="auto"/>
        </w:rPr>
        <w:t>Marqeta is a hub for innovation. Instant card issuance, provisioning to digital wallets, JIT Funding, and dynamic spend controls enable</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to operate with unmatched speed and control. Real-time notifications on our dashboard provide Customers with rich insights on spend patterns and card program performance. We partner with our Customers to develop cutting-edge use cases applicable to their industry vertical. As a result, developer teams seeking scale and innovation proactively reach out to Marqeta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440" w:right="20"/>
        <w:spacing w:after="0" w:line="308" w:lineRule="auto"/>
        <w:rPr>
          <w:sz w:val="20"/>
          <w:szCs w:val="20"/>
          <w:color w:val="auto"/>
        </w:rPr>
      </w:pPr>
      <w:r>
        <w:rPr>
          <w:rFonts w:ascii="Arial" w:cs="Arial" w:eastAsia="Arial" w:hAnsi="Arial"/>
          <w:sz w:val="17"/>
          <w:szCs w:val="17"/>
          <w:color w:val="auto"/>
        </w:rPr>
        <w:t>for best-in-class solutions. As our Customers entrust us with increasing scale and additional innovation, we are able to offer even greater performance efficiency, configurability, and better products. This network effect attracts additional innovative and growth-minded Customers.</w:t>
      </w:r>
    </w:p>
    <w:p>
      <w:pPr>
        <w:spacing w:after="0" w:line="38" w:lineRule="exact"/>
        <w:rPr>
          <w:sz w:val="20"/>
          <w:szCs w:val="20"/>
          <w:color w:val="auto"/>
        </w:rPr>
      </w:pPr>
    </w:p>
    <w:p>
      <w:pPr>
        <w:jc w:val="both"/>
        <w:ind w:left="440"/>
        <w:spacing w:after="0" w:line="293" w:lineRule="auto"/>
        <w:rPr>
          <w:sz w:val="20"/>
          <w:szCs w:val="20"/>
          <w:color w:val="auto"/>
        </w:rPr>
      </w:pPr>
      <w:r>
        <w:rPr>
          <w:rFonts w:ascii="Arial" w:cs="Arial" w:eastAsia="Arial" w:hAnsi="Arial"/>
          <w:sz w:val="16"/>
          <w:szCs w:val="16"/>
          <w:i w:val="1"/>
          <w:iCs w:val="1"/>
          <w:color w:val="auto"/>
        </w:rPr>
        <w:t xml:space="preserve">Trusted: </w:t>
      </w:r>
      <w:r>
        <w:rPr>
          <w:rFonts w:ascii="Arial" w:cs="Arial" w:eastAsia="Arial" w:hAnsi="Arial"/>
          <w:sz w:val="16"/>
          <w:szCs w:val="16"/>
          <w:color w:val="auto"/>
        </w:rPr>
        <w:t>Our Platform is trusted by some of the world’s largest financial institutions and commerce disruptors to perform at scale. From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initiation through completion, the Marqeta Platform incorporates real-time confirmation of payments to our Customers in seconds. We meet the highest standards of PCI compliance and provide a trusted environment for card issuing and payment processing with security, transparency, and real-time information. Our industry-first JIT Funding solution enables our Platform to leverage contextual data to provide real-time insights and alerts to prevent transaction fraud and puts the Customer in control of their end users’ transactions. With built-in redundancy, disaster recovery, and failover capabilities, businesses can be confident in the continuity of our solution even during high processing volume spikes.</w:t>
      </w:r>
    </w:p>
    <w:p>
      <w:pPr>
        <w:spacing w:after="0" w:line="16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Our Platform is trusted by Customers across a number of use cases, verticals, and geographies. For example, Uber uses Marqeta’s card issuing technology to streamline its payments experiences and create more seamless interfaces throughout its wider ecosystem. Uber Eats and Marqeta began partnering in 2019 to launch Uber’s courier card, a physical card that Uber drivers use to pay for orders at restaurants and merchants. Following this initial use case, Uber and Marqeta plan to continue their partnership into new verticals and geographies. In addition, we helped Cornershop launch on our Platform in several countries across the Americas with our build-once, deploy-anywhere model.</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Products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213995</wp:posOffset>
            </wp:positionV>
            <wp:extent cx="5186045" cy="32658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Issuing</w:t>
      </w:r>
    </w:p>
    <w:p>
      <w:pPr>
        <w:spacing w:after="0" w:line="117" w:lineRule="exact"/>
        <w:rPr>
          <w:sz w:val="20"/>
          <w:szCs w:val="20"/>
          <w:color w:val="auto"/>
        </w:rPr>
      </w:pPr>
    </w:p>
    <w:p>
      <w:pPr>
        <w:jc w:val="both"/>
        <w:ind w:left="120" w:firstLine="551"/>
        <w:spacing w:after="0" w:line="275" w:lineRule="auto"/>
        <w:rPr>
          <w:sz w:val="20"/>
          <w:szCs w:val="20"/>
          <w:color w:val="auto"/>
        </w:rPr>
      </w:pPr>
      <w:r>
        <w:rPr>
          <w:rFonts w:ascii="Arial" w:cs="Arial" w:eastAsia="Arial" w:hAnsi="Arial"/>
          <w:sz w:val="17"/>
          <w:szCs w:val="17"/>
          <w:color w:val="auto"/>
        </w:rPr>
        <w:t>We enable our Customers to issue physical, virtual, and tokenized cards. With approximately 275 million cards issued through the Marqeta Platform as of December 31, 2020, across a deep and varied Customer base, we have significant industry experience supporting card programs of multiple types and sizes. We offer fulfillment services, enabling our Customers to optimize their card programs by managing users, fulfillment, and card transactions through the Marqeta Platform. We are also at the forefront of payments innovation, with features such as the provision of a tokenized card into digital wallets like Apple Pay and Google Pay. We offer a number of core card issuing services and functionalities:</w:t>
      </w:r>
    </w:p>
    <w:p>
      <w:pPr>
        <w:spacing w:after="0" w:line="6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Custom card functionality: </w:t>
      </w:r>
      <w:r>
        <w:rPr>
          <w:rFonts w:ascii="Arial" w:cs="Arial" w:eastAsia="Arial" w:hAnsi="Arial"/>
          <w:sz w:val="18"/>
          <w:szCs w:val="18"/>
          <w:color w:val="auto"/>
        </w:rPr>
        <w:t>Our Issuing Bank relationships and direct integrations with the Card Networks enable our Customers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launch, manage, and grow card programs that are customized to their specific business needs without needing to build those complex relationships or integrations themselves. We provide simple and quick access to a multitude of controls, customizations, and features to ensure an industry-leading user experience while minimizing fraud.</w:t>
      </w:r>
    </w:p>
    <w:p>
      <w:pPr>
        <w:spacing w:after="0" w:line="79"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Configure cards with open APIs: </w:t>
      </w:r>
      <w:r>
        <w:rPr>
          <w:rFonts w:ascii="Arial" w:cs="Arial" w:eastAsia="Arial" w:hAnsi="Arial"/>
          <w:sz w:val="16"/>
          <w:szCs w:val="16"/>
          <w:color w:val="auto"/>
        </w:rPr>
        <w:t>Customers can easily define card attributes for where and how a card is used. These use cases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ATM, online, or point-of-sale use; ability to restrict or accept use in certain countries or currencies; and address or postal code acceptance. Single-use cards can be configured to disable after one transaction, or multi-use cards may be leveraged to last until a specific expiration date.</w:t>
      </w:r>
    </w:p>
    <w:p>
      <w:pPr>
        <w:spacing w:after="0" w:line="4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i w:val="1"/>
          <w:iCs w:val="1"/>
          <w:color w:val="auto"/>
        </w:rPr>
        <w:t xml:space="preserve">Build, test, and launch cards: </w:t>
      </w:r>
      <w:r>
        <w:rPr>
          <w:rFonts w:ascii="Arial" w:cs="Arial" w:eastAsia="Arial" w:hAnsi="Arial"/>
          <w:sz w:val="18"/>
          <w:szCs w:val="18"/>
          <w:color w:val="auto"/>
        </w:rPr>
        <w:t>As part of Marqeta’s issuing services, developers can simultaneously create card products and set up funding 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cardholders, and cards through simulations available in their own private and secure Marqeta sandbox. In this testing environment, developers can seamlessly set up Primary Account Numbers, PINs, Card Verification Codes, and more. These features enable developers to test and validate their programs easily and quickly before launch.</w:t>
      </w:r>
    </w:p>
    <w:p>
      <w:pPr>
        <w:spacing w:after="0" w:line="79"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i w:val="1"/>
          <w:iCs w:val="1"/>
          <w:color w:val="auto"/>
        </w:rPr>
        <w:t xml:space="preserve">Securely embed cards into apps: </w:t>
      </w:r>
      <w:r>
        <w:rPr>
          <w:rFonts w:ascii="Arial" w:cs="Arial" w:eastAsia="Arial" w:hAnsi="Arial"/>
          <w:sz w:val="18"/>
          <w:szCs w:val="18"/>
          <w:color w:val="auto"/>
        </w:rPr>
        <w:t>Customers using our Platform have the ability to securely embed sensitive card data into mobile apps using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customizable widgets or the Marqeta.js library; this has the added benefit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440" w:right="20"/>
        <w:spacing w:after="0" w:line="308" w:lineRule="auto"/>
        <w:rPr>
          <w:sz w:val="20"/>
          <w:szCs w:val="20"/>
          <w:color w:val="auto"/>
        </w:rPr>
      </w:pPr>
      <w:r>
        <w:rPr>
          <w:rFonts w:ascii="Arial" w:cs="Arial" w:eastAsia="Arial" w:hAnsi="Arial"/>
          <w:sz w:val="17"/>
          <w:szCs w:val="17"/>
          <w:color w:val="auto"/>
        </w:rPr>
        <w:t>dramatically reducing the workload necessary to comply with PCI requirements. Cardholders can securely activate their cards, set PINs, and retrieve sensitive card data in web and mobile apps without storing or transmitting information on Customer proprietary servers.</w:t>
      </w:r>
    </w:p>
    <w:p>
      <w:pPr>
        <w:spacing w:after="0" w:line="38" w:lineRule="exact"/>
        <w:rPr>
          <w:sz w:val="20"/>
          <w:szCs w:val="20"/>
          <w:color w:val="auto"/>
        </w:rPr>
      </w:pPr>
    </w:p>
    <w:p>
      <w:pPr>
        <w:jc w:val="both"/>
        <w:ind w:left="440" w:right="20"/>
        <w:spacing w:after="0" w:line="279" w:lineRule="auto"/>
        <w:rPr>
          <w:sz w:val="20"/>
          <w:szCs w:val="20"/>
          <w:color w:val="auto"/>
        </w:rPr>
      </w:pPr>
      <w:r>
        <w:rPr>
          <w:rFonts w:ascii="Arial" w:cs="Arial" w:eastAsia="Arial" w:hAnsi="Arial"/>
          <w:sz w:val="17"/>
          <w:szCs w:val="17"/>
          <w:i w:val="1"/>
          <w:iCs w:val="1"/>
          <w:color w:val="auto"/>
        </w:rPr>
        <w:t xml:space="preserve">Customize cards: </w:t>
      </w:r>
      <w:r>
        <w:rPr>
          <w:rFonts w:ascii="Arial" w:cs="Arial" w:eastAsia="Arial" w:hAnsi="Arial"/>
          <w:sz w:val="17"/>
          <w:szCs w:val="17"/>
          <w:color w:val="auto"/>
        </w:rPr>
        <w:t>Through Marqeta’s suite of issuing and card program services, Customers control the design and feel of their physical and virtual</w:t>
      </w:r>
      <w:r>
        <w:rPr>
          <w:rFonts w:ascii="Arial" w:cs="Arial" w:eastAsia="Arial" w:hAnsi="Arial"/>
          <w:sz w:val="17"/>
          <w:szCs w:val="17"/>
          <w:i w:val="1"/>
          <w:iCs w:val="1"/>
          <w:color w:val="auto"/>
        </w:rPr>
        <w:t xml:space="preserve"> </w:t>
      </w:r>
      <w:r>
        <w:rPr>
          <w:rFonts w:ascii="Arial" w:cs="Arial" w:eastAsia="Arial" w:hAnsi="Arial"/>
          <w:sz w:val="17"/>
          <w:szCs w:val="17"/>
          <w:color w:val="auto"/>
        </w:rPr>
        <w:t>cards. The cards’ extensive customization features, which include design, marketing, and communications, and the promotional materials delivered with the card, all help our Customers establish strong brand identity for their business. Customers choosing physical cards can also customize security features, including magnetic stripe, near field communication, and EMV-chip enabled.</w:t>
      </w:r>
    </w:p>
    <w:p>
      <w:pPr>
        <w:spacing w:after="0" w:line="63" w:lineRule="exact"/>
        <w:rPr>
          <w:sz w:val="20"/>
          <w:szCs w:val="20"/>
          <w:color w:val="auto"/>
        </w:rPr>
      </w:pPr>
    </w:p>
    <w:p>
      <w:pPr>
        <w:jc w:val="both"/>
        <w:ind w:left="440"/>
        <w:spacing w:after="0" w:line="301" w:lineRule="auto"/>
        <w:rPr>
          <w:sz w:val="20"/>
          <w:szCs w:val="20"/>
          <w:color w:val="auto"/>
        </w:rPr>
      </w:pPr>
      <w:r>
        <w:rPr>
          <w:rFonts w:ascii="Arial" w:cs="Arial" w:eastAsia="Arial" w:hAnsi="Arial"/>
          <w:sz w:val="16"/>
          <w:szCs w:val="16"/>
          <w:i w:val="1"/>
          <w:iCs w:val="1"/>
          <w:color w:val="auto"/>
        </w:rPr>
        <w:t xml:space="preserve">Manage card programs: </w:t>
      </w:r>
      <w:r>
        <w:rPr>
          <w:rFonts w:ascii="Arial" w:cs="Arial" w:eastAsia="Arial" w:hAnsi="Arial"/>
          <w:sz w:val="16"/>
          <w:szCs w:val="16"/>
          <w:color w:val="auto"/>
        </w:rPr>
        <w:t>The Marqeta Platform allows Customers to manage card issuance over the entire card lifecycle. Through our dashboard,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can order, activate, set expiration, suspend, and terminate cards. They can also manage lost, stolen, and damaged cards via our APIs. Additional features include card fulfillment, customization of card design, and shipping in bulk. Customers can also integrate Interactive Voice Response for card activation, PIN setting, balance inquiry, and lost or stolen card reporting into their own card programs.</w:t>
      </w:r>
    </w:p>
    <w:p>
      <w:pPr>
        <w:spacing w:after="0" w:line="15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Our deep card issuing capabilities are powering some of the world’s most transformative card programs. We helped Square develop and scale Square Card, its merchant debit card issued through the Marqeta Platform. Square Card is accepted anywhere that Mastercard debit cards are accepted (including in-person, online, and at ATMs). Merchants that use Square receive the Square Card for free, and their Square Card is connected directly to their Square account balance. Once merchants receive a payment, and the money they earned is reflected in their account balance, they can immediately spend that money through their Square Card—without waiting 1-2 days for the funds to transfer to their bank account. For small and medium businesses, Square Card is solving critical cash flow issues and transforming the way they operate. By using Marqeta’s products, Square has the ability to monitor card activation rates and transactions that flow through the Square Cards to offer promotions to its customers.</w:t>
      </w:r>
    </w:p>
    <w:p>
      <w:pPr>
        <w:spacing w:after="0" w:line="16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Cash App provides an ecosystem of financial products and services to help individuals manage their money, which began with a modern peer-to-peer money transfer service. The Cash App ecosystem has grown to include not just peer-to-peer payments, but also card transactions, ACH in-and-out transactions, buying and selling of bitcoin as well as investing in stocks. Cash App entrusts Marqeta to help power two mission-critical parts of the customer experience—enabling customers to deposit money, and enabling customers to spend their money by leveraging Marqeta’s card and ACH solutions. Cash App offers customers a free, customizable Visa card called the Cash Card, which is built on the Marqeta Platform and gives users the ability to make purchases using the funds in their Cash App account, whether by using physical Cash Cards in store or online, or tokenized cards to make payments from their mobile devices’ digital wallets. Cash App also offers users ACH capability, powered by Marqeta, which enables consumers to make ACH payments; for example, to pay utility bills or mortgages every month -- as well as to receive direct deposits from employers or even the government.</w:t>
      </w:r>
    </w:p>
    <w:p>
      <w:pPr>
        <w:spacing w:after="0" w:line="1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also partner with some of the world’s largest card issuers. For example, our card-issuing technology will enable J.P. Morgan to instantly provision commercial cards into digital wallets for commercial card customers, accelerating the issuance process and reducing the probability of fraud in each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Processing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can process transactions with control and speed for our Customers, leveraging certain of our core competencies:</w:t>
      </w:r>
    </w:p>
    <w:p>
      <w:pPr>
        <w:spacing w:after="0" w:line="117"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i w:val="1"/>
          <w:iCs w:val="1"/>
          <w:color w:val="auto"/>
        </w:rPr>
        <w:t xml:space="preserve">Secure authentication: </w:t>
      </w:r>
      <w:r>
        <w:rPr>
          <w:rFonts w:ascii="Arial" w:cs="Arial" w:eastAsia="Arial" w:hAnsi="Arial"/>
          <w:sz w:val="17"/>
          <w:szCs w:val="17"/>
          <w:color w:val="auto"/>
        </w:rPr>
        <w:t>Marqeta’s modern Platform provides robust, secure authentication tools. A variety of authentication methods are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authenticate the card user, including PIN, address verification, card verification value, and 3D Secure, or 3DS, and EMV chip. Customers can securely authenticate online and in-store transactions using a multitude of supported cardholder validation mechanisms.</w:t>
      </w:r>
    </w:p>
    <w:p>
      <w:pPr>
        <w:spacing w:after="0" w:line="57"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i w:val="1"/>
          <w:iCs w:val="1"/>
          <w:color w:val="auto"/>
        </w:rPr>
        <w:t xml:space="preserve">Configurable spend controls: </w:t>
      </w:r>
      <w:r>
        <w:rPr>
          <w:rFonts w:ascii="Arial" w:cs="Arial" w:eastAsia="Arial" w:hAnsi="Arial"/>
          <w:sz w:val="18"/>
          <w:szCs w:val="18"/>
          <w:color w:val="auto"/>
        </w:rPr>
        <w:t>Customers can reduce fraud by limiting where and how their end users can transact. Transactions can be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custom rules configured through the Marqeta Platform,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color w:val="auto"/>
        </w:rPr>
        <w:t>which allows businesses to apply unique business logic on a per transaction basis to ensure complete control over spend approval. Our Customers can deploy fully tailored spending limits by merchant, merchant category, merchant group, amount, user, user group, frequency of use, time of use, and start/end times, among many other inputs.</w:t>
      </w:r>
    </w:p>
    <w:p>
      <w:pPr>
        <w:spacing w:after="0" w:line="76" w:lineRule="exact"/>
        <w:rPr>
          <w:sz w:val="20"/>
          <w:szCs w:val="20"/>
          <w:color w:val="auto"/>
        </w:rPr>
      </w:pPr>
    </w:p>
    <w:p>
      <w:pPr>
        <w:jc w:val="both"/>
        <w:ind w:left="440"/>
        <w:spacing w:after="0" w:line="275" w:lineRule="auto"/>
        <w:rPr>
          <w:sz w:val="20"/>
          <w:szCs w:val="20"/>
          <w:color w:val="auto"/>
        </w:rPr>
      </w:pPr>
      <w:r>
        <w:rPr>
          <w:rFonts w:ascii="Arial" w:cs="Arial" w:eastAsia="Arial" w:hAnsi="Arial"/>
          <w:sz w:val="17"/>
          <w:szCs w:val="17"/>
          <w:i w:val="1"/>
          <w:iCs w:val="1"/>
          <w:color w:val="auto"/>
        </w:rPr>
        <w:t xml:space="preserve">Just-in-Time Funding: </w:t>
      </w:r>
      <w:r>
        <w:rPr>
          <w:rFonts w:ascii="Arial" w:cs="Arial" w:eastAsia="Arial" w:hAnsi="Arial"/>
          <w:sz w:val="17"/>
          <w:szCs w:val="17"/>
          <w:color w:val="auto"/>
        </w:rPr>
        <w:t>Using Marqeta’s industry-first JIT Funding functionality, Customers can programmatically authorize and fund each</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while participating in the approval decision in real time, freeing up capital and increasing cash flow. Utilizing this feature, each card maintains a zero-amount balance until the card is used and approved in real time, assuming all validations succeed. By configuring an endpoint in a given system, Customers can opt-in to receive and respond to JIT Funding requests from Marqeta and directly participate in the authorization decision. Upon approval, Marqeta automatically moves funds from an identified funding source into the appropriate account.</w:t>
      </w:r>
    </w:p>
    <w:p>
      <w:pPr>
        <w:spacing w:after="0" w:line="68"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The following illustration reflects the workflow once a cardholder attempts to make a payment at a merchant using an account configured to use JIT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4085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color w:val="auto"/>
        </w:rPr>
        <w:t>For example, Instacart partners with national, regional, and local retailers, including unique brand names, to offer delivery and/or pickup services across the U.S. and Canada. Instacart shoppers, who pack and deliver customer orders, have a physical or tokenized card issued and powered by Marqeta that they use to make payments in-store. Marqeta helps Instacart authorize transactions at the moment of payment by ensuring the in-store transaction matches the order placed by the customer. Instacart shoppers have zero-balance cards, and the transaction amount and store information are verified before funds are moved, helping reduce fraud and create a more seamless checkout experience. In addition, Marqeta enables Instacart to establish authorization parameters so transactions can only be made at retailers on the Instacart marketplace, which helps minimize transactions at non-approved merchants.</w:t>
      </w:r>
    </w:p>
    <w:p>
      <w:pPr>
        <w:spacing w:after="0" w:line="87" w:lineRule="exact"/>
        <w:rPr>
          <w:sz w:val="20"/>
          <w:szCs w:val="20"/>
          <w:color w:val="auto"/>
        </w:rPr>
      </w:pPr>
    </w:p>
    <w:p>
      <w:pPr>
        <w:jc w:val="both"/>
        <w:ind w:left="440" w:right="20"/>
        <w:spacing w:after="0" w:line="272" w:lineRule="auto"/>
        <w:rPr>
          <w:sz w:val="20"/>
          <w:szCs w:val="20"/>
          <w:color w:val="auto"/>
        </w:rPr>
      </w:pPr>
      <w:r>
        <w:rPr>
          <w:rFonts w:ascii="Arial" w:cs="Arial" w:eastAsia="Arial" w:hAnsi="Arial"/>
          <w:sz w:val="17"/>
          <w:szCs w:val="17"/>
          <w:i w:val="1"/>
          <w:iCs w:val="1"/>
          <w:color w:val="auto"/>
        </w:rPr>
        <w:t xml:space="preserve">Real-time notifications: </w:t>
      </w:r>
      <w:r>
        <w:rPr>
          <w:rFonts w:ascii="Arial" w:cs="Arial" w:eastAsia="Arial" w:hAnsi="Arial"/>
          <w:sz w:val="17"/>
          <w:szCs w:val="17"/>
          <w:color w:val="auto"/>
        </w:rPr>
        <w:t>Our Platform delivers rich functionality built around our core capabilities in issuing and processing. Customers can</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 our unique webhooks or push notification capabilities to receive real-time updates as transactions are processed on the Marqeta Platform. Turning on these notifications empowers our Customers to provide real-time, meaningful messages to their end users. For example, as soon as a food delivery order is paid for, a Customer can receive a push notification from Marqeta and use it to generate an SMS to notify its cardholders (e.g., “Your order will arrive shortly.”). Our Platform supports several event types, including card events, dispute events, and transaction events. For example, cardholders will receive notifications on returns and refunds as they occur to help our Customers apply the right amount of credit to accounts in a timely manner. For dual-message transactions where clearing and settlement happen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440" w:right="20"/>
        <w:spacing w:after="0" w:line="342" w:lineRule="auto"/>
        <w:rPr>
          <w:sz w:val="20"/>
          <w:szCs w:val="20"/>
          <w:color w:val="auto"/>
        </w:rPr>
      </w:pPr>
      <w:r>
        <w:rPr>
          <w:rFonts w:ascii="Arial" w:cs="Arial" w:eastAsia="Arial" w:hAnsi="Arial"/>
          <w:sz w:val="16"/>
          <w:szCs w:val="16"/>
          <w:color w:val="auto"/>
        </w:rPr>
        <w:t>after authorization (e.g., restaurant tips after the meal price is authorized), Marqeta receives clearing files from the Card Network, processes the included transactions, creates the respective transaction on the Marqeta Platform, and communicates to Marqeta’s Customer via push notification.</w:t>
      </w:r>
    </w:p>
    <w:p>
      <w:pPr>
        <w:spacing w:after="0" w:line="16"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Accelerates reconciliations: </w:t>
      </w:r>
      <w:r>
        <w:rPr>
          <w:rFonts w:ascii="Arial" w:cs="Arial" w:eastAsia="Arial" w:hAnsi="Arial"/>
          <w:sz w:val="18"/>
          <w:szCs w:val="18"/>
          <w:color w:val="auto"/>
        </w:rPr>
        <w:t>Our Platform saves our Customers both time and money. By injecting custom data fields into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can optimize and accelerate reconciliations by matching the order and ledger system records automatically. For example, inserting a “Booking ID” into the transaction can help our online travel agency Customers more quickly correlate records (e.g., records from the ordering system) with transactions through our Platform.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Applications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Using the Marqeta Platform, Customers can leverage applications that cover the entire payments lifecycle, including the developer sandbox, card management, transaction monitoring, and case management. These applications help ensure their programs are as successful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187960</wp:posOffset>
            </wp:positionV>
            <wp:extent cx="428625"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8625" cy="20574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127635</wp:posOffset>
            </wp:positionV>
            <wp:extent cx="428625" cy="265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8625" cy="26543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119380</wp:posOffset>
            </wp:positionV>
            <wp:extent cx="419735"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97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0"/>
        <w:spacing w:after="0"/>
        <w:tabs>
          <w:tab w:leader="none" w:pos="4780" w:val="left"/>
          <w:tab w:leader="none" w:pos="8700" w:val="left"/>
        </w:tabs>
        <w:rPr>
          <w:sz w:val="20"/>
          <w:szCs w:val="20"/>
          <w:color w:val="auto"/>
        </w:rPr>
      </w:pPr>
      <w:r>
        <w:rPr>
          <w:rFonts w:ascii="Arial" w:cs="Arial" w:eastAsia="Arial" w:hAnsi="Arial"/>
          <w:sz w:val="18"/>
          <w:szCs w:val="18"/>
          <w:b w:val="1"/>
          <w:bCs w:val="1"/>
          <w:color w:val="auto"/>
        </w:rPr>
        <w:t>Developer tools</w:t>
      </w:r>
      <w:r>
        <w:rPr>
          <w:sz w:val="20"/>
          <w:szCs w:val="20"/>
          <w:color w:val="auto"/>
        </w:rPr>
        <w:tab/>
      </w:r>
      <w:r>
        <w:rPr>
          <w:rFonts w:ascii="Arial" w:cs="Arial" w:eastAsia="Arial" w:hAnsi="Arial"/>
          <w:sz w:val="18"/>
          <w:szCs w:val="18"/>
          <w:b w:val="1"/>
          <w:bCs w:val="1"/>
          <w:color w:val="auto"/>
        </w:rPr>
        <w:t>Program administration</w:t>
      </w:r>
      <w:r>
        <w:rPr>
          <w:sz w:val="20"/>
          <w:szCs w:val="20"/>
          <w:color w:val="auto"/>
        </w:rPr>
        <w:tab/>
      </w:r>
      <w:r>
        <w:rPr>
          <w:rFonts w:ascii="Arial" w:cs="Arial" w:eastAsia="Arial" w:hAnsi="Arial"/>
          <w:sz w:val="16"/>
          <w:szCs w:val="16"/>
          <w:b w:val="1"/>
          <w:bCs w:val="1"/>
          <w:color w:val="auto"/>
        </w:rPr>
        <w:t>Fraud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428625" cy="291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188595</wp:posOffset>
            </wp:positionV>
            <wp:extent cx="351155" cy="274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115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188595</wp:posOffset>
            </wp:positionV>
            <wp:extent cx="428625"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tabs>
          <w:tab w:leader="none" w:pos="4700" w:val="left"/>
          <w:tab w:leader="none" w:pos="8700" w:val="left"/>
        </w:tabs>
        <w:rPr>
          <w:sz w:val="20"/>
          <w:szCs w:val="20"/>
          <w:color w:val="auto"/>
        </w:rPr>
      </w:pPr>
      <w:r>
        <w:rPr>
          <w:rFonts w:ascii="Arial" w:cs="Arial" w:eastAsia="Arial" w:hAnsi="Arial"/>
          <w:sz w:val="18"/>
          <w:szCs w:val="18"/>
          <w:b w:val="1"/>
          <w:bCs w:val="1"/>
          <w:color w:val="auto"/>
        </w:rPr>
        <w:t>Case management</w:t>
      </w:r>
      <w:r>
        <w:rPr>
          <w:sz w:val="20"/>
          <w:szCs w:val="20"/>
          <w:color w:val="auto"/>
        </w:rPr>
        <w:tab/>
      </w:r>
      <w:r>
        <w:rPr>
          <w:rFonts w:ascii="Arial" w:cs="Arial" w:eastAsia="Arial" w:hAnsi="Arial"/>
          <w:sz w:val="18"/>
          <w:szCs w:val="18"/>
          <w:b w:val="1"/>
          <w:bCs w:val="1"/>
          <w:color w:val="auto"/>
        </w:rPr>
        <w:t>Compliance and reporting</w:t>
      </w:r>
      <w:r>
        <w:rPr>
          <w:sz w:val="20"/>
          <w:szCs w:val="20"/>
          <w:color w:val="auto"/>
        </w:rPr>
        <w:tab/>
      </w:r>
      <w:r>
        <w:rPr>
          <w:rFonts w:ascii="Arial" w:cs="Arial" w:eastAsia="Arial" w:hAnsi="Arial"/>
          <w:sz w:val="16"/>
          <w:szCs w:val="16"/>
          <w:b w:val="1"/>
          <w:bCs w:val="1"/>
          <w:color w:val="auto"/>
        </w:rPr>
        <w:t>Data intelligence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applications allow Customers to:</w:t>
      </w:r>
    </w:p>
    <w:p>
      <w:pPr>
        <w:spacing w:after="0" w:line="117"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Utilize developer tools: </w:t>
      </w:r>
      <w:r>
        <w:rPr>
          <w:rFonts w:ascii="Arial" w:cs="Arial" w:eastAsia="Arial" w:hAnsi="Arial"/>
          <w:sz w:val="18"/>
          <w:szCs w:val="18"/>
          <w:color w:val="auto"/>
        </w:rPr>
        <w:t>Developers have access to Marqeta’s wealth of tools, including a private sandbox, APIs, SDKs, widgets, and documentation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customize, test, and issue their cards and programs. With multiple API endpoints, developers can configure spend controls, simulate transaction processing, and quickly roll out new features with confidence.</w:t>
      </w:r>
    </w:p>
    <w:p>
      <w:pPr>
        <w:spacing w:after="0" w:line="76"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Streamline program administration: </w:t>
      </w:r>
      <w:r>
        <w:rPr>
          <w:rFonts w:ascii="Arial" w:cs="Arial" w:eastAsia="Arial" w:hAnsi="Arial"/>
          <w:sz w:val="18"/>
          <w:szCs w:val="18"/>
          <w:color w:val="auto"/>
        </w:rPr>
        <w:t>Our Platform is transforming how our Customers can approach program administration. We offer tools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program funds, monitor cardholder balances, report lost or stolen cards, and view a multitude of white-labeled reports, all through a single application.</w:t>
      </w:r>
    </w:p>
    <w:p>
      <w:pPr>
        <w:spacing w:after="0" w:line="76"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Reduce and mitigate fraud: </w:t>
      </w:r>
      <w:r>
        <w:rPr>
          <w:rFonts w:ascii="Arial" w:cs="Arial" w:eastAsia="Arial" w:hAnsi="Arial"/>
          <w:sz w:val="16"/>
          <w:szCs w:val="16"/>
          <w:color w:val="auto"/>
        </w:rPr>
        <w:t>We offer unique functionality to help card issuers combat fraud. Using Marqeta’s powerful authorization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decisioning engine, Customers can configure rules using a variety of inputs that approve or decline transactions based on real-time and dynamic parameters. This along with our KYC, 3D Secure, and dispute management services provide a multi-layer security framework, helping our Customers detect and prevent unauthorized, fraudulent activities, while empowering them to create frictionless experiences for their customers.</w:t>
      </w:r>
    </w:p>
    <w:p>
      <w:pPr>
        <w:spacing w:after="0" w:line="49"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i w:val="1"/>
          <w:iCs w:val="1"/>
          <w:color w:val="auto"/>
        </w:rPr>
        <w:t xml:space="preserve">Manage cases and resolve disputes: </w:t>
      </w:r>
      <w:r>
        <w:rPr>
          <w:rFonts w:ascii="Arial" w:cs="Arial" w:eastAsia="Arial" w:hAnsi="Arial"/>
          <w:sz w:val="18"/>
          <w:szCs w:val="18"/>
          <w:color w:val="auto"/>
        </w:rPr>
        <w:t>Marqeta’s case management API endpoints help our Customers to optimize the entire dispute process.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submitting disputes, receiving statements, participating in arbitration, all while receiving live status updates via push notifications. Our holistic solution helps to simplify case management while enabling an optimized experience for the end user.</w:t>
      </w:r>
    </w:p>
    <w:p>
      <w:pPr>
        <w:spacing w:after="0" w:line="76" w:lineRule="exact"/>
        <w:rPr>
          <w:sz w:val="20"/>
          <w:szCs w:val="20"/>
          <w:color w:val="auto"/>
        </w:rPr>
      </w:pPr>
    </w:p>
    <w:p>
      <w:pPr>
        <w:jc w:val="both"/>
        <w:ind w:left="440" w:right="20"/>
        <w:spacing w:after="0" w:line="296" w:lineRule="auto"/>
        <w:rPr>
          <w:sz w:val="20"/>
          <w:szCs w:val="20"/>
          <w:color w:val="auto"/>
        </w:rPr>
      </w:pPr>
      <w:r>
        <w:rPr>
          <w:rFonts w:ascii="Arial" w:cs="Arial" w:eastAsia="Arial" w:hAnsi="Arial"/>
          <w:sz w:val="16"/>
          <w:szCs w:val="16"/>
          <w:i w:val="1"/>
          <w:iCs w:val="1"/>
          <w:color w:val="auto"/>
        </w:rPr>
        <w:t xml:space="preserve">Simplify compliance and reporting: </w:t>
      </w:r>
      <w:r>
        <w:rPr>
          <w:rFonts w:ascii="Arial" w:cs="Arial" w:eastAsia="Arial" w:hAnsi="Arial"/>
          <w:sz w:val="16"/>
          <w:szCs w:val="16"/>
          <w:color w:val="auto"/>
        </w:rPr>
        <w:t>With our Platform, Customers can monitor and review reports for potential violations and leverage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insights for compliance reporting such as anti-money-laundering and Bank Secrecy Act, or BSA, monitoring, as well as know-your-customer requirements. We provide valuable insights, including foreign transactions made by a cardholder, and the number of times a cardholder withdraws or transfers money in a day. We are compliant with industry regulations for data security and privacy. Our solutions are certified as compliant with PCI DSS and 3DS, among others. Our bank-grade encryption safeguards payment card data, including personally identifiable information.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Analyze data intelligence: </w:t>
      </w:r>
      <w:r>
        <w:rPr>
          <w:rFonts w:ascii="Arial" w:cs="Arial" w:eastAsia="Arial" w:hAnsi="Arial"/>
          <w:sz w:val="16"/>
          <w:szCs w:val="16"/>
          <w:color w:val="auto"/>
        </w:rPr>
        <w:t>We dissect and analyze transaction data. Customers can monitor balances, authorizations, and settlements over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track every aspect of their card program. Customers can see chargebacks, declined transactions, and card activities on a regular basis, while data can be reported on a daily, weekly, or monthly cadence. Data is easily filtered by date, transaction type, and Card Network to monitor program details.</w:t>
      </w:r>
    </w:p>
    <w:p>
      <w:pPr>
        <w:spacing w:after="0" w:line="14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Our applications are integrated into some of the largest innovators globally. We help Klarna improve shopping experiences as they offer payment, social shopping, and personal financing services to over 250,000 merchants and 90 million consumers. Klarna set out to empower consumers to buy what they want today and pay later with interest-free installments over time, all in a seamless checkout experience. Klarna offers an alternative way to make purchases with its Pay Later offering by instantly issuing customers a single-use virtual card, powered by Marqeta, that customers can use to check out at online or in-store merchants. Klarna’s developers use Marqeta’s private sandbox to test and launch new programs with an accelerated time-to-market, while the breadth and simplicity of our APIs enables Klarna to make modifications and iterate rapidly once launched. The data insights offered by our Platform enable Klarna to execute targeted promotions to its customers and manage cases and chargebacks autonomously. Klarna chose Marqeta to help launch its U.S. operations, quickly followed by a successful launch in Australia. With our build once, deploy anywhere model, Klarna can rely on Marqeta as a trusted partner and to support its global growth ambitions.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4</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Interchange Fees are transaction- and volume-based fees paid by the Acquiring Bank to the Issuing Bank that issued the payment card used to purchase goods or services from the merchant. Our agreements with Issuing Banks provide that we receive 100% of the Interchange Fees for processing our Customers’ card transactions. Our Customer contracts typically include provisions under which we share a portion of Interchange Fees with our Customers, referred to as “Revenue Share.” As Customers increase processing volumes on our Platform, they may earn an increased percentage of Revenue Share. Sharing an increased percentage of Interchange Fees with our Customers aligns our interests with our Customers’ growth and builds deeper customer relationships.</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we strive to democratize payments and simplify card issuing and transaction processing, our strategic partnerships and direct integrations with Issuing Banks and Card Networks are important to our customer value proposition. Greater processing volume also allows us to achieve better volume pricing with our Issuing Banks and Card Networks, which we can pass along to our Customers. This, in turn, can make our product offerings more competitive.</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we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establish strong brand recognition and capture significant market share in an industry where customer retention is key and innovation can provide outsized rewards. We believe being first in the market </w:t>
      </w:r>
      <w:r>
        <w:rPr>
          <w:rFonts w:ascii="Arial" w:cs="Arial" w:eastAsia="Arial" w:hAnsi="Arial"/>
          <w:sz w:val="18"/>
          <w:szCs w:val="18"/>
          <w:i w:val="1"/>
          <w:iCs w:val="1"/>
          <w:color w:val="auto"/>
        </w:rPr>
        <w:t>and</w:t>
      </w:r>
      <w:r>
        <w:rPr>
          <w:rFonts w:ascii="Arial" w:cs="Arial" w:eastAsia="Arial" w:hAnsi="Arial"/>
          <w:sz w:val="18"/>
          <w:szCs w:val="18"/>
          <w:color w:val="auto"/>
        </w:rPr>
        <w:t xml:space="preserve">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b w:val="1"/>
          <w:bCs w:val="1"/>
          <w:i w:val="1"/>
          <w:iCs w:val="1"/>
          <w:color w:val="auto"/>
        </w:rPr>
        <w:t xml:space="preserve">Widening the Gap via Continuous Innovation: </w:t>
      </w:r>
      <w:r>
        <w:rPr>
          <w:rFonts w:ascii="Arial" w:cs="Arial" w:eastAsia="Arial" w:hAnsi="Arial"/>
          <w:sz w:val="17"/>
          <w:szCs w:val="17"/>
          <w:color w:val="auto"/>
        </w:rPr>
        <w:t>We believe that we continually increase our market-leading position by innovating on our flexible,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b w:val="1"/>
          <w:bCs w:val="1"/>
          <w:i w:val="1"/>
          <w:iCs w:val="1"/>
          <w:color w:val="auto"/>
        </w:rPr>
        <w:t xml:space="preserve">Enduring Customer Relationships: </w:t>
      </w:r>
      <w:r>
        <w:rPr>
          <w:rFonts w:ascii="Arial" w:cs="Arial" w:eastAsia="Arial" w:hAnsi="Arial"/>
          <w:sz w:val="16"/>
          <w:szCs w:val="16"/>
          <w:color w:val="auto"/>
        </w:rPr>
        <w:t>Our dollar-based net revenue retention was 200% for each of the years ended December 31, 2019 and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6"/>
          <w:szCs w:val="16"/>
          <w:i w:val="1"/>
          <w:iCs w:val="1"/>
          <w:color w:val="auto"/>
        </w:rPr>
        <w:t>technically</w:t>
      </w:r>
      <w:r>
        <w:rPr>
          <w:rFonts w:ascii="Arial" w:cs="Arial" w:eastAsia="Arial" w:hAnsi="Arial"/>
          <w:sz w:val="16"/>
          <w:szCs w:val="16"/>
          <w:color w:val="auto"/>
        </w:rPr>
        <w:t xml:space="preserve"> integrated within their products and solutions, </w:t>
      </w:r>
      <w:r>
        <w:rPr>
          <w:rFonts w:ascii="Arial" w:cs="Arial" w:eastAsia="Arial" w:hAnsi="Arial"/>
          <w:sz w:val="16"/>
          <w:szCs w:val="16"/>
          <w:i w:val="1"/>
          <w:iCs w:val="1"/>
          <w:color w:val="auto"/>
        </w:rPr>
        <w:t>operationally</w:t>
      </w:r>
      <w:r>
        <w:rPr>
          <w:rFonts w:ascii="Arial" w:cs="Arial" w:eastAsia="Arial" w:hAnsi="Arial"/>
          <w:sz w:val="16"/>
          <w:szCs w:val="16"/>
          <w:color w:val="auto"/>
        </w:rPr>
        <w:t xml:space="preserve"> integrated as Customers develop core processes around our tools and platform, and </w:t>
      </w:r>
      <w:r>
        <w:rPr>
          <w:rFonts w:ascii="Arial" w:cs="Arial" w:eastAsia="Arial" w:hAnsi="Arial"/>
          <w:sz w:val="16"/>
          <w:szCs w:val="16"/>
          <w:i w:val="1"/>
          <w:iCs w:val="1"/>
          <w:color w:val="auto"/>
        </w:rPr>
        <w:t>culturally</w:t>
      </w:r>
      <w:r>
        <w:rPr>
          <w:rFonts w:ascii="Arial" w:cs="Arial" w:eastAsia="Arial" w:hAnsi="Arial"/>
          <w:sz w:val="16"/>
          <w:szCs w:val="16"/>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5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b w:val="1"/>
          <w:bCs w:val="1"/>
          <w:i w:val="1"/>
          <w:iCs w:val="1"/>
          <w:color w:val="auto"/>
        </w:rPr>
        <w:t xml:space="preserve">People-centric Culture and Values: </w:t>
      </w:r>
      <w:r>
        <w:rPr>
          <w:rFonts w:ascii="Arial" w:cs="Arial" w:eastAsia="Arial" w:hAnsi="Arial"/>
          <w:sz w:val="17"/>
          <w:szCs w:val="17"/>
          <w:color w:val="auto"/>
        </w:rPr>
        <w:t>Nothing is more powerful than a unified team focused on collective results. We believe our culture of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7"/>
          <w:szCs w:val="17"/>
          <w:i w:val="1"/>
          <w:iCs w:val="1"/>
          <w:color w:val="auto"/>
        </w:rPr>
        <w:t>building innovative products and serving their customers</w:t>
      </w:r>
      <w:r>
        <w:rPr>
          <w:rFonts w:ascii="Arial" w:cs="Arial" w:eastAsia="Arial" w:hAnsi="Arial"/>
          <w:sz w:val="17"/>
          <w:szCs w:val="17"/>
          <w:color w:val="auto"/>
        </w:rPr>
        <w:t>. We also believe our culture helps us hire and retain best-in-class talent. We believe we have created an environment where everyone belongs, and employees are empowered to do the best work of their lives.</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 xml:space="preserve">The aggregate effect of these strengths and advantages is a strong competitive moat, predicated on our scale, Customer relationships, and the technological complexities that we have managed to streamline over time, while remaining agile, extensible, and innovative. We believe it would require a significant commitment of time and resources for a potential competitor to </w:t>
      </w:r>
      <w:r>
        <w:rPr>
          <w:rFonts w:ascii="Arial" w:cs="Arial" w:eastAsia="Arial" w:hAnsi="Arial"/>
          <w:sz w:val="16"/>
          <w:szCs w:val="16"/>
          <w:i w:val="1"/>
          <w:iCs w:val="1"/>
          <w:color w:val="auto"/>
        </w:rPr>
        <w:t>imitate</w:t>
      </w:r>
      <w:r>
        <w:rPr>
          <w:rFonts w:ascii="Arial" w:cs="Arial" w:eastAsia="Arial" w:hAnsi="Arial"/>
          <w:sz w:val="16"/>
          <w:szCs w:val="16"/>
          <w:color w:val="auto"/>
        </w:rPr>
        <w:t xml:space="preserve"> our Platform. We also believe that we have and continue to build significant technical know-how and card issuing and transaction processing expertise so that potential competitors cannot easily </w:t>
      </w:r>
      <w:r>
        <w:rPr>
          <w:rFonts w:ascii="Arial" w:cs="Arial" w:eastAsia="Arial" w:hAnsi="Arial"/>
          <w:sz w:val="16"/>
          <w:szCs w:val="16"/>
          <w:i w:val="1"/>
          <w:iCs w:val="1"/>
          <w:color w:val="auto"/>
        </w:rPr>
        <w:t>replicate</w:t>
      </w:r>
      <w:r>
        <w:rPr>
          <w:rFonts w:ascii="Arial" w:cs="Arial" w:eastAsia="Arial" w:hAnsi="Arial"/>
          <w:sz w:val="16"/>
          <w:szCs w:val="16"/>
          <w:color w:val="auto"/>
        </w:rPr>
        <w:t xml:space="preserve"> our business. We believe these structural advantages, and our culture and values driven business, should enable us to extend our lead over time.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transaction volume, according to The Nilson Report. Our Platform is sought out by large financial institutions to improve their existing offerings and stay competitive with digitally native new market entrants.</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Marqeta continues to expand its international footprint and capabilities, we expect to leverage our Customers’ international growth, as well as onboarding new international Customers.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market opportunity is tremendous, and we intend to expand our addressable market and increase our revenue by pursuing the following strategies:</w:t>
      </w:r>
    </w:p>
    <w:p>
      <w:pPr>
        <w:spacing w:after="0" w:line="140"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b w:val="1"/>
          <w:bCs w:val="1"/>
          <w:i w:val="1"/>
          <w:iCs w:val="1"/>
          <w:color w:val="auto"/>
        </w:rPr>
        <w:t xml:space="preserve">Grow With Our Existing Customers. </w:t>
      </w:r>
      <w:r>
        <w:rPr>
          <w:rFonts w:ascii="Arial" w:cs="Arial" w:eastAsia="Arial" w:hAnsi="Arial"/>
          <w:sz w:val="16"/>
          <w:szCs w:val="16"/>
          <w:color w:val="auto"/>
        </w:rPr>
        <w:t>Our current Customers include some of today’s leading commerce disruptors, digital banks, tech giants, and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Many of these Customers are experiencing rapid growth on our Platform. We participate in our Customers’ growth alongside them because as our Customers’ businesses scale and their processing volumes increase, so does our revenue. Through our Platform and business strategy, we become an integral part of our Customers’ operations and a trusted partner in enabling their success. We intend to retain and expand our existing Customer relationships through excellent Platform performance, Customer service, and further innovations to our products and services.</w:t>
      </w:r>
    </w:p>
    <w:p>
      <w:pPr>
        <w:spacing w:after="0" w:line="53"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i w:val="1"/>
          <w:iCs w:val="1"/>
          <w:color w:val="auto"/>
        </w:rPr>
        <w:t xml:space="preserve">Onboard New Customers. </w:t>
      </w:r>
      <w:r>
        <w:rPr>
          <w:rFonts w:ascii="Arial" w:cs="Arial" w:eastAsia="Arial" w:hAnsi="Arial"/>
          <w:sz w:val="17"/>
          <w:szCs w:val="17"/>
          <w:color w:val="auto"/>
        </w:rPr>
        <w:t>We believe our opportunity to attract new Customers to our Platform is massive. Market shifts towards digitization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 for modern card issuing and transaction processing is increasingly becoming a necessity for a greater number and variety of businesses globally. We intend to solidify our reach in existing categories and expand to new use cases and industry verticals. Our sales teams focus on attracting an even greater number of commerce disruptors, digital banks, and tech giants. We also intend to expand our relationships with large financial institutions as we help them compete in the new digitized world through our industry-leading solutions. We intend to attract and engage new Customers through customer referrals from existing Customers, marketing campaigns, outbound sales calls, and key industry conferences and tradeshows. We will also look for opportunities to grow through strategic partnerships and acquisitions.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are currently certified to operate in 36 countries across North America, Europe, and Asia-Pacific and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our international expansion in the future. Because our Customers employ digital models that transcend borders, we are constantly extending our Platform’s reach. This allows us to offer a single global Platform to all Customers, no matter where they originate or how they expand. With Marqeta, developers only have to integrate once to gain access to a global market and to take advantage of all of the tools our Platform offers for a global reach.</w:t>
      </w:r>
    </w:p>
    <w:p>
      <w:pPr>
        <w:spacing w:after="0" w:line="80"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Develop New Products and Services. </w:t>
      </w:r>
      <w:r>
        <w:rPr>
          <w:rFonts w:ascii="Arial" w:cs="Arial" w:eastAsia="Arial" w:hAnsi="Arial"/>
          <w:sz w:val="18"/>
          <w:szCs w:val="18"/>
          <w:color w:val="auto"/>
        </w:rPr>
        <w:t>Our closely integrated relationships with our Customers and deep insight into our Customers’ transaction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us to anticipate our Customers’ product needs and emerging market opportunities. Our modern card issuing Platform and best-in-class APIs allow us to rapidly develop new products, features, and use cases to serve our current and future Customers. For example, in 2020, we debuted Marqeta’s Tokenization as a Service product. Tokenization as a Service allows non-Marqeta card programs to benefit from our modern card issuing Platform, tokenization expertise, and built-in certifications with digital wallets and the Card Networks. This new offering is available for any card type —including cards not directly issued on the Marqeta Platform—and is used to instantly provision cards into a mobile wallet. In February 2021, we launched credit servicing capabilities on our Platform, which we believe makes us the only modern card issuing platform that supports every card type —prepaid, debit and credit.</w:t>
      </w:r>
    </w:p>
    <w:p>
      <w:pPr>
        <w:spacing w:after="0" w:line="8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Expand Our Platform. </w:t>
      </w:r>
      <w:r>
        <w:rPr>
          <w:rFonts w:ascii="Arial" w:cs="Arial" w:eastAsia="Arial" w:hAnsi="Arial"/>
          <w:sz w:val="18"/>
          <w:szCs w:val="18"/>
          <w:color w:val="auto"/>
        </w:rPr>
        <w:t>Our vision is to democratize money movement globally. Over time, we intend to broaden our Platform by introducing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and functionality to meet the evolving money movement needs of our Customer base. We will continue to invest in our Platform to create additional deployment controls, increased stability, greater flexibility, and data-driven decision-making, all within increasingly shorter timeframes. We plan to build new APIs to deliver for our Customers and expand our migration to the cloud to provide enhanced scalability, paving the way for data localization options and reducing our maintenance burden. We continue to deepen our ability to execute in and across multiple regions so our Customers can expand their businesses globally while keeping the same single underlying processing platform interfaces and execution. We initially targeted card issuing through a modern and disruptive lens, and we believe we can leverage our Platform to replicate our success in other areas of the payments ecosystem.</w:t>
      </w:r>
    </w:p>
    <w:p>
      <w:pPr>
        <w:spacing w:after="0" w:line="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Invest In Our People. </w:t>
      </w:r>
      <w:r>
        <w:rPr>
          <w:rFonts w:ascii="Arial" w:cs="Arial" w:eastAsia="Arial" w:hAnsi="Arial"/>
          <w:sz w:val="18"/>
          <w:szCs w:val="18"/>
          <w:color w:val="auto"/>
        </w:rPr>
        <w:t>We believe we can advance our growth strategies because of our deeply talented team. As of December 31, 2020, 51%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part of our Product, Technology, and Design teams. We intend to continue to invest in talent to further increase both the depth and breadth of our products and services. We believe we have already attracted some of the world’s best technical talent. The majority of the team works in Oakland, a culturally rich and diverse community adjacent to Silicon Valley, while others are part of our dispersed workforce. Our geographic flexibility enables us to attract top tier talent from a large pool of candidates.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Culture &amp; Values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Everyone Belongs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realized some time ago that words like “company” and “customer” are just another way to say “people.” Companies are collections of people who unite behind a common mission and then align behind values that bind them together. Each person on our team is called a Marqetan. On their first day, we share with each Marqetan our values. Key among these is “Everyone Belongs.”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168275</wp:posOffset>
            </wp:positionV>
            <wp:extent cx="368300" cy="402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83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Every Marqetan brings their authentic self to work every day. When a new Marqetan walks through the door, we strive to make that person feel that they belong and are empowered to do the best work of their lives. We respect, value, and include each other, demonstrating empathy and celebrating diversity.</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part of our onboarding process, we also ask each new employee an empowering question: “What is your superpower?” We believe everyone has a superpower. It might be singing, it might be baking, it might be coding. Whatever it is, we want that person to embrace it, share it, and celebrate all of our unique abilities, viewpoints, and personalities together as Marqetans. United, these superpowers allow us to be more than just the sum of the people who work at Marqeta. With over 500 Marqetans, we believe that each Marqetan brings their own unique superpower to the company. The humanity of our collective superpowers and individuality is the driving force behind Marqeta’s category-defining technology and modern card issuing Platform. People come to Marqeta to do the best work of their lives.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Build One Marqeta</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Nothing is more powerful than a unified team of people who are focused on the results of the team over their individual success. If you want to go fast, go alone. If you want to go far, go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368300" cy="3860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8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do what’s right for all of us, not one of us. We succeed together. We center our products and services around openness, accessibility, and simplicity. Our relationships are with partners who align with our values of trust, transparency, and inclusiveness.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Connect the Customer</w:t>
      </w:r>
    </w:p>
    <w:p>
      <w:pPr>
        <w:spacing w:after="0" w:line="11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 xml:space="preserve">Customers are the people we seek to delight every day. Our Customers consistently tell us that our ability to work at speed, cut through complexity, and always have their end users’ experience at heart helps them focus on what they do best – </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68300" cy="377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83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build enduring and trusting relationships with our Customers, setting the bar high, and striving to exceed them every day through delightful experiences.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Lead Innovation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Because of our value of Lead Innovation, we believe we are the first modern Platform to market with multiple issuing and processing innovations, including the first open APIs, JIT Funding, and Tokenization as a Service.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368300" cy="3860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8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love to lean into the unknown and find the path forward. We welcome the new, embrace change and challenge limits, and find new</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heights.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Deliver Results</w:t>
      </w:r>
    </w:p>
    <w:p>
      <w:pPr>
        <w:spacing w:after="0" w:line="11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 xml:space="preserve">Success is measured in results. At our heart, we are developers who build for developers, and we have not forgotten our entrepreneurial roots. Customers have chosen to build and scale their businesses on our Platform because we understand that </w:t>
      </w:r>
      <w:r>
        <w:rPr>
          <w:rFonts w:ascii="Arial" w:cs="Arial" w:eastAsia="Arial" w:hAnsi="Arial"/>
          <w:sz w:val="16"/>
          <w:szCs w:val="16"/>
          <w:i w:val="1"/>
          <w:iCs w:val="1"/>
          <w:color w:val="auto"/>
        </w:rPr>
        <w:t>our</w:t>
      </w:r>
      <w:r>
        <w:rPr>
          <w:rFonts w:ascii="Arial" w:cs="Arial" w:eastAsia="Arial" w:hAnsi="Arial"/>
          <w:sz w:val="16"/>
          <w:szCs w:val="16"/>
          <w:color w:val="auto"/>
        </w:rPr>
        <w:t xml:space="preserve"> Customers need to deliver for </w:t>
      </w:r>
      <w:r>
        <w:rPr>
          <w:rFonts w:ascii="Arial" w:cs="Arial" w:eastAsia="Arial" w:hAnsi="Arial"/>
          <w:sz w:val="16"/>
          <w:szCs w:val="16"/>
          <w:i w:val="1"/>
          <w:iCs w:val="1"/>
          <w:color w:val="auto"/>
        </w:rPr>
        <w:t>their</w:t>
      </w:r>
      <w:r>
        <w:rPr>
          <w:rFonts w:ascii="Arial" w:cs="Arial" w:eastAsia="Arial" w:hAnsi="Arial"/>
          <w:sz w:val="16"/>
          <w:szCs w:val="16"/>
          <w:color w:val="auto"/>
        </w:rPr>
        <w:t xml:space="preser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368300" cy="394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83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keep it simple and find a solution. We act like owners and deliver the best outcome for the Customer. We are reliable and consistent.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First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Quality is at the heart of everything we build. At its core, quality means that we meet or exceed every Customer’s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360045" cy="3854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004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are proud of the work we do and strive to improve it every day. Everything we build is strong, sturdy, and lasting. When you provide high-quality products and do great work, people remember it and trust you.</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Cares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purpose has never been more clear: pay it forward. We aspire to a positive global impact by making complex payment infrastructure accessible and leveling the playing field for innovation and financial access across communities. Our celebration of diversity and community is critically important to our culture and why we are proud to be headquartered in Oakland. Our commitment to the people in the communities we serve is embodied in our value of Marqeta Cares: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170180</wp:posOffset>
            </wp:positionV>
            <wp:extent cx="360045" cy="3600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invest in corporate social responsibility. Our people, technology, and resources make a positive impact in our community, and we are responsible stewards of our environment.</w:t>
      </w:r>
    </w:p>
    <w:p>
      <w:pPr>
        <w:spacing w:after="0" w:line="170"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created Marqeta Cares, our social impact initiative, as our corporate giving program and to help select the charities we support. Marqeta Cares seeks to create inclusive communities and build pathways to economic prosperity. We do this by leveraging our financial and human capital to support nonprofit organizations that advance economic opportunity for under-resourced and under-served communities. We approved up to 400,000 shares of our common stock to be contributed to the Marqeta Cares program over the next ten years, beginning in 2020. Marqeta Cares will leverage these resources to make targeted and thoughtful donations where our equity and dollars can make a meaningful difference.</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To help implement our Marqeta Cares goals, Marqeta has partnered with an experienced donor-advised fund, operated as a 501(c)(3) public charity, that will serve as the legal vehicle for implementing Marqeta Cares’ corporate philanthropic vision. In the third and fourth quarters of 2020, we made cash contributions to the donor-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advised fund that we believe represented a fair market value of approximately 40,000 shares. Finally, we are also partnering with Pledge 1%, an advisory non-profit organization that assists companies in donating to charitable causes.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modern card issuing Platform powers mission-critical experiences for our Customers, leading to strong relationships over time as we extend their reach both from a product and geographic perspective. We had over 130 and over 160 Customers as of December 31, 2019 and 2020, respectively. Currently, we provide solutions in the following verticals:</w:t>
      </w:r>
    </w:p>
    <w:p>
      <w:pPr>
        <w:spacing w:after="0" w:line="89"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Commerce Disruptors</w:t>
      </w:r>
    </w:p>
    <w:p>
      <w:pPr>
        <w:spacing w:after="0" w:line="130" w:lineRule="exact"/>
        <w:rPr>
          <w:rFonts w:ascii="Arial" w:cs="Arial" w:eastAsia="Arial" w:hAnsi="Arial"/>
          <w:sz w:val="18"/>
          <w:szCs w:val="18"/>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On-Demand Services</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Buy Now, Pay Later</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Expense Management</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Travel</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Alternative Lending</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eCommerce</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Disbursements &amp; Incentives</w:t>
      </w:r>
    </w:p>
    <w:p>
      <w:pPr>
        <w:spacing w:after="0" w:line="130" w:lineRule="exact"/>
        <w:rPr>
          <w:rFonts w:ascii="Arial" w:cs="Arial" w:eastAsia="Arial" w:hAnsi="Arial"/>
          <w:sz w:val="15"/>
          <w:szCs w:val="15"/>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Digital 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Tech Giants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Large Financial Institutions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Large Customers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Square</w:t>
      </w:r>
    </w:p>
    <w:p>
      <w:pPr>
        <w:spacing w:after="0" w:line="11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On April 18, 2016, we entered into a master services agreement with Square, subsequently amended, which provides for the commercial terms of our relationship with Square. Pursuant to the terms of the agreement, we have agreed to manage certain card issuing programs for Square, including the Square Cash App and Square Card programs. Under the agreement to manage these card programs, we agree to share with Square a portion of the net interchange revenue that we earn from processing the volume of these programs. The Revenue Share provisions include increased rates of Revenue Share when processing volumes reach specified volume tiers. Additionally, the Company generates revenue from other processing services under the agreement. In addition, on March 13, 2021, and as specified in our agreement with Square, we granted Square a warrant to purchase up to 1,100,000 shares of our common stock at an exercise price of $0.01 per share, which is exercisable upon attaining the Square Warrant Milestones. The current term of our agreement with Square for Cash App expires in March 2024, the current term of our agreement with Square for Square Card expires in December 2024, and each agreement automatically renews thereafter for successive one-year periods, unless terminated earlier by either party. Either we or Square may terminate the master services agreement under certain specified circumstances, including upon a material breach. The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contractual relationships with Issuing Banks and Card Networks contribute to Marqeta’s ability to create and manage customized card programs for our Customers.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We partner with Issuing Banks to provide services to Marqeta that include card issuance, Card Network sponsorship, and creating deposit accounts used to settle our Customers’ transactions. Our contracts with Issuing Banks entitle Marqeta to all of the Interchange Fees generated from our Customers’ card programs and obligate us to pay all Card Network fees associated with our Customers’ card transactions. Issuing Banks require Marqeta to comply with their requirements and those of the Card Networks necessary to sponsor the Customer’s card programs.</w:t>
      </w:r>
    </w:p>
    <w:p>
      <w:pPr>
        <w:spacing w:after="0" w:line="171"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provide all of our Customers issuer processor services, and for most of our Customers, we also act as the program manager. As a program manager, we are responsible for ensuring compliance with the Issuing Bank’s requirements and Card Network rules and help create regulatory compliant card programs for our Customers. When our Customers engage us solely as an Issuer Processor, more often internationally, we facilitate through Issuing Banks and Card Networks the authorization and settlement of our Customers’ card transactions. We intend to expand and deepen our relationships with Issuing Banks and Card Networks and expect to see an increased demand for both our program manager and issuer processor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Issuing Banks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While an Issuing Bank ultimately approves each card program, Marqeta is able to configure the program design, negotiate key program terms, and select the Issuing Bank. Marqeta actively “shops” the potential card program to various Issuing Banks to identify the most appropriate bank based on the Customer’s needs. Marqeta pays the Issuing Banks a fixed fee (either a fixed percentage of the purchase volume or a fixed fee per transaction) as compensation for the services they provide to Marqeta.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Sutton Bank</w:t>
      </w:r>
    </w:p>
    <w:p>
      <w:pPr>
        <w:spacing w:after="0" w:line="117"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On April 1, 2016, we entered into a prepaid card program manager agreement with Sutton Bank. Under the terms of the agreement, as amended, Sutton Bank settles payment transactions for us and provides prepaid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The agreement also provides for the payment of termination fees, including fees and costs to Sutton Bank, in the case of early termination by us. The current term of the agreement expires in 2027,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Card Networks</w:t>
      </w:r>
    </w:p>
    <w:p>
      <w:pPr>
        <w:spacing w:after="0" w:line="11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Card Networks oversee their worldwide payment networks, through which debit, credit, and prepaid card payments are authorized, processed, and settled between an Issuing Bank and an Acquiring Bank. Card Networks also set the Interchange Fee rates that the Acquiring Bank routes through the Card Network to the Issuing Bank. We currently partner with a number of Card Networks, including Visa, Mastercard, and PULSE, which is part of the Discover Global Network, and a number of PIN networks, to process our Customers’ transactions on our Platform. Marqeta arranges for our Customers to use one or more of the available Card Networks, and we pay standard fees to Card Networks directly, or indirectly through reimbursement of these fees upon the settlement of card transactions by the Issuing Banks. Our contracts with the Card Networks also provide us with certain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monetary incentives based on the volume of our Customers’ transactions processed through the respective Card Network. Additionally, we partner with Card Networks to develop our processing capabilities in international locations as we expand globally.</w:t>
      </w:r>
    </w:p>
    <w:p>
      <w:pPr>
        <w:spacing w:after="0" w:line="170"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relationships with the Card Networks allow us to connect our Platform directly to the Card Networks, which allows for transaction authorization (or decline) messages to be sent electronically to and from our Platform. This connection provides for virtually instant notification of our Customers’ card transactions and allows for quick response to the authorization request. Once an authorization approval response has been sent by Marqeta to the Card Network (based on parameters established by the applicable Customer), the transaction is able to occur on the Card Network’s secure network.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Mastercard</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2020, we entered into a strategic relationship agreement with Mastercard. We have also entered into a number of subsequent arrangements with Mastercard, including certain brand agreements. Under these agreements,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Visa</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2017, we entered into a strategic alliance framework agreement with Visa, subsequently amended. We have also entered into a number of subsequent arrangements with Visa, as governed by the strategic alliance framework agreement, including a service evaluation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The current term of the strategic alliance framework agreement expires in 2022 and automatically renews annually thereafter.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Pulse Network</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2013, we entered into a direct processor agreement with Pulse Network LLC, or Pulse, subsequently amended. The contract provides Marqeta with tiered incentives based on the processing volume of our Customers’ transactions routed through Pulse and its affiliated networks. The contract is currently under a renewal term, which automatically renews annually, unless either party provides written notice of its intent not to renew. Either party may terminate the agreement under specified circumstances, including upon a material breach that remains uncured for a specified period of time.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Competitors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compete in a large and evolving market. We believe that the principal competitive factors in our market include:</w:t>
      </w:r>
    </w:p>
    <w:p>
      <w:pPr>
        <w:spacing w:after="0" w:line="131"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platform and product features and functionality;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ability to build new technology and keep pace with innovation;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scalability;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extensibility;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agility;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competitors fall into three primary categories:</w:t>
      </w:r>
    </w:p>
    <w:p>
      <w:pPr>
        <w:spacing w:after="0" w:line="131"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Providers with legacy technology platforms, including Global Payments (TSYS), Fiserv (First Data), and FIS:</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We believe we offer a more agile and configurable solution that is faster to market than the traditional providers. We believe that, in general, legacy solutions are more rigid and are slower to both implement and innovate. Legacy platforms are often oriented to serve large financial institutions with standard product offerings. In contrast, the Marqeta Platform supports a range of digitally enabled use cases to serve the evolving card issuing marketplace.</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Vertical-focused providers, including Wex and Comdata:</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While we also compete with providers focused on a certain vertical, we believe that our modern card issuing Platform’s depth and breadth offer a better and more complete solution for innovators. From its initial inception, our Platform was built to be horizontal, making it more configurable and extensible for a variety of emerging use cases and verticals. Furthermore, our experience in one vertical often informs similar use cases in other verticals, helping us bring new features to market faster.</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Emerging providers, including Adyen and Stripe:</w:t>
      </w:r>
    </w:p>
    <w:p>
      <w:pPr>
        <w:spacing w:after="0" w:line="117" w:lineRule="exact"/>
        <w:rPr>
          <w:rFonts w:ascii="Arial" w:cs="Arial" w:eastAsia="Arial" w:hAnsi="Arial"/>
          <w:sz w:val="18"/>
          <w:szCs w:val="18"/>
          <w:color w:val="auto"/>
        </w:rPr>
      </w:pPr>
    </w:p>
    <w:p>
      <w:pPr>
        <w:jc w:val="both"/>
        <w:ind w:left="880"/>
        <w:spacing w:after="0" w:line="255" w:lineRule="auto"/>
        <w:rPr>
          <w:rFonts w:ascii="Arial" w:cs="Arial" w:eastAsia="Arial" w:hAnsi="Arial"/>
          <w:sz w:val="18"/>
          <w:szCs w:val="18"/>
          <w:color w:val="auto"/>
        </w:rPr>
      </w:pPr>
      <w:r>
        <w:rPr>
          <w:rFonts w:ascii="Arial" w:cs="Arial" w:eastAsia="Arial" w:hAnsi="Arial"/>
          <w:sz w:val="18"/>
          <w:szCs w:val="18"/>
          <w:color w:val="auto"/>
        </w:rPr>
        <w:t>Our Customers tell us that industry expertise is the number one reason for selecting an Issuer Processor. Marqeta has a ten-year track record of successful innovation. Emerging providers lack the years of card issuing experience and generally do not have the same demonstrated track record in card issuing. In addition, emerging providers that are also Acquirer Processors as their core business, are required to dedicate both time and capital to non-core parts of their business to serve the card issuing market. Overall, emerging providers have different go-to-market strategies and technological capabilities, rendering their solutions less attractive to businesses that need card issuing and transaction processing services.</w:t>
      </w:r>
    </w:p>
    <w:p>
      <w:pPr>
        <w:spacing w:after="0" w:line="19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 – 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 contractual protections, we believe that factors such as the skills and ingenuity of our employees, the functionality and infrastructure of our Platform and our business, and frequent enhancements to and expansions of our Platform are more important contributors to our success.</w:t>
      </w:r>
    </w:p>
    <w:p>
      <w:pPr>
        <w:spacing w:after="0" w:line="16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we had three issued patents in the United States, which expire between 2033 and 2037, and four pending patent applications in the United States that cover various aspects of our business in the United States and abroad. These patents and patent applications are intended to protect our proprietary inventions relevant to our business. We continually review our development efforts to assess the existence and patentability of new intellectual property.</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and internationally to the extent we determine appropriate and cost-effective. We also have registered domain names for websites that we use in our business, such as www.marqeta.com and other similar variations.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we operate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marketing and business development teams partner closely to grow awareness and adoption of our Platform, accelerate Customer acquisition, and generate revenue. We deploy a range of marketing strategies to drive brand awareness and adoption, including public relations, advertising campaigns, and generating leads and opportunities through direct marketing (online and offline). Our marketing team collaborates with our business development and sales teams to create, influence and mature opportunities with a variety of initiatives, ranging from tailored content to high touch activities such as leading industry trade shows and events.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business development teams, incorporating sales and partnerships, employ strategies specific to the industry, vertical, use-case and Customer, to convert interest into Customers, capture market share and drive revenue.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thoughtful, multi-stage engagement process sets the stage for enduring enterprise partnerships with our Customers.</w:t>
      </w:r>
    </w:p>
    <w:p>
      <w:pPr>
        <w:spacing w:after="0" w:line="225"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We complement these marketing, business development, and sales activities with a focus on Customer experience and Customer success. We believe that highly responsive and effective support and education are an extension of our brand and are core to building and maintaining trust. We firmly believe in the importance of partnering with our Customers, and this is made possible by close cooperation between Customers and our Customer success and program management teams, enabling us to react quickly to Customer needs and fostering collaboration on future product innovation.</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research and development efforts focus on building enterprise-grade product and service capabilities for our Customers. Technical direction is derived from our understanding of the payments ecosystem and our partners, the evolving opportunity and needs of our Customer base, and the developer community. This focus enables the development of a robust, global platform to support a wide array of products, services, and use cases. Our design, product, engineering, and Customer success teams collaborate to connect our Customers to our Issuing Banks and Card Networks. Software development is primarily executed by our team of professionals across design, product management, and engineering disciplines.</w:t>
      </w:r>
    </w:p>
    <w:p>
      <w:pPr>
        <w:spacing w:after="0" w:line="16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of December 31, 2020, we had 260 employees in our research and development organization, defined as our Product &amp; Technology organization. We intend to continue to invest in our research and development capabilities to extend our Platform. The technical operations team in our Product &amp; Technology organization also works to ensure the successful deployment and monitoring of our Platform.</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We are subject to a number of U.S. federal and state and foreign laws and regulations that involve matters central to our business. These laws and regulations involve privacy, data protection, information security, intellectual property, competition or other subjects. In addition to laws and regulations that apply to our business directly, we are contractually subject to certain laws and regulations through our relationships with Issuing Banks, Card Networks, our Customers, and our service providers. Many of the laws and regulations that we are subject to are still evolving and being tested in courts and could be interpreted in ways that could harm our business. In addition, the application and interpretation of these laws and regulations often are uncertain, particularly in the new and rapidly evolving industry that we operate in. Further, these laws and regulations are sometimes ambiguous or inconsistent, and the extent they apply to us is at times unclear. As global laws and regulations have continued to develop and evolve rapidly, it is possible that we may not be, or may not have been, compliant with each such applicable law or regulation or that we may in the future be required to obtain licenses and registrations. Any actual or alleged failure to comply with applicable laws or regulations may result in, among other things, private litigation, regulatory investigations and enforcement actions, sanctions, civil and criminal liability and constraints on our ability to continue to operate.</w:t>
      </w:r>
    </w:p>
    <w:p>
      <w:pPr>
        <w:spacing w:after="0" w:line="16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we grow and expand our geographical reach and our offerings, we may become subject to additional regulations, in the United States and internationally.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provide services that are subject to various state, federal and foreign laws and regulations relating to privacy, data protection, and information security, including, among others, the Gramm-Leach Bliley Act, GDPR, and the CCPA. In some cases, we are subject to regulation as a result of our relationship with Issuing Banks or due to our Customers’ relationships with their cardholders, banks, or regulators. In providing our services, we collect, use,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and otherwise process a wide variety of information to help ensure the integrity of our services and products and to provide features and functionality to our Customers. This aspect of our business, including the collection, use, processing, and protection of the information we acquire from our own services as well as from third-party sources, including our Customers and their cardholders, is subject to laws and regulations in the United States and elsewhere. Accordingly, we publish our privacy policies and terms of service, which describe our practices concerning the use, transmission and disclosure of certain information. As our business continues to expand, and as laws and regulations continue to be passed and their interpretations continue to evolve, additional laws and regulations relating to privacy, data protection, and information security may become relevant to us. For additional information about our approach to laws and regulations relating to privacy, data protection, and information security, please see “Risk Factors —Risks Relating to Our Business—Regulations and industry standards related to privacy and data protection could adversely affect our ability to effectively provide our services.”</w:t>
      </w:r>
    </w:p>
    <w:p>
      <w:pPr>
        <w:spacing w:after="0" w:line="19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Additionally, our Platform hosts, transmits, processes, and stores payment card data and is therefore required to comply with PCI DSS. As a result, we are subject to PCI audits and must comply with related security requirements. See the risk factor titled “Our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Issuing Banks must comply with the bylaws, regulations, and requirements that are set forth by the Card Networks, including PCI DSS and other applicable data-security program requirements. To the extent that we provide certain services in connection with cards issued by our Issuing Banks, we are also subject to such requirements. To provide payment processing services, we are certified and registered with Visa and Mastercard as a processor for member institutions. We are also certified and registered with debit and transaction networks. As such, we are subject to applicable card association, Card Network and national scheme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16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depending on our role in the provision of our services,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1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Prepaid card programs that we manage for our Customers are subject to various federal and state laws and regulations, including the Credit Card Accountability, Responsibility, and Disclosure Act of 2009 and the Federal Reserve Board’s Regulation E, which impose requirements on general-use prepaid cards, store gift cards and electronic gift certificates. The Consumer Financial Protection Bureau, or the CFPB, has also issued a final rule on prepaid accounts. The definition of prepaid account under this rule includes certain accounts that are capable of being loaded with funds and whose primary function is to conduct transactions with multiple, unaffiliated merchants, at ATMs or for person-to-person transfers. The requirements under this rule include, among other things,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 publication of such agreements to the general public. These laws and regulations are evolving, unclear, and sometimes inconsistent and subject to judicial and regulatory challenge and interpretation, and therefore the extent these laws and rules apply to, and impact, us is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flux. The extensive nature of these regulations may result in additional compliance obligations and expense for our business.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Although we are not a “money services business” or otherwise subject to anti-money laundering registration requirements under U.S. federal or state law, we are subject to certain anti-money laundering laws and regulations in the United States, the United Kingdom, the European Union, and other jurisdictions. In the United States, the Currency and Foreign Transactions Reporting Act, which is also known as the BSA, and which was amended by the USA PATRIOT Act of 2001, contains a variety of provisions aimed at fighting terrorism and money laundering. Among other things, the BSA and implementing regulations issued by the U.S. Treasury Department require certain financial institutions to establish anti-money laundering programs, to not engage in terrorist financing, to report suspicious activity and to maintain a number of related records.</w:t>
      </w:r>
    </w:p>
    <w:p>
      <w:pPr>
        <w:spacing w:after="0" w:line="178"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Due to our relationships with Issuing Banks that are directly regulated for anti-money laundering purposes, we have implemented an anti-money laundering program designed to prevent our Platform from being used to facilitate money laundering, terrorist financing and other illicit activity. When providing program management services, we ensure that our anti-money laundering program complies with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anti-money laundering compliance program includes policies, procedures, reporting protocols and internal controls, including the designation of a bank secrecy act officer in the U.S. and the equivalent in other jurisdictions, and it is designed to assist in managing risk associated with money laundering and terrorist financing.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are subject to anti-corruption and anti-bribery and similar laws, such as the FCPA, the U.S. domestic bribery statute contained in 18 U.S.C. § 201, the U.S. Travel Act, the U.K. Bribery Act 2010, and other anti-corruption and anti-bribery laws in countries where we conduct activities.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FCPA includes anti-bribery and accounting provisions enforced by the Department of Justice and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All persons engaged in commerce, including, but not limited to, us and our Issuing Banks and our Customers are subject to Section 5 of the Federal Trade Commission Act prohibiting unfair or deceptive acts or practices, and certain products are subject to the jurisdiction of the CFPB regarding the prohibition of unfair, deceptive or abusive acts and practices, collectively UDAAP. A number of state laws and regulations also prohibit unfair and deceptive business practices. Various federal and state regulatory enforcement agencies including the Federal Trade Commission, or the FTC, CFPB and the state attorneys general have authority to investigate and take action against businesses, merchants and financial institutions that are alleged to engage in UDAAP or violate other laws, rules and regulations. While we are not directly subject to the purview of the CFPB, if our Issuing Banks are accused of violating such laws, rules, or regulations, we may be required to cooperate with investigations and assist our Issuing Banks in responding to inquiries.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CFPB, which is charged with regulating consumer financial products or services and which assumes much of the rulemaking authority under federal laws affecting the extension of credit. In addition to rulemaking authority over several enumerated federal consumer financial protection laws, the CFPB is authorized to issue rules prohibiting UDAAP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Due to our relationships with certain Issuing Banks and Card Networks, we may be subject to indirect supervision and examination by the CFPB in connection with our Platform and certain of our products and services. CFPB rules, examinations, and enforcement actions may require us to adjust our activities and may increase our compliance costs.</w:t>
      </w:r>
    </w:p>
    <w:p>
      <w:pPr>
        <w:spacing w:after="0" w:line="184"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In addition, the Durbin Amendment to the Dodd-Frank Act provides that Interchange Fees that an Issuing Bank or Card Network receives or charges for debit transactions are regulated by the Federal Reserve and must be “reasonable and proportional” to the cost incurred by the card issuer in authorizing, clearing, and settling the transaction. Card Network fees may not be used directly or indirectly to compensate Issuing Banks in circumvention of the interchange transaction fee restrictions. While we only contract with Issuing Banks who are exempt from the Durbin Amendment, we remain sensitive to changes in the regulation of Interchange Fees. The implementation of the Dodd-Frank Act is ongoing, and as a result, its overall impact remains unclear. Its provisions, however, are sufficiently far reaching that it is possible that we could be further directly or indirectly impacted.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Escheat Regulations</w:t>
      </w:r>
    </w:p>
    <w:p>
      <w:pPr>
        <w:spacing w:after="0" w:line="11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are generally exempt from escheat regulations, unless an Issuing Bank must comply and contractually obligates us to cooperate in the Issuing Bank’s compliance. As a result, our Issuing Banks are subject to unclaimed or abandoned property (escheat) laws in the United States. These state laws require banks to turn over to certain government authorities the property of others that such Issuing Banks hold that has been unclaimed for a specified period of time, such as payment instruments that have not been presented for payment and account balances that are due to a Customer following discontinuation of our relationship. We may be required to cooperate with such Issuing Banks in the course of their compliance. In connection with our relationships with Issuing Banks, we may be subject to audit by individual U.S. states with regard to our escheatment practices.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subject to examination by our Issuing Banks’ regulators and must comply with certain regulations to which our sponsor banks are subject, as applicable. For instance, due to our relationships with certain Issuing Banks, we may be subject to indirect supervision and examination by the Federal Deposit Insurance Corporation, state banks,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territories where we operate and where our Customers and their cardholders use our products and service. For instance, we are subject to processing fee and transaction fee regulation where our cards are used and may in the future be subject to Interchange Fee regulations in other countries where our cards are used.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Privacy, and Data Protection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Trust is important for our relationship with our Customers, and we take significant measures to protect the privacy and security of their data and the data of their cardholders.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devote considerable resources to our information security program, which is dedicated to ensuring the highest confidence in our custodianship of the data of our Customers. Our security program is aligned to the ISO 27000 standards and is regularly audited and assessed by third parties. In addition, our security program has achieved several internationally-recognized certifications and industry standard audited attestations.</w:t>
      </w:r>
    </w:p>
    <w:p>
      <w:pPr>
        <w:spacing w:after="0" w:line="16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security program focuses on preserving the confidentiality, integrity, and availability of the personal data and other confidential information of our Customers and our Customers’ cardholders.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steps to help ensure that appropriate security measures are maintained by the third-party vendors we use, including by conducting security reviews and audits.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privacy of our Customers’ data and our Customers’ cardholders’ data is important to our continued growth and success. Privacy is a shared responsibility among all our employees. We also have a privacy team that builds and executes on our privacy program, including support for data protection and privacy-related requests.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and update our Platform and contractual commitments accordingly.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maintain a privacy policy that describes how we collect, use, and share personal information relating to our Customers and we implement appropriate contractual provisions relating to our processing of cardholders’ personal information.</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of December 31, 2020, we had a total of 509 employees.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new employees. The principal purposes of our equity incentive plans are to attract, retain and reward personnel through the granting of share-based compensation awards and cash-based performance bonus awards in order to increase stockholder value and the success of our company by motivating such individuals to perform to the best of their abilities and achieve our objectives.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are not currently a party to any material pending legal proceedings. From time to time, we may be subject to legal proceedings and claims arising in the ordinary course of business.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Our corporate headquarters is located in Oakland, California, where we currently lease approximately 63,284 square feet pursuant to a lease agreement that expires in 2026. We also lease and purchase service memberships to additional facilities in London and Manchester, United Kingdom.</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provides information as of the date of this prospectus regarding our executive officers and directors to be in place upon the consummation of this offering: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4520" w:type="dxa"/>
            <w:vAlign w:val="bottom"/>
            <w:gridSpan w:val="3"/>
          </w:tcPr>
          <w:p>
            <w:pPr>
              <w:ind w:left="34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Jason Gardner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2"/>
              </w:rPr>
              <w:t>Chief Executive Officer, Founder, Director, and Chairperson</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Kevin Doerr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Vidya Peters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Marketing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Philip (Tripp) Faix</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Lori McAdams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People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Seth Weissman</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Legal Officer, General Counsel, and Secretary</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Brian Kieley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Senior Vice President of Program Management</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Renata Caine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0"/>
              </w:rPr>
              <w:t>Senior Vice President of International, Strategy, and Planning</w:t>
            </w:r>
          </w:p>
        </w:tc>
      </w:tr>
      <w:tr>
        <w:trPr>
          <w:trHeight w:val="310"/>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Amy Chang</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Martha Cummings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Gerri Elliot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Helen Riley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Arnon Dinur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Judson Linville*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Christopher McKay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2" w:lineRule="exact"/>
        <w:rPr>
          <w:sz w:val="20"/>
          <w:szCs w:val="20"/>
          <w:color w:val="auto"/>
        </w:rPr>
      </w:pPr>
    </w:p>
    <w:p>
      <w:pPr>
        <w:ind w:left="660" w:hanging="544"/>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2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i w:val="1"/>
          <w:iCs w:val="1"/>
          <w:color w:val="auto"/>
        </w:rPr>
        <w:t>Jason Gardner</w:t>
      </w:r>
      <w:r>
        <w:rPr>
          <w:rFonts w:ascii="Arial" w:cs="Arial" w:eastAsia="Arial" w:hAnsi="Arial"/>
          <w:sz w:val="18"/>
          <w:szCs w:val="18"/>
          <w:color w:val="auto"/>
        </w:rPr>
        <w:t>. Mr. Gardner founded Marqeta and has served as our Chief Executive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2010. He also serves as Chairperson of our board of directors. Prior to founding Marqeta, Mr. Gardner co-founded PropertyBridge, Inc., a rent and lease-related platform that was acquired by MoneyGram International, Inc. in October 2007, and served as its Vice President from August 2008 to December 2009, Vice President of Business Development from October 2007 to July 2008, and President from May 2004 to October 2007. From June 2002 to May 2004, Mr. Gardner was the Director of Sales for The 451 Group, a technology research group. Mr. Gardner also founded Vertical Think, Inc., an IT management company, and served as its Chief Executive Officer from January 1999 to January 2002. Mr. Gardner holds a Bachelor of Arts in Political Science from Arizona State University.</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Gardner is qualified to serve as a member of our board of directors because of his experience and perspective as our Chief Executive Officer and founder.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i w:val="1"/>
          <w:iCs w:val="1"/>
          <w:color w:val="auto"/>
        </w:rPr>
        <w:t>Kevin Doerr</w:t>
      </w:r>
      <w:r>
        <w:rPr>
          <w:rFonts w:ascii="Arial" w:cs="Arial" w:eastAsia="Arial" w:hAnsi="Arial"/>
          <w:sz w:val="18"/>
          <w:szCs w:val="18"/>
          <w:color w:val="auto"/>
        </w:rPr>
        <w:t>. Mr. Doerr has served as our Chief Product Officer since March 2020. Since May 2010, Mr. Doerr has served as the Founder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Archimedes Labs, Inc., a venture-based incubation firm focused on consumer mobile services. From June 2016 to March 2020, Mr. Doerr served as the Senior Vice President and General Manager of Domains and Security of GoDaddy, Inc., a publicly traded internet domain registrar and web hosting company. From January 2013 to April 2015, Mr. Doerr served as the Executive Vice President and General Manager, Digital of The Weather Company, a weather forecasting and information technology company. Prior to The Weather Company, Mr. Doerr served in various senior roles at Microsoft Corporation, a publicly traded multinational computer software company, and Yahoo! Inc., a web services provider. Mr. Doerr studied Computer Information Systems at Suffolk University.</w:t>
      </w:r>
    </w:p>
    <w:p>
      <w:pPr>
        <w:spacing w:after="0" w:line="19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Vidya Peters</w:t>
      </w:r>
      <w:r>
        <w:rPr>
          <w:rFonts w:ascii="Arial" w:cs="Arial" w:eastAsia="Arial" w:hAnsi="Arial"/>
          <w:sz w:val="17"/>
          <w:szCs w:val="17"/>
          <w:color w:val="auto"/>
        </w:rPr>
        <w:t>. Ms. Peters has served as our Chief Marketing Officer since September 2019. Prior to joining Marqeta, Ms. Peters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of MuleSoft, Inc., an enterprise software company, from December 2017 to September 2019 and Vice President of Corporate Marketing from August 2015 to December 2017. Prior to MuleSoft, Ms. Peters held various roles at Intuit Inc., a global financial platform company, from September 2008 to July 2015, most recently as Director of Marketing, Small Business Group from April 2014 to July 2015. Ms. Peters started her career as a strategy consultant at Bain &amp; Company, a global management consulting firm, from October 2002 to June 2005. Ms. Peters holds a Master of Public Administration from Harvard University, a Master of Business Administration in Marketing and Finance from the Kellogg School of Management at Northwestern University, and a Bachelor of Science in Industrial Engineering from Northwestern University.</w:t>
      </w:r>
    </w:p>
    <w:p>
      <w:pPr>
        <w:spacing w:after="0" w:line="17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Tripp Faix</w:t>
      </w:r>
      <w:r>
        <w:rPr>
          <w:rFonts w:ascii="Arial" w:cs="Arial" w:eastAsia="Arial" w:hAnsi="Arial"/>
          <w:sz w:val="17"/>
          <w:szCs w:val="17"/>
          <w:color w:val="auto"/>
        </w:rPr>
        <w:t>. Mr. Faix has served as our Chief Financial Officer since August 2018. Prior to joining Marqeta, Mr. Faix served in several roles at Intuit</w:t>
      </w:r>
      <w:r>
        <w:rPr>
          <w:rFonts w:ascii="Arial" w:cs="Arial" w:eastAsia="Arial" w:hAnsi="Arial"/>
          <w:sz w:val="17"/>
          <w:szCs w:val="17"/>
          <w:i w:val="1"/>
          <w:iCs w:val="1"/>
          <w:color w:val="auto"/>
        </w:rPr>
        <w:t xml:space="preserve"> </w:t>
      </w:r>
      <w:r>
        <w:rPr>
          <w:rFonts w:ascii="Arial" w:cs="Arial" w:eastAsia="Arial" w:hAnsi="Arial"/>
          <w:sz w:val="17"/>
          <w:szCs w:val="17"/>
          <w:color w:val="auto"/>
        </w:rPr>
        <w:t>Inc., a publicly traded global financial platform company, from September 2011 to August 2018, most recently as the Head of Finance for the Services Division of the Small Business Group. Mr. Faix also worked at Blackstone Advisory Partners L.P. (formerly known as The Blackstone Group L.P.), a global investment firm, from 2008 to 2010, most recently as Vice President. Mr. Faix also worked at Bear Stearns, a global investment bank, from 2006 to 2008 as an Associate in the investment banking division. Mr. Faix holds a Master of Business Administration from the Wharton School of Business of the University of Pennsylvania and a Bachelor of Arts in History from Georgetown University.</w:t>
      </w:r>
    </w:p>
    <w:p>
      <w:pPr>
        <w:spacing w:after="0" w:line="178"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Lori McAdams</w:t>
      </w:r>
      <w:r>
        <w:rPr>
          <w:rFonts w:ascii="Arial" w:cs="Arial" w:eastAsia="Arial" w:hAnsi="Arial"/>
          <w:sz w:val="17"/>
          <w:szCs w:val="17"/>
          <w:color w:val="auto"/>
        </w:rPr>
        <w:t>. Ms. McAdams has served as our Chief People Officer since March 2020. Prior to joining Marqeta, Ms. McAdams served as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People of LendingHome Corporation, a real estate lending company, from August 2018 to March 2020. From April 2004 to May 2018, Ms. McAdams served as the Vice President of Human Resources and Administration of Pixar Animation Studios, a computer animation studio and division of The Walt Disney Company. Ms. McAdams holds a Master of Arts in Human Resources and Organizational Development from the University of San Francisco and a Bachelor of Arts in Communications from California State University, Chico.</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Ms. McAdams has informed us of her plans to resign her position at Marqeta, and we have begun a process for identifying her successor. Ms. McAdams currently intends to stay with Marqeta in her capacity as Chief People Officer until her successor has been identified. Ms. McAdams’ formal departure may occur before or after the consummation of this offering, depending on when a successor is identified.</w:t>
      </w:r>
    </w:p>
    <w:p>
      <w:pPr>
        <w:spacing w:after="0" w:line="184"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Seth Weissman</w:t>
      </w:r>
      <w:r>
        <w:rPr>
          <w:rFonts w:ascii="Arial" w:cs="Arial" w:eastAsia="Arial" w:hAnsi="Arial"/>
          <w:sz w:val="17"/>
          <w:szCs w:val="17"/>
          <w:color w:val="auto"/>
        </w:rPr>
        <w:t>. Mr. Weissman has served as our Chief Legal Officer and General Counsel since April 2019 and Secretary since October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Weissman has also served as Principal at Pacifica Coaching and Consulting, an executive coaching and consulting services firm, since June 2017. Since December 2016, Mr. Weissman has been an Advisory Board Member of Powerhouse Venture Fund I L.P., an innovation firm and venture fund. From September 2008 to November 2016, Mr. Weissman served as the Executive Vice President, General Counsel, and Secretary for SolarCity Corporation, a provider of energy services and publicly traded company until its acquisition by Tesla, Inc. in 2016. Mr. Weissman holds a Juris Doctor from Boston University School of Law and a Bachelor of Arts in Political Science from Pennsylvania State University.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i w:val="1"/>
          <w:iCs w:val="1"/>
          <w:color w:val="auto"/>
        </w:rPr>
        <w:t>Brian Kieley</w:t>
      </w:r>
      <w:r>
        <w:rPr>
          <w:rFonts w:ascii="Arial" w:cs="Arial" w:eastAsia="Arial" w:hAnsi="Arial"/>
          <w:sz w:val="17"/>
          <w:szCs w:val="17"/>
          <w:color w:val="auto"/>
        </w:rPr>
        <w:t>. Mr. Kieley has served as our Senior Vice President of Program Management since February 2019, and he served as our Head of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from April 2018 to February 2019. Prior to joining Marqeta, Mr. Kieley served as the Chief Operating Officer of Rêv Worldwide, Inc., a payment products and services technology company, from November 2016 to April 2018. From June 2016 to March 2018, Mr. Kieley served as the volunteer Vice President of Social Media &amp; Marketing at Austin SCORE Association, a national non-profit organization that provides free mentorship and free or low-cost education to small businesses across the United States. From June 2014 to November 2016, Mr. Kieley was a self-employed Global Payments and Operations Consultant, working with the provincial government ministry in Canada. From February 2005 to January 2014, Mr. Kieley held a variety of customer service, operations, and product development roles at Visa Inc., a publicly traded global financial platform company, most recently as Senior Vice President and Global Head of Client Support Services from November 2011 to January 2014. Mr. Kieley holds a Bachelor of Commerce in General Finance from Carleton University.</w:t>
      </w:r>
    </w:p>
    <w:p>
      <w:pPr>
        <w:spacing w:after="0" w:line="18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Renata Caine</w:t>
      </w:r>
      <w:r>
        <w:rPr>
          <w:rFonts w:ascii="Arial" w:cs="Arial" w:eastAsia="Arial" w:hAnsi="Arial"/>
          <w:sz w:val="18"/>
          <w:szCs w:val="18"/>
          <w:color w:val="auto"/>
        </w:rPr>
        <w:t>. Ms. Caine has served as our Senior Vice President of International, Strategy, and Planning since January 2021. Ms. Caine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Vice President of Corporate Strategy and Planning from September 2019 to January 2021 and Head of International Strategy from December 2017 to August 2019. Prior to joining Marqeta, Ms. Caine held various roles at WEX Inc., a publicly traded global corporate payment solutions company, from May 2006 to December 2017, most recently as Vice President of Virtual Payments from June 2015 to December 2017. Ms. Caine holds a Bachelor of Arts in Psychology from the University of Minnesota.</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i w:val="1"/>
          <w:iCs w:val="1"/>
          <w:color w:val="auto"/>
        </w:rPr>
        <w:t>Amy Chang</w:t>
      </w:r>
      <w:r>
        <w:rPr>
          <w:rFonts w:ascii="Arial" w:cs="Arial" w:eastAsia="Arial" w:hAnsi="Arial"/>
          <w:sz w:val="16"/>
          <w:szCs w:val="16"/>
          <w:color w:val="auto"/>
        </w:rPr>
        <w:t>. Ms. Chang has served as a member of our board of directors since April 2021. She has served as Executive Advisor at Cisco Systems, Inc.,</w:t>
      </w:r>
      <w:r>
        <w:rPr>
          <w:rFonts w:ascii="Arial" w:cs="Arial" w:eastAsia="Arial" w:hAnsi="Arial"/>
          <w:sz w:val="16"/>
          <w:szCs w:val="16"/>
          <w:i w:val="1"/>
          <w:iCs w:val="1"/>
          <w:color w:val="auto"/>
        </w:rPr>
        <w:t xml:space="preserve"> </w:t>
      </w:r>
      <w:r>
        <w:rPr>
          <w:rFonts w:ascii="Arial" w:cs="Arial" w:eastAsia="Arial" w:hAnsi="Arial"/>
          <w:sz w:val="16"/>
          <w:szCs w:val="16"/>
          <w:color w:val="auto"/>
        </w:rPr>
        <w:t>a publicly traded networking technology company, since August 2020 and previously served as Executive Vice President and General Manager of Cisco Systems’ Collaboration Technology Group from May 2018 to July 2020. She is the founder and former Chief Executive Officer of Accompany, Inc., a relationship intelligence company, a position she held from May 2013 to May 2018. She previously held positions of increasing responsibility at Google, Inc., a multinational technology company, from July 2005 to November 2012, most recently serving as Global Head of Product, Google Ads Measurement and Reporting. Prior to joining Google, she held product management and strategy positions at eBay, Inc., a global commerce provider, and served as a consultant with McKinsey &amp; Company, a management consulting firm, where she specialized in semi-conductors, software, and services. Since April 2017, Ms. Chang has served as a board member of Procter &amp; Gamble Co., a publicly traded multi-national consumer goods company. Ms. Chang served on the board of directors of Cisco Systems from October 2016 to May 2018, Splunk, Inc., a publicly traded big data company, from March 2015 to March 2017, Informatica Corporation, a publicly traded software development company, from July 2012 to August 2015, when it was taken private, and was a member of Target Corporation’s Digital Advisory Council from May 2013 to February 2016. Ms. Chang holds a Master of Science in Electrical Engineering from Stanford University and a Bachelor of Science in Electrical Engineering from Stanford University.</w:t>
      </w:r>
    </w:p>
    <w:p>
      <w:pPr>
        <w:spacing w:after="0" w:line="16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Ms. Chang is qualified to serve as a member of our board of directors because of her extensive experience in leadership and online marketing and her previous board experience.</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Martha Cummings</w:t>
      </w:r>
      <w:r>
        <w:rPr>
          <w:rFonts w:ascii="Arial" w:cs="Arial" w:eastAsia="Arial" w:hAnsi="Arial"/>
          <w:sz w:val="17"/>
          <w:szCs w:val="17"/>
          <w:color w:val="auto"/>
        </w:rPr>
        <w:t>. Ms. Cummings has served as a member of our board of directors since January 2021. From July 2018 to March 2020,</w:t>
      </w:r>
      <w:r>
        <w:rPr>
          <w:rFonts w:ascii="Arial" w:cs="Arial" w:eastAsia="Arial" w:hAnsi="Arial"/>
          <w:sz w:val="17"/>
          <w:szCs w:val="17"/>
          <w:i w:val="1"/>
          <w:iCs w:val="1"/>
          <w:color w:val="auto"/>
        </w:rPr>
        <w:t xml:space="preserve"> </w:t>
      </w:r>
      <w:r>
        <w:rPr>
          <w:rFonts w:ascii="Arial" w:cs="Arial" w:eastAsia="Arial" w:hAnsi="Arial"/>
          <w:sz w:val="17"/>
          <w:szCs w:val="17"/>
          <w:color w:val="auto"/>
        </w:rPr>
        <w:t>Ms. Cummings served as Executive Vice President, Head of Compliance Strategy &amp; Operations at Wells Fargo Bank N.A., a publicly traded global financial services company. Previously, from October 2012 to June 2018, Ms. Cummings served as Senior Vice President and Senior Supervisory Officer at the Federal Reserve Bank of New York. Ms. Cummings served in several roles with Banco Santander, S.A., a publicly traded multinational financial services company, between October 2006 and September 2012, including Managing Director, Head of North America Financial Sponsors and Managing Director, Chief Risk Officer for Banco Santander S.A., New York Branch, and was Senior Vice President, Latin America Capital Markets Risk from September 1997 to April 2001. Ms. Cummings holds a Master of Business Administration from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Wharton School of Business and a Master of Arts in International Studies from the Lauder Institute of the University of Pennsylvania, and a Bachelor of Arts in Economics from the University of Minnesota.</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Cummings is qualified to serve as a member of our board of directors because of her experience in management and her knowledge of the global financial services industry.</w:t>
      </w:r>
    </w:p>
    <w:p>
      <w:pPr>
        <w:spacing w:after="0" w:line="170"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i w:val="1"/>
          <w:iCs w:val="1"/>
          <w:color w:val="auto"/>
        </w:rPr>
        <w:t>Gerri Elliott</w:t>
      </w:r>
      <w:r>
        <w:rPr>
          <w:rFonts w:ascii="Arial" w:cs="Arial" w:eastAsia="Arial" w:hAnsi="Arial"/>
          <w:sz w:val="16"/>
          <w:szCs w:val="16"/>
          <w:color w:val="auto"/>
        </w:rPr>
        <w:t>. Ms. Elliott has served as a member of our board of directors since April 2021. She has served as Executive Vice President and Chief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Marketing Officer at Cisco Systems, Inc., a publicly traded networking technology company, since April 2018. From July 2009 to March 2014, Ms. Elliott held positions of increasing responsibility at Juniper Networks, Inc., a publicly traded networking company, most recently serving as Executive Vice President, Strategic Advisor and Chief Customer Officer. Before joining Juniper Networks, Ms. Elliott held a series of senior executive positions at Microsoft Corporation, a publicly traded technology company, from September 2001 to December 2008, including as Corporate Vice President, Worldwide Public Sector. Prior to Microsoft, Ms. Elliott spent 22 years at International Business Machines Corporation, a publicly traded technology and consulting company, where she held executive and management positions in North America and Asia Pacific in sales, services, consulting, strategy development, and product management. Ms. Elliott has served on the board of directors of Whirlpool Corporation, a publicly traded home appliances company, since February 2014. Ms. Elliott was previously a director of Marvell Technology Group Ltd., a publicly traded data infrastructure company, from July 2017 to July 2018, Mimecast Limited, a publicly traded cloud services company, from November 2017 to April 2018, Imperva, Inc., a cybersecurity company that was publicly traded until its acquisition by Thoma Bravo in 2019, from August 2015 to May 2018, and Bed Bath &amp; Beyond, Inc., a publicly traded merchandise retailer, from February 2014 to July 2017. Ms. Elliott is the founder of Broadroom.com, a website dedicated to executive women who serve or want to serve on corporate boards. Ms. Elliott holds a Bachelor of Arts in Political Science from New York University.</w:t>
      </w:r>
    </w:p>
    <w:p>
      <w:pPr>
        <w:spacing w:after="0" w:line="1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Elliott is qualified to serve as a member of our board of directors because of her extensive experience in executive leadership and experience as a board member of several public companies.</w:t>
      </w:r>
    </w:p>
    <w:p>
      <w:pPr>
        <w:spacing w:after="0" w:line="1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i w:val="1"/>
          <w:iCs w:val="1"/>
          <w:color w:val="auto"/>
        </w:rPr>
        <w:t>Helen Riley</w:t>
      </w:r>
      <w:r>
        <w:rPr>
          <w:rFonts w:ascii="Arial" w:cs="Arial" w:eastAsia="Arial" w:hAnsi="Arial"/>
          <w:sz w:val="16"/>
          <w:szCs w:val="16"/>
          <w:color w:val="auto"/>
        </w:rPr>
        <w:t>. Ms. Riley has served as a member of our board of directors since May 2020. Since June 2015, Ms. Riley has served as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at X Development LLC, a research and development company and subsidiary of Alphabet, Inc., a publicly traded internet-related services and products company. From 2011 to 2015, Ms. Riley was the Senior Finance Director of Global Marketing and Global General Administration at Google LLC, a multinational technology company and subsidiary of Alphabet, Inc. Ms. Riley held various other positions in finance at Google from 2003 to 2011. Ms. Riley currently serves on the board of directors of Eventbrite Inc., a publicly traded global service ticketing platform. She also serves on the board of directors of WildAid, a wildlife conservation non-profit organization. Ms. Riley holds a Master of Business Administration from the Harvard Business School and a Bachelor of Arts in Philosophy, Politics and Economics and a Master of Arts from the University of Oxford.</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Riley is qualified to serve as a member of our board of directors because of her experience in management, knowledge of the global financial services industry, and experience as a board member of a public company.</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Arnon Dinur</w:t>
      </w:r>
      <w:r>
        <w:rPr>
          <w:rFonts w:ascii="Arial" w:cs="Arial" w:eastAsia="Arial" w:hAnsi="Arial"/>
          <w:sz w:val="17"/>
          <w:szCs w:val="17"/>
          <w:color w:val="auto"/>
        </w:rPr>
        <w:t>. Mr. Dinur has served as a member of our board of directors since September 2013. Since June 2009, Mr. Dinur has served as a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83North, a venture capital firm. Previously, from November 2006 to June 2009, Mr. Dinur led mobile strategy at SanDisk Corporation, a publicly traded Flash memory card company, as Senior Vice President after joining SanDisk Corporation in connection with the acquisition of Msystems Ltd, in 2006. From July 2002 to November 2006, Mr. Dinur served in several roles, including Senior Vice President of Strategy and M&amp;A and Corporate Vice President and General Manager of the DiskOnKey division, at Msystems, a producer of flash memory storage products. Mr. Dinur currently serves on the board of directors of a number of privately held companies. Mr. Dinur holds a Master of Business Administration from the University of Texas at Austin and a Bachelor of Laws and a Bachelor of Arts in Accounting from Tel Aviv University.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Dinur is qualified to serve as a member of our board of directors because of his experience as a seasoned venture capital investor, his experience as a current and former director of many companies and his knowledge of the industry that we operate in.</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Judson Linville</w:t>
      </w:r>
      <w:r>
        <w:rPr>
          <w:rFonts w:ascii="Arial" w:cs="Arial" w:eastAsia="Arial" w:hAnsi="Arial"/>
          <w:sz w:val="17"/>
          <w:szCs w:val="17"/>
          <w:color w:val="auto"/>
        </w:rPr>
        <w:t>. Mr. Linville has served as a member of our board of directors since May 2020. Since October 2019, Mr. Linville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Advisor at General Atlantic LLC, a global growth equity firm. He previously served as the Chief Executive Officer of Global Cards and Consumer Services at Citigroup Inc., a publicly traded global financial services institution, from November 2010 to September 2018. Prior to joining Citigroup, Mr. Linville served in various leadership roles at American Express Company, a publicly traded multinational financial services corporation, from October 1989 to October 2010, including as President and Chief Executive Officer of Consumer Services, President of the U.S. Consumer Card Services Group and President of Corporate Services. Mr. Linville currently serves as a member of the Board of Visitors of Duke University’s Fuqua School of Business and as a member of the Board of Trustees of Lafayette College. Mr. Linville holds a Doctor of Psychology in Clinical Psychology from the College of Medicine at Drexel University and a Bachelor of Arts in Psychology from Lafayette College.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believe that Mr. Linville is qualified to serve as a member of our board of directors because of his extensive business experience in the financial industry, his experience in management and his knowledge of the industry that we operate in.</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Christopher McKay</w:t>
      </w:r>
      <w:r>
        <w:rPr>
          <w:rFonts w:ascii="Arial" w:cs="Arial" w:eastAsia="Arial" w:hAnsi="Arial"/>
          <w:sz w:val="18"/>
          <w:szCs w:val="18"/>
          <w:color w:val="auto"/>
        </w:rPr>
        <w:t>. Mr. McKay has served as a member of our board of directors since June 2011. Mr. McKay is a Managing Director of Granite</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he joined at its inception in September 1998. Prior to Granite Ventures, Mr. McKay worked as an Associate in the venture capital group at Hambrecht &amp; Quist, an investment bank. Mr. McKay currently serves on the board of directors of a number of privately held software companies. Mr. McKay holds a Bachelor of Arts in English Literature from the University of Virginia.</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McKay is qualified to serve as a member of our board of directors because of his extensive experience in the venture capital industry and as a board member of privately held technology companies and his knowledge of software and financial technology.</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our board of directors will adopt a code of conduct that will apply to all of our employees, officers and directors, including our Chief Executive Officer, Chief Financial Officer and other executive and senior financial officers. Upon the completion of this offering, we will post the full text of our code of conduct on our website. We intend to disclose any amendments to our code of conduct, or waivers of its requirements, on our website or in filings under the Exchange Act.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w:t>
      </w:r>
    </w:p>
    <w:p>
      <w:pPr>
        <w:jc w:val="both"/>
        <w:ind w:left="120"/>
        <w:spacing w:after="0" w:line="260" w:lineRule="auto"/>
        <w:rPr>
          <w:sz w:val="20"/>
          <w:szCs w:val="20"/>
          <w:color w:val="auto"/>
        </w:rPr>
      </w:pPr>
      <w:r>
        <w:rPr>
          <w:rFonts w:ascii="Arial" w:cs="Arial" w:eastAsia="Arial" w:hAnsi="Arial"/>
          <w:sz w:val="18"/>
          <w:szCs w:val="18"/>
          <w:color w:val="auto"/>
        </w:rPr>
        <w:t>prior to the completion of this offering. Our board of directors consists of directors, of whom will qualify as “independent” under Nasdaq listing standards.</w:t>
      </w:r>
    </w:p>
    <w:p>
      <w:pPr>
        <w:spacing w:after="0" w:line="18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stockholders, with the other classes continuing for the remainder of their respective three-year terms. Our directors will be divided among the three classes as follows:</w:t>
      </w:r>
    </w:p>
    <w:p>
      <w:pPr>
        <w:sectPr>
          <w:pgSz w:w="11900" w:h="16838" w:orient="portrait"/>
          <w:cols w:equalWidth="0" w:num="1">
            <w:col w:w="11140"/>
          </w:cols>
          <w:pgMar w:left="320" w:top="459" w:right="439" w:bottom="1440" w:gutter="0" w:footer="0" w:header="0"/>
        </w:sectPr>
      </w:pPr>
    </w:p>
    <w:p>
      <w:pPr>
        <w:spacing w:after="0" w:line="76"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 directors will be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2022;</w:t>
      </w:r>
    </w:p>
    <w:p>
      <w:pPr>
        <w:spacing w:after="0" w:line="153" w:lineRule="exact"/>
        <w:rPr>
          <w:sz w:val="20"/>
          <w:szCs w:val="20"/>
          <w:color w:val="auto"/>
        </w:rPr>
      </w:pPr>
    </w:p>
    <w:p>
      <w:pPr>
        <w:sectPr>
          <w:pgSz w:w="11900" w:h="16838" w:orient="portrait"/>
          <w:cols w:equalWidth="0" w:num="4">
            <w:col w:w="2840" w:space="540"/>
            <w:col w:w="60" w:space="540"/>
            <w:col w:w="260" w:space="540"/>
            <w:col w:w="6360"/>
          </w:cols>
          <w:pgMar w:left="320" w:top="459" w:right="439" w:bottom="1440" w:gutter="0" w:footer="0" w:header="0"/>
          <w:type w:val="continuous"/>
        </w:sect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 directors will be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2023;</w:t>
      </w:r>
    </w:p>
    <w:p>
      <w:pPr>
        <w:spacing w:after="0" w:line="45" w:lineRule="exact"/>
        <w:rPr>
          <w:sz w:val="20"/>
          <w:szCs w:val="20"/>
          <w:color w:val="auto"/>
        </w:rPr>
      </w:pPr>
    </w:p>
    <w:p>
      <w:pPr>
        <w:sectPr>
          <w:pgSz w:w="11900" w:h="16838" w:orient="portrait"/>
          <w:cols w:equalWidth="0" w:num="4">
            <w:col w:w="2920" w:space="580"/>
            <w:col w:w="40" w:space="580"/>
            <w:col w:w="260" w:space="580"/>
            <w:col w:w="6180"/>
          </w:cols>
          <w:pgMar w:left="320" w:top="459" w:right="4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and</w:t>
      </w:r>
    </w:p>
    <w:p>
      <w:pPr>
        <w:sectPr>
          <w:pgSz w:w="11900" w:h="16838" w:orient="portrait"/>
          <w:cols w:equalWidth="0" w:num="1">
            <w:col w:w="11140"/>
          </w:cols>
          <w:pgMar w:left="320" w:top="459" w:right="439" w:bottom="1440" w:gutter="0" w:footer="0" w:header="0"/>
          <w:type w:val="continuous"/>
        </w:sectPr>
      </w:pPr>
    </w:p>
    <w:p>
      <w:pPr>
        <w:spacing w:after="0" w:line="151"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III directors will be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2024.</w:t>
      </w:r>
    </w:p>
    <w:p>
      <w:pPr>
        <w:spacing w:after="0" w:line="222" w:lineRule="exact"/>
        <w:rPr>
          <w:sz w:val="20"/>
          <w:szCs w:val="20"/>
          <w:color w:val="auto"/>
        </w:rPr>
      </w:pPr>
    </w:p>
    <w:p>
      <w:pPr>
        <w:sectPr>
          <w:pgSz w:w="11900" w:h="16838" w:orient="portrait"/>
          <w:cols w:equalWidth="0" w:num="4">
            <w:col w:w="2960" w:space="540"/>
            <w:col w:w="60" w:space="540"/>
            <w:col w:w="260" w:space="520"/>
            <w:col w:w="6260"/>
          </w:cols>
          <w:pgMar w:left="320" w:top="459" w:right="439" w:bottom="1440" w:gutter="0" w:footer="0" w:header="0"/>
          <w:type w:val="continuous"/>
        </w:sectPr>
      </w:pPr>
    </w:p>
    <w:p>
      <w:pPr>
        <w:spacing w:after="0" w:line="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w:t>
      </w:r>
    </w:p>
    <w:p>
      <w:pPr>
        <w:spacing w:after="0" w:line="46"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her background, employment, and affiliations, our board of directors has determined that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Our board of directors will adopt, effective upon the completion of this offering, corporate governance guidelines that provide that one of our independent directors will serve as our lead independent director. Our board of directors intends to appoint Judson Linville to serve as our lead independent director. As lead independent director, Mr. Linville will preside over periodic meetings of our independent directors, serve as a liaison between the Chairperson of our board of directors and the independent directors, and perform such additional duties as our board of directors may otherwise determine and delegate.</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left="120" w:firstLine="551"/>
        <w:spacing w:after="0" w:line="311" w:lineRule="auto"/>
        <w:rPr>
          <w:sz w:val="20"/>
          <w:szCs w:val="20"/>
          <w:color w:val="auto"/>
        </w:rPr>
      </w:pPr>
      <w:r>
        <w:rPr>
          <w:rFonts w:ascii="Arial" w:cs="Arial" w:eastAsia="Arial" w:hAnsi="Arial"/>
          <w:sz w:val="16"/>
          <w:szCs w:val="16"/>
          <w:color w:val="auto"/>
        </w:rPr>
        <w:t>Our board of directors has established or will establish, effective prior to the completion of this offering,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tabs>
          <w:tab w:leader="none" w:pos="7680" w:val="left"/>
          <w:tab w:leader="none" w:pos="9020" w:val="left"/>
        </w:tabs>
        <w:rPr>
          <w:sz w:val="20"/>
          <w:szCs w:val="20"/>
          <w:color w:val="auto"/>
        </w:rPr>
      </w:pPr>
      <w:r>
        <w:rPr>
          <w:rFonts w:ascii="Arial" w:cs="Arial" w:eastAsia="Arial" w:hAnsi="Arial"/>
          <w:sz w:val="18"/>
          <w:szCs w:val="18"/>
          <w:color w:val="auto"/>
        </w:rPr>
        <w:t>Immediately following the completion of this offering, our audit committee will consist of</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Chairperson. The</w:t>
      </w:r>
    </w:p>
    <w:p>
      <w:pPr>
        <w:spacing w:after="0" w:line="23"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composition of our audit committee meets the requirements for independence under current Nasdaq listing standards and SEC rules and regulations. Each member of our audit committee meets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financial literacy requirements of Nasdaq listing standards. In addition, our board of directors has determined that is an audit committee financial expert within the meaning of Item 407(d) of Regulation S-K under the Securities Act. Our audit committee will, among other things:</w:t>
      </w:r>
    </w:p>
    <w:p>
      <w:pPr>
        <w:spacing w:after="0" w:line="52"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our financial statements and our critical accounting policies and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the adequacy of our internal controls;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related-party transactions;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pre-approve all audit and all permissible non-audit services to be performed by the independent registered public accounting firm; and</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 the performance of our internal audit function when established.</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rules of the SEC and the listing standards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tabs>
          <w:tab w:leader="none" w:pos="7960" w:val="left"/>
          <w:tab w:leader="none" w:pos="9080" w:val="left"/>
        </w:tabs>
        <w:rPr>
          <w:sz w:val="20"/>
          <w:szCs w:val="20"/>
          <w:color w:val="auto"/>
        </w:rPr>
      </w:pPr>
      <w:r>
        <w:rPr>
          <w:rFonts w:ascii="Arial" w:cs="Arial" w:eastAsia="Arial" w:hAnsi="Arial"/>
          <w:sz w:val="18"/>
          <w:szCs w:val="18"/>
          <w:color w:val="auto"/>
        </w:rPr>
        <w:t>Immediately following the completion of this offering, our compensation committee will consist of</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Chairperson. The</w:t>
      </w:r>
    </w:p>
    <w:p>
      <w:pPr>
        <w:spacing w:after="0" w:line="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will, among other things:</w:t>
      </w:r>
    </w:p>
    <w:p>
      <w:pPr>
        <w:spacing w:after="0" w:line="98"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approve and determine, or make recommendations to our board of directors regarding, the compensation of our executive officers;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and approve, or make recommendation to our board of directors regarding, incentive compensation and equity plans;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rules of the SEC and the listing standards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spacing w:after="0"/>
        <w:tabs>
          <w:tab w:leader="none" w:pos="9540" w:val="left"/>
          <w:tab w:leader="none" w:pos="10580" w:val="left"/>
        </w:tabs>
        <w:rPr>
          <w:sz w:val="20"/>
          <w:szCs w:val="20"/>
          <w:color w:val="auto"/>
        </w:rPr>
      </w:pPr>
      <w:r>
        <w:rPr>
          <w:rFonts w:ascii="Arial" w:cs="Arial" w:eastAsia="Arial" w:hAnsi="Arial"/>
          <w:sz w:val="18"/>
          <w:szCs w:val="18"/>
          <w:color w:val="auto"/>
        </w:rPr>
        <w:t>Immediately following the completion of this offering, our nominating and corporate governance committee will consist of</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w:t>
      </w:r>
    </w:p>
    <w:p>
      <w:pPr>
        <w:spacing w:after="0" w:line="23" w:lineRule="exact"/>
        <w:rPr>
          <w:sz w:val="20"/>
          <w:szCs w:val="20"/>
          <w:color w:val="auto"/>
        </w:rPr>
      </w:pPr>
    </w:p>
    <w:p>
      <w:pPr>
        <w:ind w:left="120" w:right="20"/>
        <w:spacing w:after="0" w:line="290" w:lineRule="auto"/>
        <w:rPr>
          <w:sz w:val="20"/>
          <w:szCs w:val="20"/>
          <w:color w:val="auto"/>
        </w:rPr>
      </w:pPr>
      <w:r>
        <w:rPr>
          <w:rFonts w:ascii="Arial" w:cs="Arial" w:eastAsia="Arial" w:hAnsi="Arial"/>
          <w:sz w:val="17"/>
          <w:szCs w:val="17"/>
          <w:color w:val="auto"/>
        </w:rPr>
        <w:t>as Chairperson. The composition of our nominating and corporate governance committee meets the requirements for independence under Nasdaq listing standards and SEC rules and regulations. Our nominating and corporate governance committee will, among other things:</w:t>
      </w:r>
    </w:p>
    <w:p>
      <w:pPr>
        <w:spacing w:after="0" w:line="67" w:lineRule="exact"/>
        <w:rPr>
          <w:sz w:val="20"/>
          <w:szCs w:val="20"/>
          <w:color w:val="auto"/>
        </w:rPr>
      </w:pPr>
    </w:p>
    <w:p>
      <w:pPr>
        <w:ind w:left="880" w:right="20" w:hanging="224"/>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nominating and corporate governance committee will operate under a written charter, to be effective prior to the completion of this offering, that satisfies the applicable listing requirements and rules of Nasdaq.</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Role of Board of Directors in Risk Oversight Process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 involving members of our compensation committee or their affiliates.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than as set forth in the table and described more fully below, we did not provide any compensation or make any equity awards or non-equity awards to any person who served as a non-employee member of our board of directors during 2020. During 2020, Jason Gardner, our Chief Executive Officer, and Omri Dahan, our former Chief Revenue Officer, served as members of our board of directors as well as employees, and received no additional compensation for their services as a member of our board of directors. Mr. Dahan’s service as a member of our board terminated in November 2020. See the section titled “Executive Compensation” for more information about Mr. Gardner and Mr. Dahan’s compensation for 2020. We reimburse all reasonable out-of-pocket expenses incurred by directors for their attendance at meetings of our board of directors or any committee thereof.</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12"/>
                <w:szCs w:val="12"/>
                <w:b w:val="1"/>
                <w:bCs w:val="1"/>
                <w:color w:val="auto"/>
                <w:w w:val="90"/>
              </w:rPr>
              <w:t>(1)</w:t>
            </w:r>
          </w:p>
        </w:tc>
        <w:tc>
          <w:tcPr>
            <w:tcW w:w="766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(2)(3)</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w:t>
            </w:r>
          </w:p>
        </w:tc>
      </w:tr>
      <w:tr>
        <w:trPr>
          <w:trHeight w:val="203"/>
        </w:trPr>
        <w:tc>
          <w:tcPr>
            <w:tcW w:w="8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McKay, Arnon Dinur, and Stefan Tirtey</w:t>
            </w:r>
            <w:r>
              <w:rPr>
                <w:rFonts w:ascii="Arial" w:cs="Arial" w:eastAsia="Arial" w:hAnsi="Arial"/>
                <w:sz w:val="15"/>
                <w:szCs w:val="15"/>
                <w:color w:val="auto"/>
              </w:rPr>
              <w:t>(4)</w:t>
            </w:r>
          </w:p>
        </w:tc>
        <w:tc>
          <w:tcPr>
            <w:tcW w:w="14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(5)</w:t>
            </w: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1,344,000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1,344,000</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(6)</w:t>
            </w: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Except as set forth below, none of our directors held options to purchase our common stock or any other stock awards as of December 31, 2020.</w:t>
      </w:r>
    </w:p>
    <w:p>
      <w:pPr>
        <w:spacing w:after="0" w:line="22" w:lineRule="exact"/>
        <w:rPr>
          <w:rFonts w:ascii="Arial" w:cs="Arial" w:eastAsia="Arial" w:hAnsi="Arial"/>
          <w:sz w:val="16"/>
          <w:szCs w:val="16"/>
          <w:color w:val="auto"/>
        </w:rPr>
      </w:pPr>
    </w:p>
    <w:p>
      <w:pPr>
        <w:ind w:left="660" w:right="20" w:hanging="544"/>
        <w:spacing w:after="0" w:line="288"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non-employee directors during fiscal year 2020, calculated in accordance with the Financial Accounting Standards Board, or FASB,</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7"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directors upon the exercise of the stock options or any sale of the underlying shares of Class B common stock.</w:t>
      </w:r>
    </w:p>
    <w:p>
      <w:pPr>
        <w:spacing w:after="0" w:line="1" w:lineRule="exact"/>
        <w:rPr>
          <w:sz w:val="20"/>
          <w:szCs w:val="20"/>
          <w:color w:val="auto"/>
        </w:rPr>
      </w:pPr>
    </w:p>
    <w:p>
      <w:pPr>
        <w:jc w:val="both"/>
        <w:ind w:left="660" w:hanging="544"/>
        <w:spacing w:after="0" w:line="264"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Ms. Riley and Mr. Linville received options to purchase 600,000 and 500,000 shares of our Class B common stock, respectively, which vest in four equal annual installments commencing on May 14, 2020, subject to the non-employee director’s continuous service on the board of directors of the company through each applicable vesting date. The shares underlying the options are immediately exercisable. In the event of a Corporate Transaction (as defined in the 2011 Plan), the shares subject to the stock options shall accelerate and become fully vested as of the date of such Corporate Transaction.</w:t>
      </w:r>
    </w:p>
    <w:p>
      <w:pPr>
        <w:ind w:left="660" w:hanging="544"/>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Tirtey resigned from our board of directors in February 2021.</w:t>
      </w:r>
    </w:p>
    <w:p>
      <w:pPr>
        <w:spacing w:after="0" w:line="18" w:lineRule="exact"/>
        <w:rPr>
          <w:rFonts w:ascii="Arial" w:cs="Arial" w:eastAsia="Arial" w:hAnsi="Arial"/>
          <w:sz w:val="16"/>
          <w:szCs w:val="16"/>
          <w:color w:val="auto"/>
        </w:rPr>
      </w:pPr>
    </w:p>
    <w:p>
      <w:pPr>
        <w:jc w:val="both"/>
        <w:ind w:left="660" w:right="20" w:hanging="544"/>
        <w:spacing w:after="0" w:line="264"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Ms. Riley joined our board of directors in May 2020. As of December 31, 2020, Ms. Riley held an outstanding option for 600,000 shares of our Class B common stock. Pursuant to the board of director agreement we entered into with Ms. Riley on May 12, 2020, in consideration for her service as a non-employee director, she was granted an option for our Class B common stock.</w:t>
      </w:r>
    </w:p>
    <w:p>
      <w:pPr>
        <w:jc w:val="both"/>
        <w:ind w:left="660" w:hanging="544"/>
        <w:spacing w:after="0" w:line="27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Linville joined our board of directors in May 2020. As of December 31, 2020, Mr. Linville held an outstanding option for 500,000 shares of our Class B common stock. Pursuant to the board of director agreement we entered into with Mr. Linville on May 12, 2020, in consideration for his service as a non-employee director, he was granted an option for our Class B common stock.</w:t>
      </w:r>
    </w:p>
    <w:p>
      <w:pPr>
        <w:spacing w:after="0" w:line="180"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 January 2021, Martha Cummings joined our board of directors and received an early exercisable stock option to purchase 300,000 shares of our Class B common stock, which shares vest in four equal annual installments beginning on the first anniversary of January 12, 2021, subject to her continued services to us on our board of directors. In April 2021, Amy Chang and Gerri Elliott also joined our board of directors and each received an early exercisable stock option grant to purchase 600,000 shares of our Class B common stock, which shares vest in four equal annual installments beginning on the first anniversary of April 7, 2021 and April 12, 2021, respectively, subject to their continued services to us on our board of directors. Additionally, in April 2021, Ms. Cummings and Mr. Linville received an early exercisable stock option grant to purchase 300,000 and 100,000 shares of our Class B common stock, respectively which shares vest in four equal annual installments beginning on the first anniversary of January 12, 2021 and May 4, 2020, respectively, subject to their continued services to us on our board of directors. In the event of a Corporate Transaction (as defined in the 2011 Plan), the shares subject to such stock options shall accelerate and become fully vested as of the date of such Corporate Transaction.</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Prior to this offering, we did not have a formal policy to compensate our non-employee directors and did not pay any cash compensation to any of our non-employee directors. Immediately prior to the completion of this offering, we intend to implement a formal policy pursuant to which our non-employee directors will be eligible to receive the following cash retainers and equity awards: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2260" w:type="dxa"/>
            <w:vAlign w:val="bottom"/>
            <w:shd w:val="clear" w:color="auto" w:fill="CCEEFF"/>
          </w:tcPr>
          <w:p>
            <w:pPr>
              <w:spacing w:after="0"/>
              <w:rPr>
                <w:sz w:val="18"/>
                <w:szCs w:val="18"/>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Annual service on the board of directors</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94"/>
        </w:trPr>
        <w:tc>
          <w:tcPr>
            <w:tcW w:w="876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Annual Retainer for Committee Membership</w:t>
            </w:r>
          </w:p>
        </w:tc>
        <w:tc>
          <w:tcPr>
            <w:tcW w:w="226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audit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audit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compensation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compensation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nominating and corporate governance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nominating and corporate governance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365"/>
        </w:trPr>
        <w:tc>
          <w:tcPr>
            <w:tcW w:w="8760" w:type="dxa"/>
            <w:vAlign w:val="bottom"/>
          </w:tcPr>
          <w:p>
            <w:pPr>
              <w:ind w:left="5360"/>
              <w:spacing w:after="0"/>
              <w:rPr>
                <w:sz w:val="20"/>
                <w:szCs w:val="20"/>
                <w:color w:val="auto"/>
              </w:rPr>
            </w:pPr>
            <w:r>
              <w:rPr>
                <w:rFonts w:ascii="Arial" w:cs="Arial" w:eastAsia="Arial" w:hAnsi="Arial"/>
                <w:sz w:val="18"/>
                <w:szCs w:val="18"/>
                <w:color w:val="auto"/>
              </w:rPr>
              <w:t>128</w:t>
            </w:r>
          </w:p>
        </w:tc>
        <w:tc>
          <w:tcPr>
            <w:tcW w:w="2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policy will provide that, upon initial election to our board of directors, each non-employee director will be granted , or the Initial Grant. Furthermore, on the date of each of our annual meetings of stockholders following the completion of this offering, each non-employee director who will</w:t>
      </w:r>
    </w:p>
    <w:p>
      <w:pPr>
        <w:ind w:left="120"/>
        <w:spacing w:after="0" w:line="255" w:lineRule="auto"/>
        <w:rPr>
          <w:sz w:val="20"/>
          <w:szCs w:val="20"/>
          <w:color w:val="auto"/>
        </w:rPr>
      </w:pPr>
      <w:r>
        <w:rPr>
          <w:rFonts w:ascii="Arial" w:cs="Arial" w:eastAsia="Arial" w:hAnsi="Arial"/>
          <w:sz w:val="18"/>
          <w:szCs w:val="18"/>
          <w:color w:val="auto"/>
        </w:rPr>
        <w:t>continue as a non-employee director following such meeting will be granted , or the Annual Grant. The Annual Grant will vest in full on the earlier of , subject to continued service as a director through the applicable vesting date. The Initial Grant will vest in , subject to continued service as a director through the applicable vesting date.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directors will receive no additional compensation for their service as a director.</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of directors or any committee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2020, or fiscal year 2020, and our next two most highly compensated executive officers in respect of their service to our company for fiscal year 2020. We refer to these individuals as our named executive officers. Our named executive officers for fiscal year 2020 are:</w:t>
      </w:r>
    </w:p>
    <w:p>
      <w:pPr>
        <w:spacing w:after="0" w:line="82"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Jason Gardner, our Chief Executive Officer;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Omri Dahan, our Chief Revenue Officer (resigned from such position in February 2021);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Kevin Doerr, our Chief Product Officer.</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we transition from a private company to a publicly traded company, we intend to evaluate our compensation philosophy and compensation plans and arrangements as circumstances require.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fiscal year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Salary</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Bonus</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2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56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5"/>
                <w:szCs w:val="15"/>
                <w:color w:val="auto"/>
              </w:rPr>
            </w:pPr>
          </w:p>
        </w:tc>
        <w:tc>
          <w:tcPr>
            <w:tcW w:w="880" w:type="dxa"/>
            <w:vAlign w:val="bottom"/>
          </w:tcPr>
          <w:p>
            <w:pPr>
              <w:jc w:val="right"/>
              <w:ind w:right="20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7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Gardner</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350,000</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9,778</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1,035,000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297,740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1,692,518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40" w:type="dxa"/>
            <w:vAlign w:val="bottom"/>
            <w:gridSpan w:val="2"/>
          </w:tcPr>
          <w:p>
            <w:pPr>
              <w:spacing w:after="0"/>
              <w:rPr>
                <w:sz w:val="20"/>
                <w:szCs w:val="20"/>
                <w:color w:val="auto"/>
              </w:rPr>
            </w:pPr>
            <w:r>
              <w:rPr>
                <w:rFonts w:ascii="Arial" w:cs="Arial" w:eastAsia="Arial" w:hAnsi="Arial"/>
                <w:sz w:val="18"/>
                <w:szCs w:val="18"/>
                <w:color w:val="auto"/>
              </w:rPr>
              <w:t>Omri Dahan</w:t>
            </w:r>
            <w:r>
              <w:rPr>
                <w:rFonts w:ascii="Arial" w:cs="Arial" w:eastAsia="Arial" w:hAnsi="Arial"/>
                <w:sz w:val="15"/>
                <w:szCs w:val="15"/>
                <w:color w:val="auto"/>
              </w:rPr>
              <w:t>(5)</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350,000</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14,668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931,500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397,391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8,550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1,702,109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Revenue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271,923</w:t>
            </w:r>
            <w:r>
              <w:rPr>
                <w:rFonts w:ascii="Arial" w:cs="Arial" w:eastAsia="Arial" w:hAnsi="Arial"/>
                <w:sz w:val="15"/>
                <w:szCs w:val="15"/>
                <w:color w:val="auto"/>
              </w:rPr>
              <w:t>(6)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7,582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2,538,000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230,850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3,052,333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Product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amounts reflect a discretionary bonus provided to the named executive officers in recognition of their services to us during fiscal year 2020.</w:t>
      </w:r>
    </w:p>
    <w:p>
      <w:pPr>
        <w:spacing w:after="0" w:line="22" w:lineRule="exact"/>
        <w:rPr>
          <w:rFonts w:ascii="Arial" w:cs="Arial" w:eastAsia="Arial" w:hAnsi="Arial"/>
          <w:sz w:val="16"/>
          <w:szCs w:val="16"/>
          <w:color w:val="auto"/>
        </w:rPr>
      </w:pPr>
    </w:p>
    <w:p>
      <w:pPr>
        <w:ind w:left="660" w:right="100" w:hanging="544"/>
        <w:spacing w:after="0" w:line="268"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named executive officers during our fiscal year ending December 31, 2020, or fiscal year 2020, calculated in accordance with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named executive officers upon the exercise of the stock options or any sale of the underlying shares of Class B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7" w:lineRule="exact"/>
        <w:rPr>
          <w:sz w:val="20"/>
          <w:szCs w:val="20"/>
          <w:color w:val="auto"/>
        </w:rPr>
      </w:pPr>
    </w:p>
    <w:p>
      <w:pPr>
        <w:ind w:left="660" w:hanging="544"/>
        <w:spacing w:after="0" w:line="26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amounts reported reflect bonuses paid to each of our named executive officers, as described more fully in the “Narratives to 2020 Summary Compensation Table” below.</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 reported represents a 401(k) matching contribution.</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Mr. Dahan resigned as our Chief Revenue Officer in February 2021.</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Mr. Doerr joined us in March 2020 and his salary reflects his compensation for his partial year of service.</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Narratives to 2020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fiscal year 2020, the annual base salary for each of Mr. Gardner, Mr. Dahan, and Mr. Doerr was $350,000.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During fiscal year 2020, our named executive officers were eligible to earn a cash bonus based upon achievement of both corporate and individual goals determined by the board of directors based on a target percentage of annual base salary. The bonus targets for Mr. Gardner, Mr. Dahan, and Mr. Doerr were 50%, 75%, and 50% of their respective base salaries. For fiscal year 2020, Mr. Doerr’s bonus was prorated to account for his partial year of employment starting in March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During fiscal year 2020, we granted stock options to purchase shares of our Class B common stock to Mr. Gardner, Mr. Dahan, and Mr. Doerr, as described in more detail in the “Outstanding Equity Awards at Fiscal 2020 Year End” table.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generally do not provide perquisites to our executives, other than 401(k) matching contributions that are provided to all of our employees, including our named executive officers.</w:t>
      </w: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Executive Employment Arrangements</w:t>
      </w:r>
    </w:p>
    <w:p>
      <w:pPr>
        <w:spacing w:after="0" w:line="229" w:lineRule="exact"/>
        <w:rPr>
          <w:sz w:val="20"/>
          <w:szCs w:val="20"/>
          <w:color w:val="auto"/>
        </w:rPr>
      </w:pPr>
    </w:p>
    <w:p>
      <w:pPr>
        <w:ind w:left="120" w:right="5020"/>
        <w:spacing w:after="0" w:line="375" w:lineRule="auto"/>
        <w:rPr>
          <w:sz w:val="20"/>
          <w:szCs w:val="20"/>
          <w:color w:val="auto"/>
        </w:rPr>
      </w:pPr>
      <w:r>
        <w:rPr>
          <w:rFonts w:ascii="Arial" w:cs="Arial" w:eastAsia="Arial" w:hAnsi="Arial"/>
          <w:sz w:val="18"/>
          <w:szCs w:val="18"/>
          <w:b w:val="1"/>
          <w:bCs w:val="1"/>
          <w:i w:val="1"/>
          <w:iCs w:val="1"/>
          <w:color w:val="auto"/>
        </w:rPr>
        <w:t xml:space="preserve">Offer Letters in Place During the Fiscal Year 2020 for Named Executive Officers </w:t>
      </w:r>
      <w:r>
        <w:rPr>
          <w:rFonts w:ascii="Arial" w:cs="Arial" w:eastAsia="Arial" w:hAnsi="Arial"/>
          <w:sz w:val="18"/>
          <w:szCs w:val="18"/>
          <w:i w:val="1"/>
          <w:iCs w:val="1"/>
          <w:color w:val="auto"/>
        </w:rPr>
        <w:t>Jason Gardner</w:t>
      </w:r>
    </w:p>
    <w:p>
      <w:pPr>
        <w:spacing w:after="0" w:line="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June 6, 2011, we entered into an employment offer letter with Mr. Gardner for the position of Chief Executive Officer. The offer letter provides for Mr. Gardner’s at-will employment and sets forth his initial base salary and eligibility to participate in our benefit plans. Mr. Gardner is subject to our proprietary information and inventions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Omri Dahan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June 9, 2011, we entered into an employment offer letter with Mr. Dahan for the position of Vice President of Business Development; Mr. Dahan subsequently served as our Chief Revenue Officer, a position he held until February 1, 2021. The offer letter provided for Mr. Dahan’s at-will employment and set forth his initial base salary, an initial stock option grant, and eligibility to participate in our benefit plans. Mr. Dahan was subject to our proprietary information and inventions agreement.</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March 2021, we entered into a separation agreement with Mr. Dahan whereby we mutually agreed that his employment with us as our Chief Revenue Officer ended on February 1, 2021, and that thereafter he would serve as a non-executive employee at his current annual salary and benefits until the first to occur of (i) April 1, 2021, or (ii) a certain project renewal by us (the Separation Date). In connection with the separation agreement, Mr. Dahan will receive (1) a one-time lump sum payment of $262,500; (2) accelerated vesting of his outstanding option awards equal to that number of shares that, absent his separation, were scheduled to become vested through April 1, 2021; and (3) continuation of health insurance under COBRA or Cal-COBRA for nine months following the Separation Date.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Kevin Doerr</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February 25, 2020, we entered into an employment offer letter with Mr. Doerr for the position of Chief Product Officer. The offer letter provides for Mr. Doerr’s at-will employment and sets forth his initial base salary, eligibility to receive an annual performance bonus targeted at 50% of his base salary, an initial stock option grant, and eligibility to participate in our benefit plans. Mr. Doerr is subject to our confidential information and inventions assignment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Awards to Certain Named Executive Officers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February 2021, our board of directors granted early exercisable stock options to Mr. Gardner and Mr. Doerr to purchase 1,209,639 and 251,462 shares of our Class B common stock, respectively, that vest based on continued services over four years. The options are subject to 100% accelerated vesting in the event the applicable named executive officer is terminated by us without cause or by the named executive officer with good reason, in either case within 3 months before or 12 months after a corporate transaction, as each term is defined in the applicable award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CEO Long-Term Performance Award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and May 2021, our board of directors granted stock options to Mr. Gardner, providing for a maximum of 19,740,923 shares 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of our Class B common stock, which we refer to collectively as the CEO Long-Term Performance Award. The CEO Long-Term Performance</w:t>
      </w:r>
    </w:p>
    <w:p>
      <w:pPr>
        <w:spacing w:after="0" w:line="3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Award has an exercise price of $21.49 and $ per share, respectively, which was the fair market value of our Class B common stock at the time of each grant as determined by our board of directors. The CEO Long-Term Performance Award vests over a period of up to seven years following the expiration of the lock-up period associated with this public offering with an option term of up to 10 years from the date of grant, subject to earlier termination, including if Mr. Gardner’s service ends or 18 months from the respective grant dates if a public offering of our common stock has not occurred by such time. The CEO Long-Term Performance Award vests subject to Mr. Gardner remaining our chief executive officer or executive chairman of our board of directors (the “Service Condition”) through the achievement of certain performance conditions, as described below.</w:t>
      </w:r>
    </w:p>
    <w:p>
      <w:pPr>
        <w:spacing w:after="0" w:line="16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board of directors, in consultation with Compensia, an independent compensation consultant, and upon the recommendation of the Compensation Committee, considered many factors in determining the CEO Long-Term Performance Award, including the size, terms and conditions of the award. The board of directors considered Mr. Gardner’s significant ownership percentage in the company obtained primarily in connection with his co-founding of the Company and the amount of his ownership interests that were unvested as of the date of the grant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its deliberations of this award. The board of directors reviewed market data for similarly situated executives at comparable companies with an emphasis on the ownership percentage and equity value of founder chief executive officers at the time of an initial public offering. The board was intent on establishing an award that would encourage long-term sustained stockholder value creation by including a long vesting schedule and performance-based vesting. Our board of directors believed it was important for the CEO Long-Term Performance Award to not simply vest based on the passage of time while Mr. Gardner provides services to us. Rather, the CEO Long-Term Performance Award will vest only if we achieve certain stock price goals, which if achieved, would allow our other stockholders to benefit from the increases in our stock price. The board of directors believe these stock price goals represent challenging hurdles and, if achieved, would result in a return to our stockholders in excess of market norms for comparable technology companies. The CEO Long-Term Performance Award is meant to support our transition to a public company while providing a meaningful incentive to Mr. Gardner with sustained long-term value creation for our stockholders, and minimize dilution if returns are lower than contemplated. The board of directors currently intends the CEO Long-Term Performance Award to be the exclusive equity award that Mr. Gardner receives for a period of seven years.</w:t>
      </w:r>
    </w:p>
    <w:p>
      <w:pPr>
        <w:spacing w:after="0" w:line="18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CEO Long-Term Performance Award has a performance period that commences upon the expiration of the lock-up period associated with an underwritten public offering of our Class A common stock and expires on the earlier of the 7-year anniversary of the date our initial public offering, a change in control of the company, or Mr. Gardner ceasing to meet the Service Condition. Shares subject to the award that have not vested by the end of the performance period will terminate and be forfeited for no consideration.</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CEO Long-Term Performance Award is divided into seven equal tranches. If an initial public offering of our Class A common stock is completed within 18 months of the date of grant, then the shares will be eligible to vest upon the achievement of certain “Company Stock Price Hurdles” during the performance period. Except as set forth below, 1/7th of the total number of option shares will vest and become exercisable for the applicable tranche in the table below, subject to Mr. Gardner satisfying the Service Condition through the vesting date: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w w:val="88"/>
              </w:rPr>
              <w:t>Tranche</w:t>
            </w:r>
          </w:p>
        </w:tc>
        <w:tc>
          <w:tcPr>
            <w:tcW w:w="716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1"/>
              </w:rPr>
              <w:t>Common Stock Price Hurdle</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320" w:type="dxa"/>
            <w:vAlign w:val="bottom"/>
            <w:vMerge w:val="restart"/>
          </w:tcPr>
          <w:p>
            <w:pPr>
              <w:ind w:left="3940"/>
              <w:spacing w:after="0"/>
              <w:rPr>
                <w:sz w:val="20"/>
                <w:szCs w:val="20"/>
                <w:color w:val="auto"/>
              </w:rPr>
            </w:pPr>
            <w:r>
              <w:rPr>
                <w:rFonts w:ascii="Arial" w:cs="Arial" w:eastAsia="Arial" w:hAnsi="Arial"/>
                <w:sz w:val="18"/>
                <w:szCs w:val="18"/>
                <w:color w:val="auto"/>
              </w:rPr>
              <w:t>2.5x</w:t>
            </w:r>
          </w:p>
        </w:tc>
        <w:tc>
          <w:tcPr>
            <w:tcW w:w="2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4320" w:type="dxa"/>
            <w:vAlign w:val="bottom"/>
            <w:vMerge w:val="continue"/>
          </w:tcPr>
          <w:p>
            <w:pPr>
              <w:spacing w:after="0"/>
              <w:rPr>
                <w:sz w:val="16"/>
                <w:szCs w:val="16"/>
                <w:color w:val="auto"/>
              </w:rPr>
            </w:pPr>
          </w:p>
        </w:tc>
        <w:tc>
          <w:tcPr>
            <w:tcW w:w="2840" w:type="dxa"/>
            <w:vAlign w:val="bottom"/>
            <w:gridSpan w:val="2"/>
          </w:tcPr>
          <w:p>
            <w:pPr>
              <w:spacing w:after="0" w:line="195" w:lineRule="exact"/>
              <w:rPr>
                <w:sz w:val="20"/>
                <w:szCs w:val="20"/>
                <w:color w:val="auto"/>
              </w:rPr>
            </w:pPr>
            <w:r>
              <w:rPr>
                <w:rFonts w:ascii="Arial" w:cs="Arial" w:eastAsia="Arial" w:hAnsi="Arial"/>
                <w:sz w:val="18"/>
                <w:szCs w:val="18"/>
                <w:color w:val="auto"/>
              </w:rPr>
              <w:t>Opening Price (“First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2</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0"/>
              </w:rPr>
              <w:t>1.7x First Price Target (“Second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1"/>
              </w:rPr>
              <w:t>1.7x Second Price Target (“Third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2"/>
              </w:rPr>
              <w:t>1.7x Third Price Target (“Fourth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7160" w:type="dxa"/>
            <w:vAlign w:val="bottom"/>
            <w:gridSpan w:val="3"/>
          </w:tcPr>
          <w:p>
            <w:pPr>
              <w:jc w:val="center"/>
              <w:ind w:left="3570"/>
              <w:spacing w:after="0"/>
              <w:rPr>
                <w:sz w:val="20"/>
                <w:szCs w:val="20"/>
                <w:color w:val="auto"/>
              </w:rPr>
            </w:pPr>
            <w:r>
              <w:rPr>
                <w:rFonts w:ascii="Arial" w:cs="Arial" w:eastAsia="Arial" w:hAnsi="Arial"/>
                <w:sz w:val="18"/>
                <w:szCs w:val="18"/>
                <w:color w:val="auto"/>
                <w:w w:val="92"/>
              </w:rPr>
              <w:t>1.7x Fourth Price Target (“Fifth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6</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2"/>
              </w:rPr>
              <w:t>1.7x Fifth Price Target (“Sixth Price Target”)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7</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1"/>
              </w:rPr>
              <w:t>1.7x Sixth Price Target (“Seventh Price Target”)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“Opening Price” means our initial public offering price set forth on the cover page of this prospectus. The Company Stock Price Hurdle will be achieved if the average closing price of a share of our Class A common stock during any 90 consecutive trading day period during the performance period equals or exceeds the “Company Stock Price Hurdle” set forth in the table above. There is no linear interpolation between hurdles. The Company Stock Price Hurdles and the number of associated shares that will vest will be adjusted to reflect any stock splits, stock dividends, combinations, reorganizations, reclassifications, or similar events.</w:t>
      </w:r>
    </w:p>
    <w:p>
      <w:pPr>
        <w:spacing w:after="0" w:line="188"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addition, the CEO Long-Term Performance Award has a restricted vesting period during the first four years following our initial public offering (the “Restricted Vesting Period”) such that Mr. Gardner is only eligible to vest in up to 20% of the shares of the CEO Long-Term Performance Award during each fiscal year during the Restricted Vesting Period. If multiple Company Stock Price Hurdles are met during such Restricted Vesting Period, the excess shares that would have vested in such fiscal year shall instead be eligible to vest on the first day of the next fiscal year subject to Mr. Gardner meeting the Service Condition through such date. This limitation shall not be applicable if there is a change in control during the Restricted Vesting Period.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the event of a change in control of the company, the per share acquisition price in such transaction will be used to determine whether any then-unachieved Company Stock Price Hurdles are achieved (with no linear interpolation between stock price hurdles).</w:t>
      </w:r>
    </w:p>
    <w:p>
      <w:pPr>
        <w:spacing w:after="0" w:line="1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estimated the grant date fair value of the CEO Long-Term Performance Award using a Monte Carlo simulation model that incorporated multiple stock price paths and probabilities that the Company Stock Price Hurdles are met. The weighted-average grant date fair value of the seven tranches of</w:t>
      </w:r>
    </w:p>
    <w:p>
      <w:pPr>
        <w:ind w:left="120"/>
        <w:spacing w:after="0"/>
        <w:tabs>
          <w:tab w:leader="none" w:pos="5300" w:val="left"/>
        </w:tabs>
        <w:rPr>
          <w:sz w:val="20"/>
          <w:szCs w:val="20"/>
          <w:color w:val="auto"/>
        </w:rPr>
      </w:pPr>
      <w:r>
        <w:rPr>
          <w:rFonts w:ascii="Arial" w:cs="Arial" w:eastAsia="Arial" w:hAnsi="Arial"/>
          <w:sz w:val="18"/>
          <w:szCs w:val="18"/>
          <w:color w:val="auto"/>
        </w:rPr>
        <w:t>the CEO Long-Term Performance Award was estimated to be $</w:t>
      </w:r>
      <w:r>
        <w:rPr>
          <w:sz w:val="20"/>
          <w:szCs w:val="20"/>
          <w:color w:val="auto"/>
        </w:rPr>
        <w:tab/>
      </w:r>
      <w:r>
        <w:rPr>
          <w:rFonts w:ascii="Arial" w:cs="Arial" w:eastAsia="Arial" w:hAnsi="Arial"/>
          <w:sz w:val="16"/>
          <w:szCs w:val="16"/>
          <w:color w:val="auto"/>
        </w:rPr>
        <w:t>per option share. We will recognize total share-based compensation expense of</w:t>
      </w:r>
    </w:p>
    <w:p>
      <w:pPr>
        <w:spacing w:after="0" w:line="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7"/>
          <w:szCs w:val="17"/>
          <w:color w:val="auto"/>
        </w:rPr>
        <w:t>approximately $ million over the requisite service period of each of the seven separate tranches, if Mr. Gardner meets the Service Condition, regardless of whether the Company Stock Price Hurdles are achieved. If the Company Stock Price Hurdles are met sooner than the derived service period, we will adjust our share-based compensation expense to reflect the cumulative expense associated with the vested award.</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Vesting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vMerge w:val="restart"/>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Jason Gardner</w:t>
            </w:r>
          </w:p>
        </w:tc>
        <w:tc>
          <w:tcPr>
            <w:tcW w:w="1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770,557</w:t>
            </w: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0.40</w:t>
            </w: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Omri Dahan</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726,210</w:t>
            </w:r>
          </w:p>
        </w:tc>
        <w:tc>
          <w:tcPr>
            <w:tcW w:w="360" w:type="dxa"/>
            <w:vAlign w:val="bottom"/>
          </w:tcPr>
          <w:p>
            <w:pPr>
              <w:spacing w:after="0"/>
              <w:rPr>
                <w:sz w:val="17"/>
                <w:szCs w:val="17"/>
                <w:color w:val="auto"/>
              </w:rPr>
            </w:pPr>
          </w:p>
        </w:tc>
        <w:tc>
          <w:tcPr>
            <w:tcW w:w="122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0.40</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6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3/23/2020</w:t>
            </w:r>
            <w:r>
              <w:rPr>
                <w:rFonts w:ascii="Arial" w:cs="Arial" w:eastAsia="Arial" w:hAnsi="Arial"/>
                <w:sz w:val="15"/>
                <w:szCs w:val="15"/>
                <w:color w:val="auto"/>
                <w:w w:val="92"/>
              </w:rPr>
              <w:t>(3)(4)</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right="20" w:hanging="544"/>
        <w:spacing w:after="0" w:line="26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as amended from time to time. Shares underlying each award granted under our 2011 Plan are shares of Class B common stock of the company. Each option is immediately exercisable unless as otherwise set forth below.</w:t>
      </w:r>
    </w:p>
    <w:p>
      <w:pPr>
        <w:spacing w:after="0" w:line="1" w:lineRule="exact"/>
        <w:rPr>
          <w:rFonts w:ascii="Arial" w:cs="Arial" w:eastAsia="Arial" w:hAnsi="Arial"/>
          <w:sz w:val="16"/>
          <w:szCs w:val="16"/>
          <w:color w:val="auto"/>
        </w:rPr>
      </w:pPr>
    </w:p>
    <w:p>
      <w:pPr>
        <w:ind w:left="660" w:right="20" w:hanging="544"/>
        <w:spacing w:after="0" w:line="26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1/48th of the shares subject to the stock option vest on a monthly basis following the vesting commencement date, subject to the named executive officer’s continuous service relationship with the company through each applicable vesting date.</w:t>
      </w:r>
    </w:p>
    <w:p>
      <w:pPr>
        <w:jc w:val="both"/>
        <w:ind w:left="660" w:right="20" w:hanging="544"/>
        <w:spacing w:after="0" w:line="26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named executive officer is terminated without Cause or resigns with Good Reason (as both such terms are defined in the applicable award agreement) in either case within 3 months before or 12 months after the consummation of a Corporate Transaction (as defined in the 2011 Plan), then, subject to delivering a fully executed and effective general release of claims, 100 percent of the then-unvested shares subject to the named executive officer’s option shall vest as of such termination date (or the Corporate Transaction, if later).</w:t>
      </w:r>
    </w:p>
    <w:p>
      <w:pPr>
        <w:jc w:val="both"/>
        <w:ind w:left="660" w:right="20" w:hanging="544"/>
        <w:spacing w:after="0" w:line="363" w:lineRule="auto"/>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25% of the shares subject to the stock option vest on the first anniversary of the vesting commencement date and the remaining 75% vest in 36 equal monthly installments thereafter, generally subject to the named executive officer’s continuous service relationship with the company through each applicable vesting date.</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Employee Benefits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17" w:lineRule="exact"/>
        <w:rPr>
          <w:sz w:val="20"/>
          <w:szCs w:val="20"/>
          <w:color w:val="auto"/>
        </w:rPr>
      </w:pPr>
    </w:p>
    <w:p>
      <w:pPr>
        <w:ind w:left="120"/>
        <w:spacing w:after="0"/>
        <w:tabs>
          <w:tab w:leader="none" w:pos="8180" w:val="left"/>
        </w:tabs>
        <w:rPr>
          <w:sz w:val="20"/>
          <w:szCs w:val="20"/>
          <w:color w:val="auto"/>
        </w:rPr>
      </w:pPr>
      <w:r>
        <w:rPr>
          <w:rFonts w:ascii="Arial" w:cs="Arial" w:eastAsia="Arial" w:hAnsi="Arial"/>
          <w:sz w:val="18"/>
          <w:szCs w:val="18"/>
          <w:color w:val="auto"/>
        </w:rPr>
        <w:t>Our 2021 Plan was adopted by our board of directors and subsequently approved by our stockholders in</w:t>
      </w:r>
      <w:r>
        <w:rPr>
          <w:sz w:val="20"/>
          <w:szCs w:val="20"/>
          <w:color w:val="auto"/>
        </w:rPr>
        <w:tab/>
      </w:r>
      <w:r>
        <w:rPr>
          <w:rFonts w:ascii="Arial" w:cs="Arial" w:eastAsia="Arial" w:hAnsi="Arial"/>
          <w:sz w:val="16"/>
          <w:szCs w:val="16"/>
          <w:color w:val="auto"/>
        </w:rPr>
        <w:t>, and became effective on the day before</w:t>
      </w:r>
    </w:p>
    <w:p>
      <w:pPr>
        <w:spacing w:after="0" w:line="23"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the date on which the registration statement of which this prospectus forms part was declared effective by the SEC. Our 2021 Plan will replace our 2011 Plan, as our board of</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directors is expected to determine not to make additional awards under our 2011 Plan following the completion of our initial public offering. However, our 2011 Plan will continue to govern outstanding equity awards granted thereunder. Our 2021 Plan will allow the compensation committee to make equity-based incentive awards to our officers, employees, directors, and other key persons, including consultants.</w:t>
      </w:r>
    </w:p>
    <w:p>
      <w:pPr>
        <w:spacing w:after="0" w:line="184"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We have initially reserved shares of our Class A common stock for the issuance of awards under our 2021 Plan. Our 2021</w:t>
      </w:r>
      <w:r>
        <w:rPr>
          <w:rFonts w:ascii="Arial" w:cs="Arial" w:eastAsia="Arial" w:hAnsi="Arial"/>
          <w:sz w:val="17"/>
          <w:szCs w:val="17"/>
          <w:i w:val="1"/>
          <w:iCs w:val="1"/>
          <w:color w:val="auto"/>
        </w:rPr>
        <w:t xml:space="preserve"> </w:t>
      </w:r>
      <w:r>
        <w:rPr>
          <w:rFonts w:ascii="Arial" w:cs="Arial" w:eastAsia="Arial" w:hAnsi="Arial"/>
          <w:sz w:val="17"/>
          <w:szCs w:val="17"/>
          <w:color w:val="auto"/>
        </w:rPr>
        <w:t>Plan will provide that the number of shares reserved and available for issuance under our 2021 Plan will automatically increase each January 1,</w:t>
      </w:r>
    </w:p>
    <w:p>
      <w:pPr>
        <w:jc w:val="both"/>
        <w:ind w:left="120"/>
        <w:spacing w:after="0" w:line="281" w:lineRule="auto"/>
        <w:rPr>
          <w:sz w:val="20"/>
          <w:szCs w:val="20"/>
          <w:color w:val="auto"/>
        </w:rPr>
      </w:pPr>
      <w:r>
        <w:rPr>
          <w:rFonts w:ascii="Arial" w:cs="Arial" w:eastAsia="Arial" w:hAnsi="Arial"/>
          <w:sz w:val="16"/>
          <w:szCs w:val="16"/>
          <w:color w:val="auto"/>
        </w:rPr>
        <w:t>beginning on January 1, 2022, by %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 The shares we issue under our 2021 Plan will be authorized but unissued shares or shares that we reacquire. The shares of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2021 Plan will be added back to the shares of Class A common stock available for issuance under our 2021 Plan (after being converted from Class B common stock into Class A common stock). The maximum number of shares of Class A common stock that may be</w:t>
      </w:r>
    </w:p>
    <w:p>
      <w:pPr>
        <w:spacing w:after="0" w:line="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issued as incentive stock options in any one calendar year period may not exceed , cumulatively increased on January 1, 2022 and on each January 1 thereafter by the lesser of % of the number of outstanding shares of Class A and Class B common stock as of the immediately preceding December 31, or shares of Class A common stock.</w:t>
      </w:r>
    </w:p>
    <w:p>
      <w:pPr>
        <w:spacing w:after="0" w:line="19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2021 Plan will be administered by our compensation committee. Our compensation committee will have full power to select,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among the individuals eligible for awards, the individuals to whom awards will be granted, to make any combination of awards to participants, and to determine the specific terms and conditions of each award, subject to the provisions of our 2021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8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participate in our 2021 Plan will be those employees, non-employee directors, and consultants, as selected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our compensation committee in its discretion.</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Our 2021 Plan will permit the granting of both options to purchase stock intended to qualify as incentive stock options under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and options that do not so qualify. The option exercise price of each option will be determined by our compensation committee but may not be less than 100% of the fair market value of our Class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Our compensation committee will be able to award stock appreciation rights subject to such conditions and restrictions as it</w:t>
      </w:r>
      <w:r>
        <w:rPr>
          <w:rFonts w:ascii="Arial" w:cs="Arial" w:eastAsia="Arial" w:hAnsi="Arial"/>
          <w:sz w:val="17"/>
          <w:szCs w:val="17"/>
          <w:i w:val="1"/>
          <w:iCs w:val="1"/>
          <w:color w:val="auto"/>
        </w:rPr>
        <w:t xml:space="preserve"> </w:t>
      </w:r>
      <w:r>
        <w:rPr>
          <w:rFonts w:ascii="Arial" w:cs="Arial" w:eastAsia="Arial" w:hAnsi="Arial"/>
          <w:sz w:val="17"/>
          <w:szCs w:val="17"/>
          <w:color w:val="auto"/>
        </w:rPr>
        <w:t>may determine. Stock appreciation rights entitle the recipient to shares of Class A common stock, or cash, equal to the value of the appreciation in our trading price over the exercise price. The exercise price may not be less than 100% of the fair market value of our Class A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Our compensation committee will be able to award restricted shares of Class A common stock and RSUs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subject to such conditions and restrictions as it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determine. These conditions and restrictions may include the achievement of certain performance goals and/or continued employment with us through a specified vesting period.</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Our compensation committee may grant shares of Class A common stock that are free from any restrictions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Our compensation committee will be able to grant dividend equivalent rights to participants that entitle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credits for dividends that would be paid if the recipient had held a specified number of shares of Class A common stock.</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w:t>
      </w:r>
      <w:r>
        <w:rPr>
          <w:rFonts w:ascii="Arial" w:cs="Arial" w:eastAsia="Arial" w:hAnsi="Arial"/>
          <w:sz w:val="18"/>
          <w:szCs w:val="18"/>
          <w:i w:val="1"/>
          <w:iCs w:val="1"/>
          <w:color w:val="auto"/>
        </w:rPr>
        <w:t xml:space="preserve">Based Awards. </w:t>
      </w:r>
      <w:r>
        <w:rPr>
          <w:rFonts w:ascii="Arial" w:cs="Arial" w:eastAsia="Arial" w:hAnsi="Arial"/>
          <w:sz w:val="18"/>
          <w:szCs w:val="18"/>
          <w:color w:val="auto"/>
        </w:rPr>
        <w:t>Our compensation committee will be able to grant cash bonuses under our 2021 Plan to participants, subject to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performance goals.</w:t>
      </w:r>
    </w:p>
    <w:p>
      <w:pPr>
        <w:spacing w:after="0" w:line="17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Our 2021 Plan will provide that upon the effectiveness of a “sale event,” as defined in our 2021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our 2021 Plan. To the extent that awards granted under our 2021 Plan are not assumed or continued or substituted by the successor entity, all unvested awards granted under our 2021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our 2021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w:t>
      </w:r>
    </w:p>
    <w:p>
      <w:pPr>
        <w:spacing w:after="0" w:line="17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will be able to amend or discontinue our 2021 Plan and our compensation committee will be able to amend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 outstanding awards for purposes of satisfying changes in law or any other lawful purpose, but no such action may adversely affect rights under an award without the holder’s consent. Certain amendments to our 2021 Plan will require the approval of our stockholders.</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awards may be granted under our 2021 Plan after the date that is 10 years from the date of stockholder approval of our 2021 Plan. No awards under our 2021 Plan have been made prior to the date 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Incentive Plan, as amended</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2011 Plan was adopted by our board of directors in February 2011, approved by our stockholders in June 2011, and was most recently amended by our board of directors in January 2021. Our 2011 Plan allows for the grant of incentive stock options, nonstatutory stock options, stock appreciation rights, restricted stock awards, RSUs, and other stock awards to employees, directors, and consultants. Following this offering, we will not grant any further awards under our 2011 Plan. All outstanding awards under the 2011 Plan will continue to be governed by their existing terms.</w:t>
      </w:r>
    </w:p>
    <w:p>
      <w:pPr>
        <w:spacing w:after="0" w:line="1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December 31, 2020, the number of shares of our Class B common stock reserved for issuance under the 2011 Plan was</w:t>
      </w:r>
      <w:r>
        <w:rPr>
          <w:rFonts w:ascii="Arial" w:cs="Arial" w:eastAsia="Arial" w:hAnsi="Arial"/>
          <w:sz w:val="18"/>
          <w:szCs w:val="18"/>
          <w:i w:val="1"/>
          <w:iCs w:val="1"/>
          <w:color w:val="auto"/>
        </w:rPr>
        <w:t xml:space="preserve"> </w:t>
      </w:r>
      <w:r>
        <w:rPr>
          <w:rFonts w:ascii="Arial" w:cs="Arial" w:eastAsia="Arial" w:hAnsi="Arial"/>
          <w:sz w:val="18"/>
          <w:szCs w:val="18"/>
          <w:color w:val="auto"/>
        </w:rPr>
        <w:t>100,993,447 shares of Class B common stock. This number is subject to adjustment in the event of a stock split, stock dividend, or other change in our capitalization. Shares under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awards that are forfeited back to the company because of the failure to meet a contingency or condition required to vest such shares, any shares paid to the company under a “net-exercise” arrangement, and any shares withheld in satisfaction of taxes shall revert to and again become available for issuance under the 2011 Plan. Following this offering, such shares will be added to the shares of Class A common stock available for issuance under our 2021 Plan.</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2011 Plan is currently administered by our board of directors. The plan administrator has the authority to interpret and administer</w:t>
      </w:r>
      <w:r>
        <w:rPr>
          <w:rFonts w:ascii="Arial" w:cs="Arial" w:eastAsia="Arial" w:hAnsi="Arial"/>
          <w:sz w:val="16"/>
          <w:szCs w:val="16"/>
          <w:i w:val="1"/>
          <w:iCs w:val="1"/>
          <w:color w:val="auto"/>
        </w:rPr>
        <w:t xml:space="preserve"> </w:t>
      </w:r>
      <w:r>
        <w:rPr>
          <w:rFonts w:ascii="Arial" w:cs="Arial" w:eastAsia="Arial" w:hAnsi="Arial"/>
          <w:sz w:val="16"/>
          <w:szCs w:val="16"/>
          <w:color w:val="auto"/>
        </w:rPr>
        <w:t>our 2011 Plan and any agreement thereunder, and to determine the terms of awards, including the recipients, the number of shares subject to each award, the exercise, purchase or strike price, if any, the vesting schedule applicable to the awards together with any vesting acceleration, and the terms of the award agreement for use under our 2011 Plan. The plan administrator may also reduce the exercise price of any outstanding options, cancel and substitute any outstanding option, or any other general repricing with the consent of any adversely affected option holder.</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2011 Plan are our full or part-time employees, directors, and consultants as selected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in its discretion.</w:t>
      </w:r>
    </w:p>
    <w:p>
      <w:pPr>
        <w:spacing w:after="0" w:line="170"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2011 Plan permits the granting of both options to purchase Class B common stock intended to qualify as incentive stock options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options that do not so qualify. The option exercise price of each option or, alternatively, the method for establishing an option’s exercise price is determined by our board of directors on the date such option is granted. The term of each option is fixed by our board of directors and may not exceed 10 years from the date of grant. Our board of directors determines at what time or times each option may be exercised.</w:t>
      </w:r>
    </w:p>
    <w:p>
      <w:pPr>
        <w:spacing w:after="0" w:line="157" w:lineRule="exact"/>
        <w:rPr>
          <w:sz w:val="20"/>
          <w:szCs w:val="20"/>
          <w:color w:val="auto"/>
        </w:rPr>
      </w:pPr>
    </w:p>
    <w:p>
      <w:pPr>
        <w:ind w:left="120"/>
        <w:spacing w:after="0"/>
        <w:tabs>
          <w:tab w:leader="none" w:pos="2200" w:val="left"/>
        </w:tabs>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board of directors may award stock appreciation rights subject to such conditions and restrictions as it may determine.</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 Our board of directors may award restricted shares of Class B common stock and RSUs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The 2011 Plan provides that upon the consummation of an “Corporate Transaction,” as defined in the 2011 Plan,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in the award agreement, outstanding awards may be assumed, continued, or substituted by an acquiring company. Additionally, the administrator may provide that holders of stock awards may receive a payment equal to the excess of the value of such stock award over the exercise price of such stock award. If outstanding awards are not assumed, continued, or substituted, such awards shall terminate provided that outstanding awards held by certain employees shall be accelerated in full prior to the effective time of such Corporate Transaction and then terminate.</w:t>
      </w:r>
    </w:p>
    <w:p>
      <w:pPr>
        <w:spacing w:after="0" w:line="16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Under our 2011 Plan, the board of directors may provide for limitations on the transferability of awards, in its sole discretion.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are generally not transferable other than by will or the laws of descent and distribution, except as otherwise provided under our 2011 Plan.</w:t>
      </w:r>
    </w:p>
    <w:p>
      <w:pPr>
        <w:spacing w:after="0" w:line="14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Our board of directors may amend or discontinue the 2011 Plan and our board of directors can amend or cancel outstanding awards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satisfying changes in law or any other lawful purpose. Certain amendments to the 2011 Plan or awards thereunder will require the approval of our stockholders and amendments that would impair the rights of any participant require the written consent of that participant.</w:t>
      </w:r>
    </w:p>
    <w:p>
      <w:pPr>
        <w:spacing w:after="0" w:line="165"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awards may be granted under the 2011 Plan after the date that is 10 years from the date of board approval of the 2011 Plan.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 our board of directors and our stockholders approved our ESPP. The ESPP will become effective immediately prior to the time that the registration statement of which this prospectus forms a part is declared effective by the SEC. The ESPP will initially reserve and authorize the issuance</w:t>
      </w:r>
    </w:p>
    <w:p>
      <w:pPr>
        <w:jc w:val="both"/>
        <w:ind w:left="120" w:right="20"/>
        <w:spacing w:after="0" w:line="265" w:lineRule="auto"/>
        <w:rPr>
          <w:sz w:val="20"/>
          <w:szCs w:val="20"/>
          <w:color w:val="auto"/>
        </w:rPr>
      </w:pPr>
      <w:r>
        <w:rPr>
          <w:rFonts w:ascii="Arial" w:cs="Arial" w:eastAsia="Arial" w:hAnsi="Arial"/>
          <w:sz w:val="17"/>
          <w:szCs w:val="17"/>
          <w:color w:val="auto"/>
        </w:rPr>
        <w:t>of up to a total of shares of common stock to participating employees. The ESPP will provide that the number of shares reserved and available for issuance will automatically increase each January 1, beginning on January 1, 2022, by the lesser of shares of our common stock, 1% of the</w:t>
      </w:r>
    </w:p>
    <w:p>
      <w:pPr>
        <w:jc w:val="both"/>
        <w:ind w:left="120"/>
        <w:spacing w:after="0" w:line="323" w:lineRule="auto"/>
        <w:rPr>
          <w:sz w:val="20"/>
          <w:szCs w:val="20"/>
          <w:color w:val="auto"/>
        </w:rPr>
      </w:pPr>
      <w:r>
        <w:rPr>
          <w:rFonts w:ascii="Arial" w:cs="Arial" w:eastAsia="Arial" w:hAnsi="Arial"/>
          <w:sz w:val="16"/>
          <w:szCs w:val="16"/>
          <w:color w:val="auto"/>
        </w:rPr>
        <w:t>outstanding number of shares of our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employees are eligible to participate in the ESPP. Any employee who owns 5% or more of the total combined voting power or value of all classes of stock will not be eligible to purchase shares under the ESPP.</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will make one or more offerings, consisting of one or more purchase periods, each year to our employees to purchase shares under the ESPP. The first offering will begin on the effective date of the registration statement of which this prospectus is part and, unless otherwise determined by the administrator of the ESPP, will end on the date that is approximately six months following such date. Each eligible employee as of the effective date of the registration statement for the offering will be deemed to be a participant in the ESPP at that time and must authorize payroll deductions or other contributions by submitting an enrollment form by the deadline specified by the plan administrator. Subsequent offerings will usually begin every six months and will continue for six month periods, referred to as offering periods. Each eligible employee may elect to participate in any subsequent offering by submitting an enrollment form at least 15 days before the relevant offering date.</w:t>
      </w:r>
    </w:p>
    <w:p>
      <w:pPr>
        <w:spacing w:after="0" w:line="17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Each employee who is a participant in the ESPP may purchase shares by authorizing contributions of up to 15% of his or her compensation during an offering period. Unless the participating employee has previously withdrawn from the offering, his or her accumulated contributions will be used to purchase shares on the last business day of the purchase period at a price equal to 85% of the fair market value of the shares on the first business day of the offering period or the last business day of the purchase period, whichever is lower, provided that no more than shares of common stock (or a lesser number as established by the plan administrator in advance of the purchase period) may be purchased by any one employee during each purchase period. Under applicable tax rules, an employee may purchase no more than $25,000 worth of shares of common stock, valued at the start of the offering period, under the ESPP for each calendar year in which a purchase right is outstanding.</w:t>
      </w:r>
    </w:p>
    <w:p>
      <w:pPr>
        <w:spacing w:after="0" w:line="17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14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ESPP may be terminated or amended by our board of directors at any time but shall automatically terminate on the 10 year anniversary of this offering. An amendment that increases the number of shares of common stock that are authorized under the ESPP and certain other amendments will require the approval of our stockholders. The plan administrator may adopt subplans under the ESPP for employees of our non U.S. subsidiaries who may participate in the ESPP and may permit such employees to participate in the ESPP on different terms, to the extent permitted by applicable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 our board of directors adopted the Senior Executive Cash Incentive Bonus Plan, or the Bonus Plan. The Bonus Plan will become effective on the day before the date on which the registration statement of which this prospectus forms a part is declared effective by the SEC. The Bonus Plan provides for cash bonus payments based upon the attainment of performance targets established by our compensation committee. The payment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targets will be related to financial and operational measures or objectives with respect to our company, or corporate performance goals, as well as individual performance objectives.</w:t>
      </w:r>
    </w:p>
    <w:p>
      <w:pPr>
        <w:spacing w:after="0" w:line="17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Our compensation committee may select corporate performance goals from among the following: achievement of cash flow (including, but not limited to, achievement of cash flow (including, but not limited to, operating cash flow and Free Cash Flow); earnings before interest, taxes, depreciation, and amortization; adjusted EBITDA; gross profits; net income (loss) (either before or after interest, taxes, depreciation, and/or amortization); changes in the market price of our Class A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Class A common stock; sales or market shares; revenue; corporate revenue; year over year revenue growth;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85"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401(k) Plan</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tax-advantaged basis. Plan participants are able to defer eligible compensation subject to applicable annual Code limits. We provide a matching contribution of 50 percent of the first 6 percent of compensation that an employee contributes, which matching contribution vests after one year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D-1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March 2018, we sold an aggregate of 33,185,680 shares of our Series D-1 redeemable convertible preferred stock at a purchase price of $1.2053 per share, for an aggregate purchase price of $40.0 million, pursuant to our Series D-1 redeemable convertible preferred stock financing. The following table summarizes purchases of our Series D-1 redeemable convertible preferred stock by holders of more than 5% of our capital stock and their affiliated entities. None of our directors or executive officers purchased shares of Series D-1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D-1</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ICONIQ Capital</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29,037,470</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34,999,831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Consists of ICONIQ Strategic Partners III, L.P. and ICONIQ Strategic Partners III-B, L.P.</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From March 2019 through May 2019, we sold an aggregate of 38,552,483 shares of our Series E redeemable convertible preferred stock at a purchase price of $3.8908 per share, for an aggregate purchase price of $150.0 million, pursuant to our Series E redeemable convertible preferred stock financing. The following table summarizes purchases of our Series E redeemable convertible preferred stock by holders of more than 5% of our capital stock and their affiliated entities. None of our directors or executive officers purchased shares of Series E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E</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Coatue</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25,444,638</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98,999,998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Consists of Coatue Kona III LP and Coatue US 14 LLC.</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Secondary Sales of Common Stock and Preferred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2018, the following secondary sales of common stock and preferred stock occurred:</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3,024,870 shares of common stock at a purchase price of $1.15712 per share, for an aggregate purchase price of $3,500,138, to ICONIQ Strategic Partners III, L.P. and ICONIQ Strategic Partners III-B, L.P., entities affiliated with ICONIQ Capital, a holder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Omri Dahan, our Chief Revenue Officer and a Director at the time of the transaction, sold 1,728,477 shares of our common stock at a purchase price of $1.15712 per share, for an aggregate purchase price of $2,000,055, to ICONIQ Strategic Partners III, L.P. and ICONIQ Strategic Partners III-B, L.P., entities affiliated with ICONIQ Capital, a holder of more than 5% of our outstanding capital stock; and</w:t>
      </w:r>
    </w:p>
    <w:p>
      <w:pPr>
        <w:spacing w:after="0" w:line="54" w:lineRule="exact"/>
        <w:rPr>
          <w:rFonts w:ascii="Arial" w:cs="Arial" w:eastAsia="Arial" w:hAnsi="Arial"/>
          <w:sz w:val="16"/>
          <w:szCs w:val="16"/>
          <w:color w:val="auto"/>
        </w:rPr>
      </w:pPr>
    </w:p>
    <w:p>
      <w:pPr>
        <w:jc w:val="both"/>
        <w:ind w:left="880" w:hanging="224"/>
        <w:spacing w:after="0" w:line="254"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ICONIQ Strategic Partners III, L.P. and ICONIQ Strategic Partners III-B, L.P. entities affiliated with ICONIQ Capital, a holder of more than 5% of our outstanding capital stock, also purchased, from investors who were not directors, executive officers or holders of more than 5% of our outstanding capital stock, (i) 428,122 shares of our Series A redeemable convertible preferred stock at a purchase price of $1.16917333 per share, for an aggregate purchase price of $500,549, (ii) 4,214,070 shares of our Series B redeemable convertible preferred stock at a purchase price of $1.16917333 per share, for an aggregate purchase price of $4,926,978 and (iii) 1,701,801 shares of our Series C redeemable convertible preferred stock at a purchase price of $1.19328, for an aggregate purchase price of $2,030,725, resulting in an aggregate purchase price of $7,458,252.</w:t>
      </w:r>
    </w:p>
    <w:p>
      <w:pPr>
        <w:spacing w:after="0" w:line="100"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Gardner 2008 Living Trust dated March 22, 2008, an entity affiliated with Jason Gardner, our Chief Executive Officer, Founder, Director, and Chairperson, sold 1,296,322 shares of our common stock at a purchase price of $1.15712 per share, for an aggregate purchase price of $1,500,000.11, to an investor which was not a director, executive officer, or holder of more than 5% of our outstanding capital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2019, in connection with our Series E redeemable convertible preferred stock financing:</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6,939,446 shares of our common stock at a purchase price of $3.8908 per share, for an aggregate purchase price of $26,999,997,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Dahan Living Trust, an entity affiliated with Omri Dahan, our Chief Revenue Officer and a Director at the time of the transaction, sold 3,855,248 shares of our common stock at a purchase price of $3.8908 per share, for an aggregate purchase price of $14,999,999,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right="20" w:hanging="224"/>
        <w:spacing w:after="0" w:line="279" w:lineRule="auto"/>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83North II Limited Partnership, a holder of more than 5% of our outstanding capital stock, sold 10,771,746 shares of our Series A redeemable convertible preferred stock at a purchase price of $3.8908 per share, for an aggregate purchase price of $41,910,709, to certain investors in our Series E redeemable convertible preferred stock financing, including entities affiliated with Vitruvian Partners, a holder of more than 5% of our outstanding capital stock, but none of which were directors or executive officers; and</w:t>
      </w:r>
    </w:p>
    <w:p>
      <w:pPr>
        <w:spacing w:after="0" w:line="76" w:lineRule="exact"/>
        <w:rPr>
          <w:rFonts w:ascii="Arial" w:cs="Arial" w:eastAsia="Arial" w:hAnsi="Arial"/>
          <w:sz w:val="17"/>
          <w:szCs w:val="17"/>
          <w:color w:val="auto"/>
        </w:rPr>
      </w:pPr>
    </w:p>
    <w:p>
      <w:pPr>
        <w:jc w:val="both"/>
        <w:ind w:left="880" w:right="20" w:hanging="224"/>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Marshall Luxembourg S.à r.l., Because GmbH, and Pexfin Inc., entities affiliated with Vitruvian Partners, a holder of more than 5% of our then-outstanding capital stock, purchased 23,131,489 shares of our common stock, Series A redeemable convertible preferred stock and Series C redeemable convertible preferred stock that were immediately exchanged for Series E redeemable convertible preferred stock, at a purchase price of $3.8908 per share, for an aggregate purchase price of $89,999,997,</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from 83North II Limited Partnership, a holder of more than 5% of our outstanding capital stock, The Gardner 2008 Living Trust Dated March 22, 2008, an entity affiliated with Jason Gardner, our Chief Executive Officer, Founder, Director and Chairperson, The Dahan Living Trust, an entity affiliated with Omri Dahan, our Chief Revenue Officer and Director at the time of the transaction, and other stockholders who were not directors, executive officers or holders of more than 5% of our outstanding capital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2020, the following secondary sales of common stock occurred:</w:t>
      </w:r>
    </w:p>
    <w:p>
      <w:pPr>
        <w:spacing w:after="0" w:line="131" w:lineRule="exact"/>
        <w:rPr>
          <w:sz w:val="20"/>
          <w:szCs w:val="20"/>
          <w:color w:val="auto"/>
        </w:rPr>
      </w:pPr>
    </w:p>
    <w:p>
      <w:pPr>
        <w:jc w:val="both"/>
        <w:ind w:left="880" w:hanging="224"/>
        <w:spacing w:after="0" w:line="25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Jason Gardner, our Chief Executive Officer, Founder, Director, and Chairperson, and The Gardner 2008 Living Trust dated March 22, 2008, an entity affiliated with Jason Gardner, our Chief Executive Officer, Founder, Director and Chairperson, collectively sold 1,952,382 shares of our common stock at a purchase price of $8.3374 per share and 1,072,151 shares of our common stock at a purchase price of $10.00 per share, for an aggregate purchase price of $26,999,300, to certain investors, none of which were directors, executive officers, or holders of more than 5% of our outstanding capital stock;</w:t>
      </w:r>
    </w:p>
    <w:p>
      <w:pPr>
        <w:spacing w:after="0" w:line="93" w:lineRule="exact"/>
        <w:rPr>
          <w:rFonts w:ascii="Arial" w:cs="Arial" w:eastAsia="Arial" w:hAnsi="Arial"/>
          <w:sz w:val="18"/>
          <w:szCs w:val="18"/>
          <w:color w:val="auto"/>
        </w:rPr>
      </w:pPr>
    </w:p>
    <w:p>
      <w:pPr>
        <w:jc w:val="both"/>
        <w:ind w:left="880" w:hanging="224"/>
        <w:spacing w:after="0" w:line="25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Omri Dahan, our Chief Revenue Officer and a Director at the time of the transaction, and The Dahan Living Trust, an entity affiliated with Omri Dahan, our Chief Revenue Officer and Director at the time of the transaction, collectively sold 1,084,657 shares of our common stock at a purchase price of $8.3374 per share and 595,639 shares of our common stock at a purchase price of $10.00 per share, for an aggregate purchase price of $14,999,609, to certain investors, none of which were directors, executive officers, or holders of more than 5% of our outstanding capital stock; and</w:t>
      </w:r>
    </w:p>
    <w:p>
      <w:pPr>
        <w:spacing w:after="0" w:line="93"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83North II Limited Partnership, a holder of more than 5% of our outstanding capital stock, sold 2,781,330 shares of our common stock at a purchase price of $8.3374 per share and 1,527,368 shares of our common stock at a purchase price of $10.00 per share, for an aggregate purchase price of $38,462,741, to certain investors, none of which were directors, executive officers, or holders of more than 5% of our outstanding capital stock.</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are party to an amended and restated investor rights agreement, or the investor rights agreement, that provides, among other things, certain holders of our capital stock, including entities affiliated with 83North, DFS Services LLC, Granite Ventures, ICONIQ Capital, and Coatue, which each hold more than 5% of our outstanding capital stock with registration rights. See the section titled “Description of Capital Stock—Registration Rights” for more information regarding these registration rights.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Pursuant to our equity compensation plans and certain agreements with our stockholders, including an amended and restated right of first refusal and co-sale agreement with certain holders of our capital stock, including entities affiliated with 83North, DFS Services LLC, Granite Ventures, ICONIQ Capital, and Coatue, which each hold more than 5% of our outstanding capital stock, and Jason Gardner, our Chief Executive Officer, Founder, Director, and Chairperson, we or our assignees have a right to purchase shares of our capital stock that certain stockholders propose to sell to other parties. This right will terminate upon completion of this offering. Since January 1, 2018, we and our assignees have waived our right of first refusal in connection with the sale of certain shares of our capital stock, including sales by certain of our executive officers. See the section titled “Principal Stockholders” for additional information regarding beneficial ownership of our capital stock.</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party to an amended and restated voting agreement under which certain holders of our capital stock, including entities affiliated with 83North, DFS Services LLC, Granite Ventures, ICONIQ Capital, and Coatue,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which each hold more than 5% of our outstanding capital stock, and Jason Gardner, our Chief Executive Officer, Founder, Director, and Chairperson have agreed as to the manner in which they will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with PULSE Network LLC</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December 5, 2013, we entered into a Direct Processor Agreement with PULSE Network LLC, or PULSE, for the provision of PULSE Network LLC’s PIN debit and ATM network services to us. We paid PULSE Network LLC $6,046,599, $14,398,570, and $30,421,845 in the 2018, 2019, and 2020 fiscal years, respectively, in Card Network fees. PULSE Network LLC is owned by DFS Services LLC, a holder of more than 5% of our outstanding capital stock, and is the affiliated PIN debit and ATM network of DFS Services LLC.</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have granted stock options to purchase common stock to our executive officers and certain of our directors. See the sections titled “Executive Compensation” and “Management—Non-Employee Director Compensation” for a description of these options.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Other than as described above under this section titled “Certain Relationships and Related Person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directors and employees for certain liabilities arising under the Securities Act, or otherwise.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Following the completion of this offering, our audit committee charter will provide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As of the date of this prospectus, we have not adopted any formal standards, policies or procedures governing the review and approval of related party transactions, but we expect that our audit committee will do so in the future.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transactions described above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April 1, 2021, or the Beneficial Ownership Date, as adjusted to reflect the sale of Class A common stock offered by us in this offering assuming no exercise of the underwriters’ option to purchase additional shares, for:</w:t>
      </w:r>
    </w:p>
    <w:p>
      <w:pPr>
        <w:spacing w:after="0" w:line="89"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w:t>
      </w:r>
    </w:p>
    <w:p>
      <w:pPr>
        <w:spacing w:after="0" w:line="225"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and RSUs that are currently exercisable or would vest based on service-based vesting conditions, assuming any applicable liquidity condition had been achieved, within 60 days of the Beneficial Ownership Date to be beneficially owned by the person holding the option or RSUs for the purpose of computing the percentage ownership of that person but have not treated them as outstanding for the purpose of computing the percentage ownership of any other person.</w:t>
      </w:r>
    </w:p>
    <w:p>
      <w:pPr>
        <w:spacing w:after="0" w:line="17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have based percentage ownership of our common stock before this offering on 484,369,163 shares of our common stock outstanding as of the Beneficial Ownership Date, which includes 351,844,340 shares of Class B common stock resulting from the automatic conversion and reclassification of all outstanding shares of our redeemable convertible preferred stock immediately prior to the completion of this offering, as if this conversion and reclassification had occurred as of the Beneficial Ownership Date. Percentage ownership of our common stock after this offering assumes our sale of</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shares of Class A common stock in this offering.</w:t>
      </w:r>
    </w:p>
    <w:p>
      <w:pPr>
        <w:spacing w:after="0" w:line="21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Marqeta, Inc.,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Shares Beneficially</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1"/>
              </w:rPr>
              <w:t>Shares Beneficially Owned</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80" w:type="dxa"/>
            <w:vAlign w:val="bottom"/>
            <w:gridSpan w:val="2"/>
          </w:tcPr>
          <w:p>
            <w:pPr>
              <w:jc w:val="center"/>
              <w:ind w:left="621"/>
              <w:spacing w:after="0" w:line="149" w:lineRule="exact"/>
              <w:rPr>
                <w:sz w:val="20"/>
                <w:szCs w:val="20"/>
                <w:color w:val="auto"/>
              </w:rPr>
            </w:pPr>
            <w:r>
              <w:rPr>
                <w:rFonts w:ascii="Arial" w:cs="Arial" w:eastAsia="Arial" w:hAnsi="Arial"/>
                <w:sz w:val="14"/>
                <w:szCs w:val="14"/>
                <w:b w:val="1"/>
                <w:bCs w:val="1"/>
                <w:color w:val="auto"/>
                <w:w w:val="94"/>
              </w:rPr>
              <w:t>Owned</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Total Voting</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340" w:type="dxa"/>
            <w:vAlign w:val="bottom"/>
            <w:gridSpan w:val="4"/>
          </w:tcPr>
          <w:p>
            <w:pPr>
              <w:jc w:val="center"/>
              <w:ind w:right="460"/>
              <w:spacing w:after="0" w:line="129" w:lineRule="exact"/>
              <w:rPr>
                <w:sz w:val="20"/>
                <w:szCs w:val="20"/>
                <w:color w:val="auto"/>
              </w:rPr>
            </w:pPr>
            <w:r>
              <w:rPr>
                <w:rFonts w:ascii="Arial" w:cs="Arial" w:eastAsia="Arial" w:hAnsi="Arial"/>
                <w:sz w:val="14"/>
                <w:szCs w:val="14"/>
                <w:b w:val="1"/>
                <w:bCs w:val="1"/>
                <w:color w:val="auto"/>
                <w:w w:val="96"/>
              </w:rPr>
              <w:t>Prior to the Offering</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After the Offering</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6"/>
              </w:rPr>
              <w:t>Power After</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Class B</w:t>
            </w:r>
            <w:r>
              <w:rPr>
                <w:rFonts w:ascii="Arial" w:cs="Arial" w:eastAsia="Arial" w:hAnsi="Arial"/>
                <w:sz w:val="12"/>
                <w:szCs w:val="12"/>
                <w:b w:val="1"/>
                <w:bCs w:val="1"/>
                <w:color w:val="auto"/>
                <w:w w:val="90"/>
              </w:rPr>
              <w:t>(1)</w:t>
            </w:r>
          </w:p>
        </w:tc>
        <w:tc>
          <w:tcPr>
            <w:tcW w:w="4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Class A</w:t>
            </w:r>
          </w:p>
        </w:tc>
        <w:tc>
          <w:tcPr>
            <w:tcW w:w="1880" w:type="dxa"/>
            <w:vAlign w:val="bottom"/>
            <w:tcBorders>
              <w:top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rPr>
              <w:t>Class B</w:t>
            </w:r>
            <w:r>
              <w:rPr>
                <w:rFonts w:ascii="Arial" w:cs="Arial" w:eastAsia="Arial" w:hAnsi="Arial"/>
                <w:sz w:val="12"/>
                <w:szCs w:val="12"/>
                <w:b w:val="1"/>
                <w:bCs w:val="1"/>
                <w:color w:val="auto"/>
              </w:rPr>
              <w:t>(1)</w:t>
            </w:r>
          </w:p>
        </w:tc>
        <w:tc>
          <w:tcPr>
            <w:tcW w:w="34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6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340" w:type="dxa"/>
            <w:vAlign w:val="bottom"/>
          </w:tcPr>
          <w:p>
            <w:pPr>
              <w:spacing w:after="0"/>
              <w:rPr>
                <w:sz w:val="12"/>
                <w:szCs w:val="12"/>
                <w:color w:val="auto"/>
              </w:rPr>
            </w:pPr>
          </w:p>
        </w:tc>
        <w:tc>
          <w:tcPr>
            <w:tcW w:w="11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Percentage</w:t>
            </w:r>
          </w:p>
        </w:tc>
        <w:tc>
          <w:tcPr>
            <w:tcW w:w="34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5% Stockholders:</w:t>
            </w:r>
          </w:p>
        </w:tc>
        <w:tc>
          <w:tcPr>
            <w:tcW w:w="8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Entities affiliated with 83North</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38,778,289</w:t>
            </w:r>
          </w:p>
        </w:tc>
        <w:tc>
          <w:tcPr>
            <w:tcW w:w="3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8.0%</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38,778,289</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DFS Services LLC</w:t>
            </w:r>
            <w:r>
              <w:rPr>
                <w:rFonts w:ascii="Arial" w:cs="Arial" w:eastAsia="Arial" w:hAnsi="Arial"/>
                <w:sz w:val="23"/>
                <w:szCs w:val="23"/>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26,267,862</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5.4%</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26,267,862</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Entities affiliated with Granite Ventures</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54,261,696</w:t>
            </w:r>
          </w:p>
        </w:tc>
        <w:tc>
          <w:tcPr>
            <w:tcW w:w="3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11.2%</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54,261,696</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ICONIQ</w:t>
            </w:r>
            <w:r>
              <w:rPr>
                <w:rFonts w:ascii="Arial" w:cs="Arial" w:eastAsia="Arial" w:hAnsi="Arial"/>
                <w:sz w:val="23"/>
                <w:szCs w:val="23"/>
                <w:color w:val="auto"/>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42,093,869</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8.7%</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42,093,869</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Entities affiliated Coatue</w:t>
            </w:r>
            <w:r>
              <w:rPr>
                <w:rFonts w:ascii="Arial" w:cs="Arial" w:eastAsia="Arial" w:hAnsi="Arial"/>
                <w:sz w:val="23"/>
                <w:szCs w:val="23"/>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6"/>
                <w:szCs w:val="16"/>
                <w:color w:val="auto"/>
              </w:rPr>
              <w:t>25,444,638</w:t>
            </w:r>
          </w:p>
        </w:tc>
        <w:tc>
          <w:tcPr>
            <w:tcW w:w="3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5.3%</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25,444,638</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Jason Gardner</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51,631,083</w:t>
            </w:r>
          </w:p>
        </w:tc>
        <w:tc>
          <w:tcPr>
            <w:tcW w:w="3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10.6%</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51,631,083</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Omri Dahan</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9,039,153</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1.9%</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9,039,153</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Kevin Doerr</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6"/>
                <w:szCs w:val="16"/>
                <w:color w:val="auto"/>
              </w:rPr>
              <w:t>2,051,463</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2,051,463</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Amy Chang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Martha Cummings</w:t>
            </w:r>
            <w:r>
              <w:rPr>
                <w:rFonts w:ascii="Arial" w:cs="Arial" w:eastAsia="Arial" w:hAnsi="Arial"/>
                <w:sz w:val="23"/>
                <w:szCs w:val="23"/>
                <w:color w:val="auto"/>
                <w:vertAlign w:val="superscript"/>
              </w:rPr>
              <w:t>(11)</w:t>
            </w:r>
          </w:p>
        </w:tc>
        <w:tc>
          <w:tcPr>
            <w:tcW w:w="840" w:type="dxa"/>
            <w:vAlign w:val="bottom"/>
          </w:tcPr>
          <w:p>
            <w:pPr>
              <w:jc w:val="right"/>
              <w:spacing w:after="0"/>
              <w:rPr>
                <w:sz w:val="20"/>
                <w:szCs w:val="20"/>
                <w:color w:val="auto"/>
              </w:rPr>
            </w:pPr>
            <w:r>
              <w:rPr>
                <w:rFonts w:ascii="Arial" w:cs="Arial" w:eastAsia="Arial" w:hAnsi="Arial"/>
                <w:sz w:val="16"/>
                <w:szCs w:val="16"/>
                <w:color w:val="auto"/>
              </w:rPr>
              <w:t>300,000</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300,000</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Gerri Elliott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Helen Riley</w:t>
            </w:r>
            <w:r>
              <w:rPr>
                <w:rFonts w:ascii="Arial" w:cs="Arial" w:eastAsia="Arial" w:hAnsi="Arial"/>
                <w:sz w:val="23"/>
                <w:szCs w:val="23"/>
                <w:color w:val="auto"/>
                <w:vertAlign w:val="superscript"/>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600,000</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Arnon Dinur</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Judson Linville</w:t>
            </w:r>
            <w:r>
              <w:rPr>
                <w:rFonts w:ascii="Arial" w:cs="Arial" w:eastAsia="Arial" w:hAnsi="Arial"/>
                <w:sz w:val="23"/>
                <w:szCs w:val="23"/>
                <w:color w:val="auto"/>
                <w:vertAlign w:val="superscript"/>
              </w:rPr>
              <w:t>(13)</w:t>
            </w:r>
          </w:p>
        </w:tc>
        <w:tc>
          <w:tcPr>
            <w:tcW w:w="840" w:type="dxa"/>
            <w:vAlign w:val="bottom"/>
          </w:tcPr>
          <w:p>
            <w:pPr>
              <w:jc w:val="right"/>
              <w:spacing w:after="0"/>
              <w:rPr>
                <w:sz w:val="20"/>
                <w:szCs w:val="20"/>
                <w:color w:val="auto"/>
              </w:rPr>
            </w:pPr>
            <w:r>
              <w:rPr>
                <w:rFonts w:ascii="Arial" w:cs="Arial" w:eastAsia="Arial" w:hAnsi="Arial"/>
                <w:sz w:val="16"/>
                <w:szCs w:val="16"/>
                <w:color w:val="auto"/>
              </w:rPr>
              <w:t>500,000</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500,000</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Christopher McKay</w:t>
            </w:r>
            <w:r>
              <w:rPr>
                <w:rFonts w:ascii="Arial" w:cs="Arial" w:eastAsia="Arial" w:hAnsi="Arial"/>
                <w:sz w:val="23"/>
                <w:szCs w:val="23"/>
                <w:color w:val="auto"/>
                <w:vertAlign w:val="superscript"/>
              </w:rPr>
              <w:t>(14)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54,382,234</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11.2%</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54,382,234</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All directors and executive officers as a group (16</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80" w:type="dxa"/>
            <w:vAlign w:val="bottom"/>
          </w:tcPr>
          <w:p>
            <w:pPr>
              <w:ind w:left="160"/>
              <w:spacing w:after="0"/>
              <w:rPr>
                <w:sz w:val="20"/>
                <w:szCs w:val="20"/>
                <w:color w:val="auto"/>
              </w:rPr>
            </w:pPr>
            <w:r>
              <w:rPr>
                <w:rFonts w:ascii="Arial" w:cs="Arial" w:eastAsia="Arial" w:hAnsi="Arial"/>
                <w:sz w:val="16"/>
                <w:szCs w:val="16"/>
                <w:color w:val="auto"/>
              </w:rPr>
              <w:t>persons)</w:t>
            </w:r>
            <w:r>
              <w:rPr>
                <w:rFonts w:ascii="Arial" w:cs="Arial" w:eastAsia="Arial" w:hAnsi="Arial"/>
                <w:sz w:val="27"/>
                <w:szCs w:val="27"/>
                <w:color w:val="auto"/>
                <w:vertAlign w:val="superscript"/>
              </w:rPr>
              <w:t>(15)</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129,908,702</w:t>
            </w:r>
          </w:p>
        </w:tc>
        <w:tc>
          <w:tcPr>
            <w:tcW w:w="34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25.9%</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w w:val="94"/>
              </w:rPr>
              <w:t>129,908,702</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60" w:hanging="544"/>
        <w:spacing w:after="0"/>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less than one percent (1%).</w:t>
      </w: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w:t>
      </w:r>
    </w:p>
    <w:p>
      <w:pPr>
        <w:jc w:val="both"/>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and Class B common stock, as a single class. The holders of our Class B common stock are entitled to 10 votes per share, and holders of our Class A common stock are entitled to one vote per share. See the section titled “Description of Capital Stock—Voting Rights” for more information about the voting rights of our Class A common stock and Class B common stock.</w:t>
      </w:r>
    </w:p>
    <w:p>
      <w:pPr>
        <w:jc w:val="both"/>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38,778,289 shares of Class B common stock held of record by 83North II Limited Partnership (“83North II”). Each of 83North II GP, L.P. (the “83North II GP”), the general partner of 83North II, and 83North II Manager, Ltd. (the “83North II GPGP”), the general partner of the 83North II GP, has voting and dispositive power over the shares held by 83North II. Investment decisions on behalf of 83North II are made collectively by Erez Ofer, Yoram Snir and Laurel Bowden, the sole shareholders of the 83North II GPGP. Arnon Dinur, a limited partner of the 83North II GP, is also a member of Marqeta’s board of directors. The address for 83North II is 10 Sderot Abba Eban Bldg. C, 9th Floor, Herzliya, 4673303, Israel.</w:t>
      </w:r>
    </w:p>
    <w:p>
      <w:pPr>
        <w:spacing w:after="0" w:line="1" w:lineRule="exact"/>
        <w:rPr>
          <w:rFonts w:ascii="Arial" w:cs="Arial" w:eastAsia="Arial" w:hAnsi="Arial"/>
          <w:sz w:val="14"/>
          <w:szCs w:val="14"/>
          <w:color w:val="auto"/>
        </w:rPr>
      </w:pPr>
    </w:p>
    <w:p>
      <w:pPr>
        <w:jc w:val="both"/>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26,267,862 shares of Class B common stock held of record by DFS Services LLC (“Discover”). Discover is a wholly-owned subsidiary of Discover Financial Services, a publicly traded company. Voting and dispositive decisions with respect to the shares held by Discover are made by Discover Financial Services. The address for Discover is 2500 Lake Cook Road, Riverwoods, Illinois 6001.</w:t>
      </w:r>
    </w:p>
    <w:p>
      <w:pPr>
        <w:jc w:val="both"/>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53,827,878 shares of Class B common stock held by Granite Ventures II, L.P. (“Granite Ventures II”) and (ii) 433,818 shares of Class B common stock held by Granite Ventures Entrepreneurs Fund II, L.P. (“Granite Ventures Entrepreneurs Fund II”, and together with Granite Ventures II, the “Granite Entities”). Granite Management II, LLC (“Granite Management II”) is the general partner of the Granite Entities. Christopher McKay, a member of our board of directors, is one of several managing directors of Granite Management II, LLC and as such Mr. McKay may be deemed to have voting and investment power with respect to such shares. The address for each of the entities in this paragraph is 300 Montgomery St Suite 638, San Francisco, California 94104.</w:t>
      </w:r>
    </w:p>
    <w:p>
      <w:pPr>
        <w:spacing w:after="0" w:line="1" w:lineRule="exact"/>
        <w:rPr>
          <w:rFonts w:ascii="Arial" w:cs="Arial" w:eastAsia="Arial" w:hAnsi="Arial"/>
          <w:sz w:val="14"/>
          <w:szCs w:val="14"/>
          <w:color w:val="auto"/>
        </w:rPr>
      </w:pPr>
    </w:p>
    <w:p>
      <w:pPr>
        <w:jc w:val="both"/>
        <w:ind w:left="660" w:hanging="544"/>
        <w:spacing w:after="0" w:line="238" w:lineRule="auto"/>
        <w:tabs>
          <w:tab w:leader="none" w:pos="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Consists of (i) 20,348,700 shares of Class B common stock held of record by ICONIQ Strategic Partners III, L.P. (“ICONIQ III”) and (ii) 21,745,169 shares of Class B common stock held of record held by ICONIQ Strategic Partners III-B, L.P. (“ICONIQ III-B”, and together with ICONIQ III, the “ICONIQ Entities”). ICONIQ Strategic Partners III GP, L.P. (“ICONIQ GP III”) is the general partner of ICONIQ III and ICONIQ III-B. ICONIQ Strategic Partners III TT GP, Ltd. (“ICONIQ Parent GP III”) is the general partner of ICONIQ GP III. Divesh Makan and William Griffith are the sole equity holders and directors of ICONIQ Parent GP III and may be deemed to have shared voting, investment and dispositive power with respect to the shares held by the ICONIQ Entities. The address for each of the ICONIQ Entities is 394 Pacific Avenue, 2</w:t>
      </w:r>
      <w:r>
        <w:rPr>
          <w:rFonts w:ascii="Arial" w:cs="Arial" w:eastAsia="Arial" w:hAnsi="Arial"/>
          <w:sz w:val="11"/>
          <w:szCs w:val="11"/>
          <w:color w:val="auto"/>
        </w:rPr>
        <w:t>nd</w:t>
      </w:r>
      <w:r>
        <w:rPr>
          <w:rFonts w:ascii="Arial" w:cs="Arial" w:eastAsia="Arial" w:hAnsi="Arial"/>
          <w:sz w:val="13"/>
          <w:szCs w:val="13"/>
          <w:color w:val="auto"/>
        </w:rPr>
        <w:t xml:space="preserve"> Floor, San Francisco, California 94111.</w:t>
      </w:r>
    </w:p>
    <w:p>
      <w:pPr>
        <w:spacing w:after="0" w:line="1" w:lineRule="exact"/>
        <w:rPr>
          <w:rFonts w:ascii="Arial" w:cs="Arial" w:eastAsia="Arial" w:hAnsi="Arial"/>
          <w:sz w:val="13"/>
          <w:szCs w:val="13"/>
          <w:color w:val="auto"/>
        </w:rPr>
      </w:pPr>
    </w:p>
    <w:p>
      <w:pPr>
        <w:jc w:val="both"/>
        <w:ind w:left="660" w:right="20" w:hanging="544"/>
        <w:spacing w:after="0" w:line="238" w:lineRule="auto"/>
        <w:tabs>
          <w:tab w:leader="none" w:pos="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Consists of (i) 19,276,241 shares of Class B common stock held of record by Coatue Kona III LP (“Coatue Kona III”) and (ii) 6,168,397 shares of Class B common stock held of record held by Coatue US 14 LLC (“Coatue US 14”, and together with Coatue Kona III, the “Coatue Entities”). Each Coatue Entity has designated Coatue Management, L.L.C. to serve as its respective investment manager. Philippe Laffont serves as the control person of Coatue Management, L.L.C. Voting and dispositive decisions with respect to the shares held by the Coatue Entities are made by Coatue Management, L.L.C. The address of each of the entities in this paragraph is 9 West 57th Street, 25th Floor, New York, NY 10019.</w:t>
      </w:r>
    </w:p>
    <w:p>
      <w:pPr>
        <w:spacing w:after="0" w:line="1" w:lineRule="exact"/>
        <w:rPr>
          <w:rFonts w:ascii="Arial" w:cs="Arial" w:eastAsia="Arial" w:hAnsi="Arial"/>
          <w:sz w:val="13"/>
          <w:szCs w:val="13"/>
          <w:color w:val="auto"/>
        </w:rPr>
      </w:pPr>
    </w:p>
    <w:p>
      <w:pPr>
        <w:jc w:val="both"/>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39,942,553 shares of Class B common stock held of record by Jason Gardner and Jocelyne Gardner as trustees of The Gardner 2008 Living Trust dated March 22, 2008, (ii) 625,000 shares held of record by Jason Gardner, as trustee of the Jason Gardner 2020 GRAT, dated November 23, 2020, (iii) 625,000 shares held of record by Jocelyne Gardner, as trustee of the Jocelyne Gardner 2020 GRAT, dated November 23, 2020, (iv) 8,000,000 shares of Class B common stock held of record by trusts for the benefit of Mr. Gardner’s children and of which the trustee is an independent institution, and (v) 2,438,530 shares of Class B common stock subject to outstanding options that are exercisable within 60 days of the Beneficial Ownership Date by Mr. Gardner. Mr. Gardner disclaims beneficial ownership of the shares held in the trusts for the benefit of Mr. Gardner’s children.</w:t>
      </w:r>
    </w:p>
    <w:p>
      <w:pPr>
        <w:spacing w:after="0" w:line="1" w:lineRule="exact"/>
        <w:rPr>
          <w:rFonts w:ascii="Arial" w:cs="Arial" w:eastAsia="Arial" w:hAnsi="Arial"/>
          <w:sz w:val="14"/>
          <w:szCs w:val="14"/>
          <w:color w:val="auto"/>
        </w:rPr>
      </w:pPr>
    </w:p>
    <w:p>
      <w:pPr>
        <w:jc w:val="both"/>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4,289,244 shares of Class B common stock held of record by Omri Dahan as trustee of The Dahan Living Trust, (ii) 1,500,000 shares of Class B common stock held of record by Omri Dahan as trustee of the DAHAN 2020 MARQETA GRAT dated July 23, 2020, (iii) 100,000 shares of Class B common stock held of record by Mr. Dahan as managing member of Dahan Family LLC, (iv) 2,850,000 shares of Class B common stock held of record by Graeme Rael as trustee for trusts for the benefit of Mr. Dahan’s family, and (v) 299,909 shares of Class B common stock. As of March 13, 2021, Mr. Dahan was no longer employed by us.</w:t>
      </w:r>
    </w:p>
    <w:p>
      <w:pPr>
        <w:spacing w:after="0" w:line="1" w:lineRule="exact"/>
        <w:rPr>
          <w:rFonts w:ascii="Arial" w:cs="Arial" w:eastAsia="Arial" w:hAnsi="Arial"/>
          <w:sz w:val="14"/>
          <w:szCs w:val="14"/>
          <w:color w:val="auto"/>
        </w:rPr>
      </w:pP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2,051,463 shares of Class B common stock subject to outstanding options that are exercisable within 60 days of the Beneficial Ownership Date.</w:t>
      </w:r>
    </w:p>
    <w:p>
      <w:pPr>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19,000 shares of Class B common stock and (ii) 281,000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500,000 shares of Class B common stock subject to outstanding options that are exercisable within 60 days of the Beneficial Ownership Date.</w:t>
      </w:r>
    </w:p>
    <w:p>
      <w:pPr>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54,261,696 shares held by the entities affiliated with Granite Ventures as identified in footnote 5 and (ii) 120,538 shares of Class B common stock held of record by Chris McKay and Sarah McKay as trustees of the McKay Family Trust, dated August 12, 2020.</w:t>
      </w:r>
    </w:p>
    <w:p>
      <w:pPr>
        <w:ind w:left="660" w:right="20" w:hanging="544"/>
        <w:spacing w:after="0" w:line="237"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113,243,433 shares of Class B common stock beneficially owned by our current directors and executive officers and (ii) 16,665,269 shares of Class B common stock subject to outstanding options that are exercisable within 60 days of the Beneficial Ownership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following description summarizes the most important terms of our capital stock, as they are expected to be in effect upon the completion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and amended and restated bylaws and our amended and restated investor rights’ agreement, which are or will be included as exhibits to the registration statement of which this prospectus forms a part, and to the applicable provisions</w:t>
      </w:r>
    </w:p>
    <w:p>
      <w:pPr>
        <w:spacing w:after="0" w:line="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of Delaware law. Immediately following the completion of this offering, our authorized capital stock will consist of shares of Class A common stock, $0.0001 par value per share, shares of Class B common stock, $0.0001 par value per share, and shares of undesignated preferred stock, $0.0001 par value per share.</w:t>
      </w:r>
    </w:p>
    <w:p>
      <w:pPr>
        <w:spacing w:after="0" w:line="19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Assuming the conversion of all outstanding shares of our redeemable convertible preferred stock into shares of our Class B common stock, which will occur immediately prior to the completion of this offering, as of December 31, 2020, there were no outstanding shares of Class A common stock and 482,157,178 shares of our Class B common stock outstanding, held by 477 stockholders of record, and no shares of our redeemable convertible preferred stock outstanding. Our board of directors is authorized, without stockholder approval except as required by the listing standards of Nasdaq, to issue additional shares of our capital stock.</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Upon the completion of this offering, we will have authorized a class of Class A common stock and a class of Class B common stock. All outstanding shares of our existing common stock and redeemable convertible preferred stock will be reclassified into shares of our new Class B common stock. In addition, any options to purchase shares of our capital stock outstanding prior to the completion of this offering will become eligible to be settled in or exercisable for shares of our new Class B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880" w:right="20" w:hanging="224"/>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880" w:hanging="224"/>
        <w:spacing w:after="0" w:line="263"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Each outstanding share of Class B common stock will be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-494665</wp:posOffset>
            </wp:positionV>
            <wp:extent cx="457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outstanding share of Class B common stock will convert automatically into one share of Class A common stock upon the date specified by</w:t>
      </w:r>
    </w:p>
    <w:p>
      <w:pPr>
        <w:spacing w:after="0" w:line="35" w:lineRule="exact"/>
        <w:rPr>
          <w:sz w:val="20"/>
          <w:szCs w:val="20"/>
          <w:color w:val="auto"/>
        </w:rPr>
      </w:pPr>
    </w:p>
    <w:p>
      <w:pPr>
        <w:ind w:left="120"/>
        <w:spacing w:after="0"/>
        <w:tabs>
          <w:tab w:leader="none" w:pos="3560" w:val="left"/>
        </w:tabs>
        <w:rPr>
          <w:sz w:val="20"/>
          <w:szCs w:val="20"/>
          <w:color w:val="auto"/>
        </w:rPr>
      </w:pPr>
      <w:r>
        <w:rPr>
          <w:rFonts w:ascii="Arial" w:cs="Arial" w:eastAsia="Arial" w:hAnsi="Arial"/>
          <w:sz w:val="18"/>
          <w:szCs w:val="18"/>
          <w:color w:val="auto"/>
        </w:rPr>
        <w:t>affirmative vote of the holders of at least</w:t>
      </w:r>
      <w:r>
        <w:rPr>
          <w:sz w:val="20"/>
          <w:szCs w:val="20"/>
          <w:color w:val="auto"/>
        </w:rPr>
        <w:tab/>
      </w:r>
      <w:r>
        <w:rPr>
          <w:rFonts w:ascii="Arial" w:cs="Arial" w:eastAsia="Arial" w:hAnsi="Arial"/>
          <w:sz w:val="16"/>
          <w:szCs w:val="16"/>
          <w:color w:val="auto"/>
        </w:rPr>
        <w:t>of the outstanding shares of Class B common stock, voting as a single class.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outstanding shares of Class A common stock and Class B common stock will convert automatically into shares of a single class of common stock on</w:t>
      </w:r>
    </w:p>
    <w:p>
      <w:pPr>
        <w:spacing w:after="0" w:line="46"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the earlier of the date that is 10 years from the date of this prospectus or the date the holders of at least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See the section titled “Risk Factors—Risks Relating to Our Initial Public Offering and Ownership of Our Common Stock.” 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of the outstanding shares of our Class B common stock are, and the shares of our Class A common stock to be issued pursuant to this offering will be, fully paid and non-assessable.</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 We have no current plan to issue any shares of preferred stock.</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we had outstanding options to purchase an aggregate of 23,421,374 shares of our Class B common stock, with a weighted-average exercise price of $1.35 pursuant to our 2011 Plan, which was adopted in February 2011, most recently amended and restated by our board of directors in January 2021.</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2020, we had outstanding RSUs representing 4,430,336 shares of our Class B common stock, issued pursuant to our 2011 Plan.</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warrants to purchase an aggregate of 203,610 shares of our redeemable convertible preferred stock, with a weighted-average exercise price of $0.295 per share, and warrants to purchase an aggregate of 1,602,414 shares of our common stock, with a weighted-average exercise price of $0.033 per share, were outstanding. The warrants will be automatically converted into warrants for Class B common stock upon the completion of this offering.</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After the completion of this offering, certain holders of our Class B common stock will be entitled to rights with respect to the registration of their shares under the Securities Act. These registration rights are contained in the investor rights agreement. We, along with certain holders of our redeemable convertible preferred stock, are parties to the investor rights agreement. The registration rights set forth in the investor rights agreement will expire four years following the completion of this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one counsel for the selling holders, in an amount not to exceed $75,000. In an underwritten offering, the underwriters have the right, subject to specified conditions, to limit the number of shares such holders may include. In connection with this offering, each stockholder that has registration rights will</w:t>
      </w:r>
    </w:p>
    <w:p>
      <w:pPr>
        <w:jc w:val="both"/>
        <w:ind w:left="120" w:right="20"/>
        <w:spacing w:after="0" w:line="260" w:lineRule="auto"/>
        <w:rPr>
          <w:sz w:val="20"/>
          <w:szCs w:val="20"/>
          <w:color w:val="auto"/>
        </w:rPr>
      </w:pPr>
      <w:r>
        <w:rPr>
          <w:rFonts w:ascii="Arial" w:cs="Arial" w:eastAsia="Arial" w:hAnsi="Arial"/>
          <w:sz w:val="18"/>
          <w:szCs w:val="18"/>
          <w:color w:val="auto"/>
        </w:rPr>
        <w:t>agree not to sell or otherwise dispose of any securities without the prior written consent of for a period of days after the date of this prospectus, subject to certain terms and conditions. See the section titled “Underwriting” for more information regarding such restrictions.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1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After the completion of this offering, the holders of up to approximately 358,036,944 shares of our Class B common stock will be entitled to certain demand registration rights. At any time beginning on the five-year anniversary of the execution of the investor rights agreement, which was executed in May 2020, the holders of a majority of these shares then outstanding may request that we register the offer and sale of their shares on a registration statement on Form S-1, subject to certain limitations. We are obligated to effect only two such registrations. If we determine that it would be seriously detrimental to us and our stockholders to effect such a demand registration, we have the right to defer such registration, not more than once in any 12-month period, for a period of not more than 120 days. Additionally, we will not be required to effect a demand registration during the period beginning with the date of the filing of, and ending on the date 180 days following the effectiveness of, a registration statement relating to the public offering of our common stock. Additionally, we will not be required to effect a demand registration if, within thirty days of receipt of a written request from the holders of a majority of these shares then outstanding, we provide notice to the holders of our intention to file a registration statement for a public offering within 90 days.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After the completion of this offering, if we propose to register the offer and sale of our common stock under the Securities Act, in connection with the public offering of such common stock the holders of up to approximately 358,036,944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any employee benefit plan, (2) a registration relating to a transaction under Rule 145 of the Securities Act; or (3)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After the completion of this offering, the holders of up to approximately 358,036,944 shares of our Class B common stock will be entitled to certain Form S-3 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$5.0 million. These stockholders may make an unlimited number of requests for registration on Form S-3; however, we will not be required to effect a registration on Form S-3 if we have effected two such registrations in the same calendar year as the date of the request. Additionally, if we determine that it would be seriously detrimental to our stockholders to effect such a registration, we have the right to defer such registration, not more than once in any 12-month period, for a period of not more than 120 days. Additionally, we will not be required to effect a demand registration stock if, within thirty days of receipt of a written request from the holders of 10% of these shares then outstanding, we provide notice to the holders of our intention to file a registration statement for a public offering within 90 days.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76" w:lineRule="exact"/>
        <w:rPr>
          <w:sz w:val="20"/>
          <w:szCs w:val="20"/>
          <w:color w:val="auto"/>
        </w:rPr>
      </w:pPr>
    </w:p>
    <w:p>
      <w:pPr>
        <w:jc w:val="both"/>
        <w:ind w:left="880" w:hanging="224"/>
        <w:spacing w:after="0" w:line="279"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Dual-Class Stock. </w:t>
      </w:r>
      <w:r>
        <w:rPr>
          <w:rFonts w:ascii="Arial" w:cs="Arial" w:eastAsia="Arial" w:hAnsi="Arial"/>
          <w:sz w:val="17"/>
          <w:szCs w:val="17"/>
          <w:color w:val="auto"/>
        </w:rPr>
        <w:t>As described above in the subsection titled “—Class A Common Stock and Class B Common Stock—Voting Rights,”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provide for a dual-class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our assets</w:t>
      </w:r>
      <w:r>
        <w:rPr>
          <w:rFonts w:ascii="Arial" w:cs="Arial" w:eastAsia="Arial" w:hAnsi="Arial"/>
          <w:sz w:val="17"/>
          <w:szCs w:val="17"/>
          <w:i w:val="1"/>
          <w:iCs w:val="1"/>
          <w:color w:val="auto"/>
        </w:rPr>
        <w:t>.</w:t>
      </w:r>
    </w:p>
    <w:p>
      <w:pPr>
        <w:spacing w:after="0" w:line="76" w:lineRule="exact"/>
        <w:rPr>
          <w:rFonts w:ascii="Arial" w:cs="Arial" w:eastAsia="Arial" w:hAnsi="Arial"/>
          <w:sz w:val="17"/>
          <w:szCs w:val="17"/>
          <w:color w:val="auto"/>
        </w:rPr>
      </w:pPr>
    </w:p>
    <w:p>
      <w:pPr>
        <w:jc w:val="both"/>
        <w:ind w:left="880" w:hanging="224"/>
        <w:spacing w:after="0" w:line="255"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97"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92"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bylaws. Our amended and restated bylaws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2" w:lineRule="exact"/>
        <w:rPr>
          <w:sz w:val="20"/>
          <w:szCs w:val="20"/>
          <w:color w:val="auto"/>
        </w:rPr>
      </w:pPr>
    </w:p>
    <w:p>
      <w:pPr>
        <w:jc w:val="both"/>
        <w:ind w:left="880" w:right="20" w:hanging="224"/>
        <w:spacing w:after="0" w:line="272"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8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unless a corporation’s certificate of incorporation provides otherwise. Our amended and restated certificate of incorporation will not provide for cumulative voting.</w:t>
      </w:r>
    </w:p>
    <w:p>
      <w:pPr>
        <w:spacing w:after="0" w:line="89"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amended and restated certificate of incorporation will provide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amended and restated certificate of incorporation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holders of at least two-thirds of our then outstanding common stock.</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stockholders, to issue</w:t>
      </w:r>
    </w:p>
    <w:p>
      <w:pPr>
        <w:spacing w:after="0" w:line="46" w:lineRule="exact"/>
        <w:rPr>
          <w:sz w:val="20"/>
          <w:szCs w:val="20"/>
          <w:color w:val="auto"/>
        </w:rPr>
      </w:pPr>
    </w:p>
    <w:p>
      <w:pPr>
        <w:jc w:val="both"/>
        <w:ind w:left="880" w:right="20"/>
        <w:spacing w:after="0" w:line="277" w:lineRule="auto"/>
        <w:rPr>
          <w:sz w:val="20"/>
          <w:szCs w:val="20"/>
          <w:color w:val="auto"/>
        </w:rPr>
      </w:pPr>
      <w:r>
        <w:rPr>
          <w:rFonts w:ascii="Arial" w:cs="Arial" w:eastAsia="Arial" w:hAnsi="Arial"/>
          <w:sz w:val="17"/>
          <w:szCs w:val="17"/>
          <w:color w:val="auto"/>
        </w:rPr>
        <w:t>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78" w:lineRule="exact"/>
        <w:rPr>
          <w:sz w:val="20"/>
          <w:szCs w:val="20"/>
          <w:color w:val="auto"/>
        </w:rPr>
      </w:pPr>
    </w:p>
    <w:p>
      <w:pPr>
        <w:jc w:val="both"/>
        <w:ind w:left="880" w:hanging="224"/>
        <w:spacing w:after="0" w:line="286"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amended and restated bylaws will provide that, unless we consent in writing to the selection of an alternative forum,</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and Class B common stock will be Computershare Trust Company, N.A. The transfer agent’s address is 150 Royal Street, Canton, MA 02021.</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apply to list our Class A common stock on Nasdaq under the symbol “MQ.”</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Following the completion of this offering, based on the number of shares of our capital stock outstanding as of December 31, 2020, we will have a total</w:t>
      </w:r>
    </w:p>
    <w:p>
      <w:pPr>
        <w:spacing w:after="0" w:line="46" w:lineRule="exact"/>
        <w:rPr>
          <w:sz w:val="20"/>
          <w:szCs w:val="20"/>
          <w:color w:val="auto"/>
        </w:rPr>
      </w:pPr>
    </w:p>
    <w:p>
      <w:pPr>
        <w:jc w:val="both"/>
        <w:ind w:left="120"/>
        <w:spacing w:after="0" w:line="265" w:lineRule="auto"/>
        <w:rPr>
          <w:sz w:val="20"/>
          <w:szCs w:val="20"/>
          <w:color w:val="auto"/>
        </w:rPr>
      </w:pPr>
      <w:r>
        <w:rPr>
          <w:rFonts w:ascii="Arial" w:cs="Arial" w:eastAsia="Arial" w:hAnsi="Arial"/>
          <w:sz w:val="17"/>
          <w:szCs w:val="17"/>
          <w:color w:val="auto"/>
        </w:rPr>
        <w:t>of shares of our Class A common stock and 482,157,178 shares of our Class B common stock outstanding, assuming (i) the automatic conversion and reclassification of all outstanding shares of our redeemable convertible preferred stock into 351,844,340 shares of our Class B common</w:t>
      </w:r>
    </w:p>
    <w:p>
      <w:pPr>
        <w:jc w:val="both"/>
        <w:ind w:left="120" w:right="20"/>
        <w:spacing w:after="0" w:line="265" w:lineRule="auto"/>
        <w:rPr>
          <w:sz w:val="20"/>
          <w:szCs w:val="20"/>
          <w:color w:val="auto"/>
        </w:rPr>
      </w:pPr>
      <w:r>
        <w:rPr>
          <w:rFonts w:ascii="Arial" w:cs="Arial" w:eastAsia="Arial" w:hAnsi="Arial"/>
          <w:sz w:val="17"/>
          <w:szCs w:val="17"/>
          <w:color w:val="auto"/>
        </w:rPr>
        <w:t>stock, (ii) the net issuance of shares of our common stock issuable pursuant to the vesting and settlement of 505,993 RSUs subject to liquidity conditions outstanding as of December 31, 2020, and (iii) the reclassification of our outstanding common stock as Class B common stock, all</w:t>
      </w:r>
    </w:p>
    <w:p>
      <w:pPr>
        <w:jc w:val="both"/>
        <w:ind w:left="120"/>
        <w:spacing w:after="0" w:line="255" w:lineRule="auto"/>
        <w:rPr>
          <w:sz w:val="20"/>
          <w:szCs w:val="20"/>
          <w:color w:val="auto"/>
        </w:rPr>
      </w:pPr>
      <w:r>
        <w:rPr>
          <w:rFonts w:ascii="Arial" w:cs="Arial" w:eastAsia="Arial" w:hAnsi="Arial"/>
          <w:sz w:val="18"/>
          <w:szCs w:val="18"/>
          <w:color w:val="auto"/>
        </w:rPr>
        <w:t>immediately prior to the completion of this offering. Of these outstanding shares, all of the shares of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90"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remaining outstanding shares of our Class B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Class B common stock have entered into market standoff agreements with us or lock-up agreements with the underwriters under which they have agreed, subject to specific exceptions, not to sell any of our stock for at least days following the date of this prospectus. As a result of these agreements and the provisions of our investor rights’ agreement described above under the section titled</w:t>
      </w:r>
    </w:p>
    <w:p>
      <w:pPr>
        <w:spacing w:after="0" w:line="4"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“Description of Capital Stock—Registration Rights,” subject to the provisions of Rule 144 or Rule 701, based on an assumed offering date of , shares will be available for sale in the public market as follows:</w:t>
      </w:r>
    </w:p>
    <w:p>
      <w:pPr>
        <w:sectPr>
          <w:pgSz w:w="11900" w:h="16838" w:orient="portrait"/>
          <w:cols w:equalWidth="0" w:num="1">
            <w:col w:w="11140"/>
          </w:cols>
          <w:pgMar w:left="320" w:top="459" w:right="439" w:bottom="1440" w:gutter="0" w:footer="0" w:header="0"/>
        </w:sectPr>
      </w:pPr>
    </w:p>
    <w:p>
      <w:pPr>
        <w:spacing w:after="0" w:line="91" w:lineRule="exact"/>
        <w:rPr>
          <w:sz w:val="20"/>
          <w:szCs w:val="20"/>
          <w:color w:val="auto"/>
        </w:rPr>
      </w:pPr>
    </w:p>
    <w:p>
      <w:pPr>
        <w:ind w:left="880" w:right="40" w:hanging="219"/>
        <w:spacing w:after="0" w:line="308" w:lineRule="auto"/>
        <w:tabs>
          <w:tab w:leader="none" w:pos="860" w:val="left"/>
        </w:tabs>
        <w:rPr>
          <w:sz w:val="20"/>
          <w:szCs w:val="20"/>
          <w:color w:val="auto"/>
        </w:rPr>
      </w:pPr>
      <w:r>
        <w:rPr>
          <w:rFonts w:ascii="Arial" w:cs="Arial" w:eastAsia="Arial" w:hAnsi="Arial"/>
          <w:sz w:val="17"/>
          <w:szCs w:val="17"/>
          <w:color w:val="auto"/>
        </w:rPr>
        <w:t>•</w:t>
        <w:tab/>
        <w:t>beginning on the date of this prospectus, the sale in the public market;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sold in this offering will be immediately available for</w:t>
      </w:r>
    </w:p>
    <w:p>
      <w:pPr>
        <w:spacing w:after="0" w:line="369" w:lineRule="exact"/>
        <w:rPr>
          <w:sz w:val="20"/>
          <w:szCs w:val="20"/>
          <w:color w:val="auto"/>
        </w:rPr>
      </w:pPr>
    </w:p>
    <w:p>
      <w:pPr>
        <w:sectPr>
          <w:pgSz w:w="11900" w:h="16838" w:orient="portrait"/>
          <w:cols w:equalWidth="0" w:num="2">
            <w:col w:w="4120" w:space="720"/>
            <w:col w:w="6300"/>
          </w:cols>
          <w:pgMar w:left="320" w:top="459" w:right="439" w:bottom="1440" w:gutter="0" w:footer="0" w:header="0"/>
          <w:type w:val="continuous"/>
        </w:sectPr>
      </w:pPr>
    </w:p>
    <w:p>
      <w:pPr>
        <w:ind w:left="880" w:hanging="219"/>
        <w:spacing w:after="0" w:line="258" w:lineRule="auto"/>
        <w:tabs>
          <w:tab w:leader="none" w:pos="860" w:val="left"/>
        </w:tabs>
        <w:rPr>
          <w:sz w:val="20"/>
          <w:szCs w:val="20"/>
          <w:color w:val="auto"/>
        </w:rPr>
      </w:pPr>
      <w:r>
        <w:rPr>
          <w:rFonts w:ascii="Arial" w:cs="Arial" w:eastAsia="Arial" w:hAnsi="Arial"/>
          <w:sz w:val="18"/>
          <w:szCs w:val="18"/>
          <w:color w:val="auto"/>
        </w:rPr>
        <w:t>•</w:t>
        <w:tab/>
        <w:t>beginning days after the date of this prospectus, subject to certain exceptions as described in the section titled below, additional shares of Class B common stock will become eligible for sale in the public market, of which</w:t>
      </w:r>
    </w:p>
    <w:p>
      <w:pPr>
        <w:spacing w:after="0" w:line="20" w:lineRule="exact"/>
        <w:rPr>
          <w:sz w:val="20"/>
          <w:szCs w:val="20"/>
          <w:color w:val="auto"/>
        </w:rPr>
      </w:pPr>
      <w:r>
        <w:rPr>
          <w:sz w:val="20"/>
          <w:szCs w:val="20"/>
          <w:color w:val="auto"/>
        </w:rPr>
        <w:br w:type="column"/>
      </w:r>
    </w:p>
    <w:p>
      <w:pPr>
        <w:jc w:val="right"/>
        <w:ind w:right="20"/>
        <w:spacing w:after="0" w:line="274" w:lineRule="auto"/>
        <w:rPr>
          <w:sz w:val="20"/>
          <w:szCs w:val="20"/>
          <w:color w:val="auto"/>
        </w:rPr>
      </w:pPr>
      <w:r>
        <w:rPr>
          <w:rFonts w:ascii="Arial" w:cs="Arial" w:eastAsia="Arial" w:hAnsi="Arial"/>
          <w:sz w:val="17"/>
          <w:szCs w:val="17"/>
          <w:color w:val="auto"/>
        </w:rPr>
        <w:t>“Underwriting” shares will</w:t>
      </w:r>
    </w:p>
    <w:p>
      <w:pPr>
        <w:spacing w:after="0" w:line="1" w:lineRule="exact"/>
        <w:rPr>
          <w:sz w:val="20"/>
          <w:szCs w:val="20"/>
          <w:color w:val="auto"/>
        </w:rPr>
      </w:pPr>
    </w:p>
    <w:p>
      <w:pPr>
        <w:sectPr>
          <w:pgSz w:w="11900" w:h="16838" w:orient="portrait"/>
          <w:cols w:equalWidth="0" w:num="2">
            <w:col w:w="9900" w:space="100"/>
            <w:col w:w="1140"/>
          </w:cols>
          <w:pgMar w:left="320" w:top="459" w:right="439"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be held by affiliates and subject to the volume and other restrictions of Rule 144, as described below; and</w:t>
      </w:r>
    </w:p>
    <w:p>
      <w:pPr>
        <w:spacing w:after="0" w:line="116" w:lineRule="exact"/>
        <w:rPr>
          <w:sz w:val="20"/>
          <w:szCs w:val="20"/>
          <w:color w:val="auto"/>
        </w:rPr>
      </w:pPr>
    </w:p>
    <w:p>
      <w:pPr>
        <w:ind w:left="880" w:right="20" w:hanging="224"/>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remainder of the shares of Class B common stock will be eligible for sale in the public market from time to time thereafter, subject in some cases to the volume and other restrictions of Rule 144, as described below.</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our executive officers, directors and holders of substantially all of our Class B common stock and securities convertible into or exchangeable for our Class B common stock, have agreed or will agree that, subject to certain exceptions, for a period of days from the date of this prospectus, we and they will not, without the prior written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consent of , dispose of or hedge any shares or any securities convertible into or exchangeable for shares of our capital stock. , in discretion, may release any of the securities subject to these lock-up agreements at any time. This agreement is further described as set forth in the section titled “Underwriting.”</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substantially all of our security holders, including our investor rights agreement and our standard form of option agreement, that contain market stand-off provisions imposing restrictions on the ability of such security holders to offer, sell, or transfer our equity securities for a period of 180 days following the date of this prospectus.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2"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140"/>
          </w:cols>
          <w:pgMar w:left="320" w:top="459" w:right="439" w:bottom="1440" w:gutter="0" w:footer="0" w:header="0"/>
        </w:sectPr>
      </w:pPr>
    </w:p>
    <w:p>
      <w:pPr>
        <w:spacing w:after="0" w:line="52" w:lineRule="exact"/>
        <w:rPr>
          <w:sz w:val="20"/>
          <w:szCs w:val="20"/>
          <w:color w:val="auto"/>
        </w:rPr>
      </w:pPr>
    </w:p>
    <w:p>
      <w:pPr>
        <w:ind w:left="880" w:right="180" w:hanging="219"/>
        <w:spacing w:after="0" w:line="277" w:lineRule="auto"/>
        <w:tabs>
          <w:tab w:leader="none" w:pos="860" w:val="left"/>
        </w:tabs>
        <w:rPr>
          <w:sz w:val="20"/>
          <w:szCs w:val="20"/>
          <w:color w:val="auto"/>
        </w:rPr>
      </w:pPr>
      <w:r>
        <w:rPr>
          <w:rFonts w:ascii="Arial" w:cs="Arial" w:eastAsia="Arial" w:hAnsi="Arial"/>
          <w:sz w:val="18"/>
          <w:szCs w:val="18"/>
          <w:color w:val="auto"/>
        </w:rPr>
        <w:t>•</w:t>
        <w:tab/>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2">
            <w:col w:w="9000" w:space="720"/>
            <w:col w:w="1420"/>
          </w:cols>
          <w:pgMar w:left="320" w:top="459" w:right="439" w:bottom="1440" w:gutter="0" w:footer="0" w:header="0"/>
          <w:type w:val="continuous"/>
        </w:sectPr>
      </w:pPr>
    </w:p>
    <w:p>
      <w:pPr>
        <w:ind w:left="880" w:right="20" w:hanging="224"/>
        <w:spacing w:after="0" w:line="27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the investor rights agreement, the holders of up to 358,036,944 shares of our Class B common stock (including shares issuable upon the conversion of our outstanding redeemable convertible preferred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immediately prior to the completion of this offering and shares issued upon the exercise of a warrant held by Comerica Ventures Incorporated,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 on Form S-8</w:t>
      </w:r>
    </w:p>
    <w:p>
      <w:pPr>
        <w:spacing w:after="0" w:line="22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intend to file a registration statement on Form S-8 under the Securities Act to register all of the shares of our Class A common stock and Class B common stock issued or reserved for issuance under our 2011 Plan, our 2021 Plan, and our ESPP. We expect to file this registration statement as promptly as possible after the completion of this offering. Shares covered by this registration statement will be eligible for sale in the public market, subject to the Rule 144 limitations applicable to affiliates, vesting restrictions and any applicable lock-up agreements and market standoff agreements. As of December 31, 2020, RSUs and options to purchase a total of 27,851,710 shares of our Class B common stock pursuant to our 2011 Plan were outstanding and no options or other equity awards were outstanding or exercisable under our 2021 Plan.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is a discussion of the material U.S. federal income tax consequences relating to ownership and disposition of our Class A common stock by a non-U.S. holder. For purposes of this discussion, the term “non-U.S. holder” means a beneficial owner of our Class A common stock that is not, for U.S. federal income tax purposes:</w:t>
      </w:r>
    </w:p>
    <w:p>
      <w:pPr>
        <w:spacing w:after="0" w:line="89" w:lineRule="exact"/>
        <w:rPr>
          <w:sz w:val="20"/>
          <w:szCs w:val="20"/>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IRS regarding the matters discussed below. Any change could alter the tax consequences to non-U.S. holders described in this prospectus. In addition, the Internal Revenue Service, or the IRS, could challenge one or more of the tax consequences described in this prospectus.</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assume in this discussion that each non-U.S. holder holds shares of our Class A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00"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owners that hold our Class A common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persons that elect to apply Section 1400Z-2 of the Code to gains recognized with respect to shares of our Class A common stock;</w:t>
      </w:r>
    </w:p>
    <w:p>
      <w:pPr>
        <w:spacing w:after="0" w:line="142" w:lineRule="exact"/>
        <w:rPr>
          <w:rFonts w:ascii="Arial" w:cs="Arial" w:eastAsia="Arial" w:hAnsi="Arial"/>
          <w:sz w:val="17"/>
          <w:szCs w:val="17"/>
          <w:color w:val="auto"/>
        </w:rPr>
      </w:pPr>
    </w:p>
    <w:p>
      <w:pPr>
        <w:jc w:val="both"/>
        <w:ind w:left="880" w:right="20" w:hanging="224"/>
        <w:spacing w:after="0" w:line="286"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pursuant to the exercise of any option or acquire our Class A common stock as compensation for services; persons subject to special tax accounting rules as a result of any item of gross income with respect to our Class A common stock being taken into account in an “applicable financial statement” as defined in Section 451(b) of the Code; or</w:t>
      </w:r>
    </w:p>
    <w:p>
      <w:pPr>
        <w:spacing w:after="0" w:line="70" w:lineRule="exact"/>
        <w:rPr>
          <w:rFonts w:ascii="Arial" w:cs="Arial" w:eastAsia="Arial" w:hAnsi="Arial"/>
          <w:sz w:val="17"/>
          <w:szCs w:val="17"/>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holders of our Class B common stock.</w:t>
      </w:r>
    </w:p>
    <w:p>
      <w:pPr>
        <w:spacing w:after="0" w:line="22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Class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Class A common stock through a partnership or other transparent entity, as applicable.</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Prospective investors should consult their own tax advisors regarding the U.S. federal, state or local and non-U.S. income and other tax considerations of acquiring, holding and disposing of our Class A common stock.</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do not currently expect to pay any dividends. See the section titled “Dividend Policy.” However, in the event that we do pay distributions of cash or property on our Class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Class A common stock. Any remaining excess will be treated as capital gain, subject to the tax treatment described below under the heading “Gain on Sale, Exchange or Other Taxable Disposition of Class A Common Stock.”</w:t>
      </w:r>
    </w:p>
    <w:p>
      <w:pPr>
        <w:spacing w:after="0" w:line="178"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 non-U.S. holder of our Class A common stock who claims the benefit of an applicable income tax treaty between the United States and such holder’s country of residence with respect to U.S. withholding taxes generally will be required to provide a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a properly executed original and unexpired IRS Form W-8ECI properly certifying such exemption. However, such U.S. effectively connected income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Gain on Sale, Exchange or Other Taxable Disposition of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Class A common stock unless:</w:t>
      </w:r>
    </w:p>
    <w:p>
      <w:pPr>
        <w:spacing w:after="0" w:line="89" w:lineRule="exact"/>
        <w:rPr>
          <w:sz w:val="20"/>
          <w:szCs w:val="20"/>
          <w:color w:val="auto"/>
        </w:rPr>
      </w:pPr>
    </w:p>
    <w:p>
      <w:pPr>
        <w:jc w:val="both"/>
        <w:ind w:left="880" w:right="20" w:hanging="224"/>
        <w:spacing w:after="0" w:line="275" w:lineRule="auto"/>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81" w:lineRule="exact"/>
        <w:rPr>
          <w:rFonts w:ascii="Arial" w:cs="Arial" w:eastAsia="Arial" w:hAnsi="Arial"/>
          <w:sz w:val="17"/>
          <w:szCs w:val="17"/>
          <w:color w:val="auto"/>
        </w:rPr>
      </w:pPr>
    </w:p>
    <w:p>
      <w:pPr>
        <w:jc w:val="both"/>
        <w:ind w:left="880" w:right="20" w:hanging="224"/>
        <w:spacing w:after="0" w:line="301" w:lineRule="auto"/>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non-U.S. holder is an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62" w:lineRule="exact"/>
        <w:rPr>
          <w:rFonts w:ascii="Arial" w:cs="Arial" w:eastAsia="Arial" w:hAnsi="Arial"/>
          <w:sz w:val="16"/>
          <w:szCs w:val="16"/>
          <w:color w:val="auto"/>
        </w:rPr>
      </w:pPr>
    </w:p>
    <w:p>
      <w:pPr>
        <w:jc w:val="both"/>
        <w:ind w:left="880" w:hanging="224"/>
        <w:spacing w:after="0" w:line="255"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are or were a “United States real property holding corporation” during a certain look-back period, unless our Class A common stock is regularly traded on an established securities market and the non-U.S. holder held no more than five percent of our outstanding Class A common stock, directly or indirectly, actually or constructively, during the shorter of the five-year period ending on the date of the disposition or the period that the non-U.S. holder held our Class A common stock. In such case, such non-U.S. holder generally will be taxed on its net gain derived from the disposition at the graduated U.S. federal income tax rates applicable to United States persons (as defined in the Code). Generally, 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(or the applicable paying agent) must report annually to the IRS and to each non-U.S. holder the gross amount of the distributions on our Class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Class A common stock. Generally, a holder will comply with such procedures if it provides a properly executed IRS Form W-8BEN or W-8BEN-E or otherwise establishes an exemption. However, information returns are required to be filed with the IRS in connection with any dividends on our common stock paid to the Non-U.S. Holder, regardless of whether any tax was actually withheld.</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Class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Provisions of the Code commonly referred to as the Foreign Account Tax Compliance Act and associated guidance, or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United States person who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Class A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191"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The preceding discussion of material U.S. federal income tax considerations is for general information only. It is not tax advice. Prospective investors should consult their own tax advisors regarding the particular U.S. federal, state and local and non-U.S. tax consequences of purchasing, holding and disposing of our Class A common stock, including the consequences of any proposed changes in applicable laws.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and the underwriters named below will enter into an underwriting agreement with respect to the shares of Class A common stock being offered.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LLC and J.P. Morgan Securities LLC are the representatives of the underwriters.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10080" w:type="dxa"/>
            <w:vAlign w:val="bottom"/>
          </w:tcPr>
          <w:p>
            <w:pPr>
              <w:jc w:val="center"/>
              <w:ind w:left="93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10080" w:type="dxa"/>
            <w:vAlign w:val="bottom"/>
          </w:tcPr>
          <w:p>
            <w:pPr>
              <w:jc w:val="center"/>
              <w:ind w:left="934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 Seelaus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5715</wp:posOffset>
            </wp:positionV>
            <wp:extent cx="4540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25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underwriters will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 shown</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w w:val="96"/>
              </w:rPr>
              <w:t>assuming both no exercise and full exercise of the underwriters’ option to purchase</w:t>
            </w: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w w:val="90"/>
              </w:rPr>
              <w:t>additional shares of our Class A common stock.</w:t>
            </w:r>
          </w:p>
        </w:tc>
        <w:tc>
          <w:tcPr>
            <w:tcW w:w="820" w:type="dxa"/>
            <w:vAlign w:val="bottom"/>
          </w:tcPr>
          <w:p>
            <w:pPr>
              <w:spacing w:after="0"/>
              <w:rPr>
                <w:sz w:val="20"/>
                <w:szCs w:val="20"/>
                <w:color w:val="auto"/>
              </w:rPr>
            </w:pPr>
          </w:p>
        </w:tc>
      </w:tr>
      <w:tr>
        <w:trPr>
          <w:trHeight w:val="377"/>
        </w:trPr>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20" w:type="dxa"/>
            <w:vAlign w:val="bottom"/>
          </w:tcPr>
          <w:p>
            <w:pPr>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The underwriters may offer and sell shares of our Class A common stock through certain of their affiliates or other registered broker-dealers or selling agents.</w:t>
      </w:r>
    </w:p>
    <w:p>
      <w:pPr>
        <w:spacing w:after="0" w:line="176"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We and our officers, directors and holders of substantially all of our common stock and securities convertible into or exchangeable for shares of our common stock have agreed with the underwriters of this offering that, subject to certain exceptions, we and they will not dispose of or hedge any shares of common stock or securities convertible into or exchangeable for shares of common stock during the period from the date of this prospectus</w:t>
      </w:r>
    </w:p>
    <w:p>
      <w:pPr>
        <w:spacing w:after="0" w:line="2"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7"/>
          <w:szCs w:val="17"/>
          <w:color w:val="auto"/>
        </w:rPr>
        <w:t>continuing through the date days after the date of this prospectus, except with the prior written consent of . This agreement does not apply to any existing employee benefit plans. See the section titled “Shares Eligible for Future Sale” for a discussion of certain transfer restrictions.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Prior to the offering, there has been no public market for our Class A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apply to list our Class A common stock on Nasdaq under the symbol “MQ.”</w:t>
      </w:r>
    </w:p>
    <w:p>
      <w:pPr>
        <w:spacing w:after="0" w:line="225"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8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 million. We will agree to reimburse the underwriters for expenses related to any applicable state securities filings incurred by them in connection with this offering in an amount up to $ .</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will agree to reimburse us for certain expenses incurred by us in connection with this offering upon closing of this offering.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agree to indemnify the several underwriters against certain liabilities, including liabilities under the Securities Act.</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Regulation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Regulation:</w:t>
      </w:r>
    </w:p>
    <w:p>
      <w:pPr>
        <w:spacing w:after="0" w:line="54"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Regulation,</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Regulation.</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Member State by any measure implementing the Prospectus Regulation in that Member State; and the expression “Prospectus Regulation” means Regulation (EU) 2017/1129, and includes any relevant implementing measure in the Relevant Member State.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Goodwin Procter LLP, Redwood City, California, which has acted as our counsel in connection with this offering, will pass upon the validity of the shares of our Class A common stock being offered by this prospectus. The underwriters have been represented by Wilson Sonsini Goodrich &amp; Rosati, P.C., Palo Alto, California.</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2019 and 2020, and for each of the two years in the period ended December 31, 2020, as set forth in their report. We have included our financial statements in the prospectus and elsewhere in the registration statement in reliance on Ernst &amp; Young LLP’s report, given on their authority as experts in accounting and auditing.</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We have submitted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www.marqeta.com.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6"/>
            <w:vMerge w:val="restart"/>
          </w:tcPr>
          <w:p>
            <w:pPr>
              <w:spacing w:after="0"/>
              <w:rPr>
                <w:rFonts w:ascii="Arial" w:cs="Arial" w:eastAsia="Arial" w:hAnsi="Arial"/>
                <w:sz w:val="18"/>
                <w:szCs w:val="18"/>
                <w:color w:val="0000EE"/>
                <w:w w:val="91"/>
              </w:rPr>
            </w:pPr>
            <w:hyperlink w:anchor="page176">
              <w:r>
                <w:rPr>
                  <w:rFonts w:ascii="Arial" w:cs="Arial" w:eastAsia="Arial" w:hAnsi="Arial"/>
                  <w:sz w:val="18"/>
                  <w:szCs w:val="18"/>
                  <w:color w:val="0000EE"/>
                  <w:w w:val="91"/>
                </w:rPr>
                <w:t>Report of Independent Registered Public Accounting Firm</w:t>
              </w:r>
            </w:hyperlink>
          </w:p>
        </w:tc>
        <w:tc>
          <w:tcPr>
            <w:tcW w:w="6180" w:type="dxa"/>
            <w:vAlign w:val="bottom"/>
            <w:gridSpan w:val="2"/>
            <w:vMerge w:val="restart"/>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6"/>
            <w:vMerge w:val="continue"/>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0" w:type="dxa"/>
            <w:vAlign w:val="bottom"/>
            <w:gridSpan w:val="8"/>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Consolidated Balance Sheets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79">
              <w:r>
                <w:rPr>
                  <w:rFonts w:ascii="Arial" w:cs="Arial" w:eastAsia="Arial" w:hAnsi="Arial"/>
                  <w:sz w:val="18"/>
                  <w:szCs w:val="18"/>
                  <w:color w:val="0000EE"/>
                  <w:w w:val="89"/>
                </w:rPr>
                <w:t>Consolidated Statements of Comprehensive Loss</w:t>
              </w:r>
            </w:hyperlink>
          </w:p>
        </w:tc>
        <w:tc>
          <w:tcPr>
            <w:tcW w:w="68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80">
              <w:r>
                <w:rPr>
                  <w:rFonts w:ascii="Arial" w:cs="Arial" w:eastAsia="Arial" w:hAnsi="Arial"/>
                  <w:sz w:val="18"/>
                  <w:szCs w:val="18"/>
                  <w:color w:val="0000EE"/>
                  <w:w w:val="90"/>
                </w:rPr>
                <w:t>Consolidated Statements of Redeemable Convertible Preferred Stock and Stockholders’ Deficit</w:t>
              </w:r>
            </w:hyperlink>
          </w:p>
        </w:tc>
        <w:tc>
          <w:tcPr>
            <w:tcW w:w="35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Consolidated Statements of Cash Flows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Notes to Consolidated Financial Statements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8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Marqeta, Inc. (the Company) as of December 31, 2019 and 2020, the related consolidated statements of operations, comprehensive loss, redeemable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60,344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220,433</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7,800</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95,225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149,903</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3,974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8,420</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receivable,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12,867</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Network incentives receivable</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10,622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20,022</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11,461</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197,205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430,906</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10,520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9,477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15,248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13,411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3,886</w:t>
            </w: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223,191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457,680</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2,362</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Revenue share payable</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29,749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78,191</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60,545</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141,098</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2,517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17,669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15,449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10,452</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169,516</w:t>
            </w:r>
          </w:p>
        </w:tc>
        <w:tc>
          <w:tcPr>
            <w:tcW w:w="120" w:type="dxa"/>
            <w:vAlign w:val="bottom"/>
          </w:tcPr>
          <w:p>
            <w:pPr>
              <w:spacing w:after="0"/>
              <w:rPr>
                <w:sz w:val="19"/>
                <w:szCs w:val="19"/>
                <w:color w:val="auto"/>
              </w:rPr>
            </w:pPr>
          </w:p>
        </w:tc>
      </w:tr>
      <w:tr>
        <w:trPr>
          <w:trHeight w:val="115"/>
        </w:trPr>
        <w:tc>
          <w:tcPr>
            <w:tcW w:w="8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Commitments and contingencies (Note 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10"/>
        </w:trPr>
        <w:tc>
          <w:tcPr>
            <w:tcW w:w="8980" w:type="dxa"/>
            <w:vAlign w:val="bottom"/>
          </w:tcPr>
          <w:p>
            <w:pPr>
              <w:spacing w:after="0"/>
              <w:rPr>
                <w:sz w:val="20"/>
                <w:szCs w:val="20"/>
                <w:color w:val="auto"/>
              </w:rPr>
            </w:pPr>
            <w:r>
              <w:rPr>
                <w:rFonts w:ascii="Arial" w:cs="Arial" w:eastAsia="Arial" w:hAnsi="Arial"/>
                <w:sz w:val="18"/>
                <w:szCs w:val="18"/>
                <w:color w:val="auto"/>
              </w:rPr>
              <w:t>Redeemable convertible preferred stock, $0.0001 par value; 337,047,188 and 352,047,950 shares authorized;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w w:val="98"/>
              </w:rPr>
              <w:t>336,843,578 and 351,844,340 shares issued and outstanding; aggregate liquidation preference of $378,707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$552,868 as of December 31, 2019 and 2020, respectively</w:t>
            </w:r>
          </w:p>
        </w:tc>
        <w:tc>
          <w:tcPr>
            <w:tcW w:w="1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w w:val="95"/>
              </w:rPr>
              <w:t>335,748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501,881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w w:val="97"/>
              </w:rPr>
              <w:t>Common stock, $0.0001 par value; 503,000,000 and 545,000,000 shares authorized, 118,430,031 and 130,312,838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shares issued and outstanding as of December 31, 2019 and 2020, respectively</w:t>
            </w:r>
          </w:p>
        </w:tc>
        <w:tc>
          <w:tcPr>
            <w:tcW w:w="1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39,769</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25</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8"/>
              </w:rPr>
              <w:t>(205,829)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(253,524)</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(198,406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(213,717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223,191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457,680</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Costs of revenue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82,814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172,385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60,453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117,907</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86,506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126,861</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8,960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7,117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30"/>
        </w:trPr>
        <w:tc>
          <w:tcPr>
            <w:tcW w:w="76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119,316</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(58,863)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(47,087)</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(47,608)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Deemed dividend to redeemable convertible preferred stockholders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(64,149)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(122,349)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Weighted-average shares used in computing net loss per share attributable to common stockholders,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113,851,714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122,932,556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Year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$(58,200)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$(47,695)</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3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Change in unrealized gain on marketable securities</w:t>
            </w:r>
          </w:p>
        </w:tc>
        <w:tc>
          <w:tcPr>
            <w:tcW w:w="26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r>
      <w:tr>
        <w:trPr>
          <w:trHeight w:val="27"/>
        </w:trPr>
        <w:tc>
          <w:tcPr>
            <w:tcW w:w="6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(58,153)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(47,716)</w:t>
            </w:r>
          </w:p>
        </w:tc>
      </w:tr>
      <w:tr>
        <w:trPr>
          <w:trHeight w:val="20"/>
        </w:trPr>
        <w:tc>
          <w:tcPr>
            <w:tcW w:w="6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3040" w:type="dxa"/>
            <w:vAlign w:val="bottom"/>
          </w:tcPr>
          <w:p>
            <w:pPr>
              <w:spacing w:after="0"/>
              <w:rPr>
                <w:sz w:val="2"/>
                <w:szCs w:val="2"/>
                <w:color w:val="auto"/>
              </w:rPr>
            </w:pPr>
          </w:p>
        </w:tc>
        <w:tc>
          <w:tcPr>
            <w:tcW w:w="16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3040" w:type="dxa"/>
            <w:vAlign w:val="bottom"/>
          </w:tcPr>
          <w:p>
            <w:pPr>
              <w:spacing w:after="0"/>
              <w:rPr>
                <w:sz w:val="11"/>
                <w:szCs w:val="11"/>
                <w:color w:val="auto"/>
              </w:rPr>
            </w:pPr>
          </w:p>
        </w:tc>
        <w:tc>
          <w:tcPr>
            <w:tcW w:w="16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2019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287,216,434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$ 114,842</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121,411,803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76"/>
              </w:rPr>
              <w:t>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(87,788)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(84,907)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rPr>
              <w:t>Issuance of Series E redeemable convertible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at $3.89 per share, net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issuance costs of $7,010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38,552,483</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142,990</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Exchange of common stock for Series 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11,074,661</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13,767</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(11,074,661)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(13,767)</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(13,767)</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9"/>
              </w:rPr>
              <w:t>Deemed dividend upon the exchange of Series 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w w:val="98"/>
              </w:rPr>
              <w:t>and Series C redeemable convertible preferred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stock for Series E redeemable convertible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64,149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(4,308)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(59,841)</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(64,149)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7,767,038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762,440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(436,589)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298</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21,757</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21,757</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(58,200)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(58,200)</w:t>
            </w: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336,843,578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335,748</w:t>
            </w: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118,430,031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w w:val="76"/>
              </w:rPr>
              <w:t>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7,365</w:t>
            </w: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(205,829)</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(198,406)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E-1 redeemable convertible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 at $8.34 per share, net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costs of $8,058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20,989,756</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166,942</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Conversion of Series A and Series C redeemable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convertible preferred stock to common stock</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(5,988,994)</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(809)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5,988,994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808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5,236,999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2,472</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847,184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(190,370)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742</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common stock warrants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28,211</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(47,695)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351,844,340</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501,881</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130,312,838</w:t>
            </w: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13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39,769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25</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(253,524)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(213,717)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Non-cash operating leases expense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(Accretion) Amortization of discount on 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 method investment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receivable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Network incentives receivable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share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34,997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Net cash (used in) /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(15,428)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(528,300)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(216,200)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Sales of marketable securities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71,981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433,640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89,032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 of equity method investment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(57,562)</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142,990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166,942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Repayment of bank loan and related fees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including early exercised stock options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early exercised unvested options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139,049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167,378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160,089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44,841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68,144</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228,233</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220,433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228,233</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5380"/>
              <w:spacing w:after="0"/>
              <w:rPr>
                <w:sz w:val="20"/>
                <w:szCs w:val="20"/>
                <w:color w:val="auto"/>
              </w:rPr>
            </w:pPr>
            <w:r>
              <w:rPr>
                <w:rFonts w:ascii="Arial" w:cs="Arial" w:eastAsia="Arial" w:hAnsi="Arial"/>
                <w:sz w:val="18"/>
                <w:szCs w:val="18"/>
                <w:color w:val="auto"/>
              </w:rPr>
              <w:t>F-7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317</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109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accrued and not yet paid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159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w w:val="95"/>
              </w:rPr>
              <w:t>Deemed dividend upon the exchange for Series A and Series C redeemable convertible preferred stock for Series E</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180"/>
              <w:spacing w:after="0"/>
              <w:rPr>
                <w:sz w:val="20"/>
                <w:szCs w:val="20"/>
                <w:color w:val="auto"/>
              </w:rPr>
            </w:pPr>
            <w:r>
              <w:rPr>
                <w:rFonts w:ascii="Arial" w:cs="Arial" w:eastAsia="Arial" w:hAnsi="Arial"/>
                <w:sz w:val="18"/>
                <w:szCs w:val="18"/>
                <w:color w:val="auto"/>
              </w:rPr>
              <w:t>redeemable convertible preferred stock</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64,149</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809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Vesting of early exercised stock options</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580" w:type="dxa"/>
            <w:vAlign w:val="bottom"/>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not yet paid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426</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Marqeta, Inc., or the Company, creates digital payment technology for innovation leaders. The Company’s modern card issuing Platform places control over payment transactions into the hands of its Customers, enabling them to develop modern state-of-the-art product experiences.</w:t>
      </w:r>
    </w:p>
    <w:p>
      <w:pPr>
        <w:spacing w:after="0" w:line="14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 The Company primarily earns revenue from processing card transactions for its Customers.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was incorporated in the state of Delaware in 2010 and is headquartered in Oakland, California, with offices in the United Kingdom.</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subsidiary, have been prepared in conformity with Generally Accepted Accounting Principles (GAAP). All intercompany balances and transactions have been eliminated in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preparation of the financial statements requires management to make estimates and assumptions relating to reported amounts of assets and liabilities, disclosure of contingent assets and liabilities, and reported amounts of revenues and expenses. Significant estimates and assumptions relate to the estimation of variable consideration in contracts with Customers, collectability of accounts receivable, reserve for contract contingencies and processing errors, the useful lives of property and equipment, the incremental borrowing rate used to determine operating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lease liabilities, the fair value of equity awards and warrants, and share-based compensation. Actual results could differ materially from these estimates.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Business Risks and Uncertainties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 has incurred net losses since its inception. For the year ended December 31, 2020, the Company incurred a net loss of $47.7 million, and had an accumulated deficit of $253.5 million as of December 31, 2020. The Company expects losses from operations to continue for the foreseeable future as it incurs costs and expenses related to acquiring new Customers, developing its brand, expanding into new geographies, developing the existing Platform infrastructure, and creating new products for Customers. The Company believes that its cash and cash equivalents of $220.4 million and marketable securities of $149.9 million as of December 31, 2020 are sufficient to fund its operations through at least the next twelve months from the issuance of these financial statements.</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Since then, the COVID-19 pandemic has continued to spread throughout the United States. While the Company has not been adversely affected by the COVID-19 pandemic to date, the prolonged disruption to the economy and the long-term financial impact of the pandemic cannot be reasonably estimated. The Company continues to monitor the situation and may take actions that alter its operations and business practices as may be required by federal, state, or local authorities or that the Company determines are in the best interests of its Customers, vendors, and employees.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 xml:space="preserve">On January 1, 2019, the Company adopted Accounting Standards Codification, or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Company’s contracts with Customers typically include two performance obligations: (i) providing access to the Company’s payment processing Platform and (ii) providing card fulfillment services. Certain Customer contracts require the Company to allocate the transaction price of the contract based on the relative stand-alone selling price of the performance obligations which are estimated using an analysis of the Company’s historical contract pricing and costs incurred to fulfill its services.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generates revenue from providing platform services and other services as described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Services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delivers an integrated payment transaction processing Platform to its Customers. The Company’s primary performance obligation is to provide Customers continuous access to the Company’s Platform to process all Customers’ transactions as needed. This obligation includes authorizing, settling, clearing and reconciling all transactions and managing the interactions with the Issuing Banks and Card Networks on behalf of its Customers. All these services are collectively considered a single performance obligation.</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Company’s Platform services revenue is primarily derived from Interchange Fees generated by Customer card transactions and other transaction fees collected from Customers. The Company accounts for these Interchange Fees as revenue earned from its Customers because the Company controls the services before delivery to the Customer.</w:t>
      </w:r>
    </w:p>
    <w:p>
      <w:pPr>
        <w:spacing w:after="0" w:line="184"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Company’s Platform service consists of a stand-ready service of distinct transaction processing services that are substantially the same, with the same pattern of transfer to Customers. As such, the stand-ready obligation is accounted for as a single performance obligation that is a series of distinct services whereby the variability of the transaction value is satisfied daily as the performance obligation is satisfied. The Company satisfies its performance obligation to provide Platform services over time as Customers have continuous access to the Company’s Platform and the Company stands-ready to process Customer transactions throughout their term of access. The Company recognizes revenue when the underlying transactions are complete, and its performance obligation is satisfied. Transactions are considered complete when the Company has authorized the transaction, validated that the transaction has no errors and accepted and posted the data to its records. The Company does not have any capitalized contract costs.</w:t>
      </w:r>
    </w:p>
    <w:p>
      <w:pPr>
        <w:spacing w:after="0" w:line="166"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Company allocates variable consideration to the distinct month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is three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the Issuer Processor for its Customers, the Company is the principal in providing the services under its contracts with Customers. To deliver the services required by its Customers, the Company contracts with Card Networks for transaction routing, reporting, and settlement services and with Issuing Banks for card issuing, Card Network sponsorship, and regulatory compliance approval services. The Company controls these integrated services before delivery to its Customers, it is primarily responsible for the delivery of the services to Customers, and it has discretion in vendor selection. As such, the Company records fees paid to the Issuing Banks and Card Networks as costs of revenue. The Company’s contracts with Customers include certain service level agreements which could require the Company to make payments to Customers if service levels are not met. Any service level payment is recorded as a reduction to net revenue in the consolidated statements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Share</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Company’s contracts with Customers typically include provisions under which the Company shares a portion of the Interchange Fees with its Customers, referred to as Revenue Share. Revenue Share payments are incentives to Customers to increase their processing volume on the Company’s Platform. Revenue Share is generally computed as a percentage of the Interchange Fees earned or processing volume and is paid to Customers monthly.</w:t>
      </w:r>
    </w:p>
    <w:p>
      <w:pPr>
        <w:spacing w:after="0" w:line="14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does not receive a distinct good or service from the Customer in exchange for Revenue Share payments, and therefore records Revenue Share as a reduction to net revenue in the consolidated statements of operations. The Company records the amount due to the Customer as Revenue Share payable on the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Services Revenue</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Deferred revenue arises when Customers pay or are obligated to pay for services in advance of the Company’s revenue recognition. The Company’s deferred revenue is primarily due to variable consideration from Customer contracts where pricing terms are not consistent throughout the entire term of the contract, non-refundable upfront setup fees that are billed at contract inception, and card fulfillment services that are billed to Customers in advance of the delivery of the ordered cards.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Reserve for Contract Contingencies and Processing Errors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Costs of Revenue</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The Company’s contracts with Card Networks and Issuing Banks typically have terms ranging from three to five years which may be renewed in one-year to two-year increments as agreed by both parties. Issuing Bank costs compensate Issuing Banks for issuing cards to the Company’s Customers and sponsoring the Company’s card programs with the Card Networks and are generally equal to a specified percentage of the processing volume or a fixed amount per transaction, subject to monthly minimum amounts. Card fulfillment costs include physical cards, packaging, and other fulfillment costs.</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based on a percentage of the volume processed over the respective Card Network. Uncollected incentives are included in prepaid expenses and other current assets on the consolidated balance sheets. The Company records these incentives as a reduction of costs of revenue on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Segment Information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years ended December 31, 2019 and 2020, revenue outside of the United States, based on the billing address of the Customer, was not material.</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2020, long-lived assets located outside of the United States were not material.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functional currency of the Company’s foreign subsidiary is its respective local currency. Translation adjustments arising from the use of differing exchange rates from period to period are included in accumulated other comprehensive income (loss) within the consolidated balance sheets and the consolidated statements of redeemable convertible preferred stock and stockholders’ deficit. Foreign currency transaction gains and losses are included in other income (expense), net in the consolidated statements of operations. All assets and liabilities denominated in a foreign currency are translated into U.S. dollars at the exchange rate on the balance sheet date. Revenue and expenses are translated at the average exchange rate during the period, and equity balances are translated using historical exchange rates.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primarily of bank deposit accounts and investments in money market funds.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Restricted cash consists of deposits with Issuing Banks to provide the Issuing Bank collateral in the event that Customers’ funds are not deposited at the Issuing Banks in time to settle Customers’ transactions with the Card Networks. Restricted cash also includes cash used to secure a letter of credit for the Company’s lease of its office headquarters in Oakland, California.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marketable securities include U.S. government securities, commercial paper, asset-backed securities and corporate debt securities. The Company’s marketable securities are accounted for as securities available-for-sale and are classified within current assets in the consolidated balance sheets as the Company may sell these securities at any time for use in its operations, even prior to maturity. The Company carries these marketable securities at fair value, and records any unrealized gain and loss, net of taxes, in accumulated other comprehensive income (loss), a component of stockholders’ deficit. The Company records any realized gains or losses on the sale of marketable securities in other income (expense), net in the consolidated statements of operations.</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Management regularly reviews whether marketable securities are other-than-temporarily impaired. If any impairment is considered other-than-temporary, the Company writes down the investment to its then fair value and records the corresponding charge through other income (expense), net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Accounts receivable are recorded at invoiced amounts and do not earn interest. The Company estimates an allowance for doubtful accounts receivable by making its best estimate of specific uncollectible accounts considering its historical accounts receivable collection experience and the information that management has about the current status of accounts receivable balances. As of December 31, 2019 and 2020, the allowance for doubtful accounts receivable was $0.2 million and $0.1 million,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Settlements receivable represent Interchange Fees earned on Customers’ card transactions, net of pass through Card Network fees, and are due from Issuing Banks. Settlements receivable are typically received within one or two business days of the transaction date and are due from well-established Issuing Banks, mitigating the associated risk of collection. No valuation allowance has been established. The Company does not generate revenue from Issuing Banks.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Offering Costs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Deferred offering costs consist primarily of accounting, legal, and other fees related to the Company’s proposed initial public offering (“IPO”). Upon consummation of the IPO, the deferred offering costs will be reclassified to stockholders’ equity (deficit) and recorded net against the proceeds from the offering. In the event the IPO is aborted, deferred offering costs will be expensed. The Company capitalized $3.1 million of deferred offering costs within other assets, noncurrent in the consolidated balance sheet as of December 31, 2020. No offering costs were deferred as of December 31, 2019.</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Estimated useful lives range from three to five years for purchased and internally developed software, computer equipment, and furniture and fixtures. Leasehold improvements are amortized over the shorter of the lease term, excluding renewal periods, or the estimated useful life of the leasehold improvement.</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Gains and losses realized on the sale or disposal of property and equipment are recognized or charged to other income (expense), net in the consolidated statements of operations.</w:t>
      </w:r>
    </w:p>
    <w:p>
      <w:pPr>
        <w:spacing w:after="0" w:line="170"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Company evaluates the carrying value of property and equipment on an annual basis, or more frequently whenever circumstances indicate a long-lived asset may be impaired. When indicators of impairment exist, the Company estimates the future undiscounted cash flows attributable to such assets. In the event cash flows are not expected to be sufficient to recover the recorded value of the assets, the assets are written down to their estimated fair value. During the years ended December 31, 2019 and 2020, the Company did not recognize any impairment of long-lived assets.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76" w:lineRule="exact"/>
        <w:rPr>
          <w:sz w:val="20"/>
          <w:szCs w:val="20"/>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as of the reporting date;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3—unobservable inputs.</w:t>
      </w:r>
    </w:p>
    <w:p>
      <w:pPr>
        <w:spacing w:after="0" w:line="225"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Advertising Costs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expenses advertising costs as they are incurred. Advertising expenses for the years ended December 31, 2019 and 2020 were $1.1 million and $1.4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Research and development costs, which consist primarily of salaries, employees’ benefits, share-based compensation, third-party hosting fees and software licenses were $25.2 million and $34.0 million for the years ended December 31, 2019 and 2020, respectively. Research and development costs are expensed as incurred and are included in compensation and benefits and technology expenses in the consolidated statements of operations.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Lease Obligations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 xml:space="preserve">On January 1, 2019, the Company adopted Accounting Standards Update, or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or Topic 842, using the modified retrospective method, which resulted in the recognition of operating lease right-of-use, or ROU, assets and lease liabilities on the Company’s consolidated balance sheets as of December 31, 2019, with no impact to its consolidated statements of operations for the year ended December 31, 2019.</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ROU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on a straight-line basis over the lease term and records variable lease payments as incurred. The Company has no finance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Loss Contingencies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Significant judgment is required to determine both the probability and the estimated amount. See Note 8, “Commitments and Contingencies”, for a full description of the Company’s loss contingencies.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1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The Company grants stock option awards to employees and directors. The Company estimates the fair value of share-based payment awards granted to employees and directors on the date of grant using the Black-Scholes-Merton option pricing model. The model requires management to make a number of assumptions, including the fair value of the Company’s common stock, expected volatility, expected term, risk-free interest rate, and expected dividends. The Company records the resulting expense in the consolidated statements of operations over the period for which the employee or director is required to perform services to vest in the award, which is generally four years. The Company accounts for forfeitures as they occur.</w:t>
      </w:r>
    </w:p>
    <w:p>
      <w:pPr>
        <w:spacing w:after="0" w:line="16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Commencing in 2020, the Company grants restricted stock units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The Company measures the RSU based on the fair value of the underlying common stock on the grant date. As of December 31, 2020, no share-based compensation expense had been recognized for RSUs because the liquidity condition had not occurred. In the period in which a liquidity condition is satisfied, the Company will record cumulative share-based compensation expense using the accelerated attribution method for those RSUs for which the service condition has been satisfied prior to the occurrence of the liquidity event. The Company will record the remaining unrecognized share-based compensation expense over the remainder of the requisite service period.</w:t>
      </w:r>
    </w:p>
    <w:p>
      <w:pPr>
        <w:spacing w:after="0" w:line="1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certain situations where existing economic interest holders acquire outstanding common stock from current or former employees for a purchase price greater than the Company’s estimated fair value of its common stock, the Company records share-based compensation expense for the difference between the price paid and the estimated fair value on the date of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Not Yet Adopted</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an emerging growth company, the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84"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ASU No.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ASU 2016-13 replaces the incurred loss model with the current expected credit loss, or CECL</w:t>
      </w:r>
      <w:r>
        <w:rPr>
          <w:rFonts w:ascii="Arial" w:cs="Arial" w:eastAsia="Arial" w:hAnsi="Arial"/>
          <w:sz w:val="16"/>
          <w:szCs w:val="16"/>
          <w:i w:val="1"/>
          <w:iCs w:val="1"/>
          <w:color w:val="auto"/>
        </w:rPr>
        <w:t xml:space="preserve"> </w:t>
      </w:r>
      <w:r>
        <w:rPr>
          <w:rFonts w:ascii="Arial" w:cs="Arial" w:eastAsia="Arial" w:hAnsi="Arial"/>
          <w:sz w:val="16"/>
          <w:szCs w:val="16"/>
          <w:color w:val="auto"/>
        </w:rPr>
        <w:t>model to estimate credit losses for financial assets measured at amortized cost and certain off-balance sheet credit exposures. The CECL model requires a Company to estimate credit losses expected over the life of the financial assets based on historical experience, current conditions and reasonable and supportable forecasts. The guidance will be effective for the Company beginning January 1, 2023, and interim periods therein. The amendment requires a modified retrospective approach by recording a cumulative-effect adjustment to retained earnings as of the beginning of the period of adoption. Early adoption is permitted. The Company is still evaluating the impact this ASU will have on its consolidated financial statements.</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(Subtopic 350-40), which aligns the requirements for capitalizing implementation costs incurred in a hosting arrangement that is a service contract with the requirements for capitalizing implementation costs incurred to develop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or obtain internal-use software (and hosting arrangements that include an internal use software license). The accounting for the service element of a hosting arrangement that is a service contract is not affected by the amendments in this ASU. The guidance will be effective for the Company beginning January 1, 2021. Early adoption is permitted. The adoption on January 1, 2021 did not have a material impact on the Company’s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244"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Year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10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Platform services revenue, net</w:t>
            </w: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$ 137,418</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$ 282,286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Other services revenue</w:t>
            </w:r>
          </w:p>
        </w:tc>
        <w:tc>
          <w:tcPr>
            <w:tcW w:w="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5,849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net revenue</w:t>
            </w: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$ 143,267</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7"/>
              </w:rPr>
              <w:t>$ 290,292</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7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0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00" w:type="dxa"/>
            <w:vAlign w:val="bottom"/>
            <w:gridSpan w:val="5"/>
          </w:tcPr>
          <w:p>
            <w:pPr>
              <w:spacing w:after="0"/>
              <w:rPr>
                <w:sz w:val="20"/>
                <w:szCs w:val="20"/>
                <w:color w:val="auto"/>
              </w:rPr>
            </w:pPr>
            <w:r>
              <w:rPr>
                <w:rFonts w:ascii="Arial" w:cs="Arial" w:eastAsia="Arial" w:hAnsi="Arial"/>
                <w:sz w:val="18"/>
                <w:szCs w:val="18"/>
                <w:color w:val="auto"/>
              </w:rPr>
              <w:t>The following table provides information about contract balances as of:</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Contract balance</w:t>
            </w:r>
          </w:p>
        </w:tc>
        <w:tc>
          <w:tcPr>
            <w:tcW w:w="2440" w:type="dxa"/>
            <w:vAlign w:val="bottom"/>
            <w:gridSpan w:val="2"/>
            <w:vMerge w:val="restart"/>
          </w:tcPr>
          <w:p>
            <w:pPr>
              <w:spacing w:after="0"/>
              <w:rPr>
                <w:sz w:val="24"/>
                <w:szCs w:val="24"/>
                <w:color w:val="auto"/>
              </w:rPr>
            </w:pPr>
          </w:p>
        </w:tc>
        <w:tc>
          <w:tcPr>
            <w:tcW w:w="780" w:type="dxa"/>
            <w:vAlign w:val="bottom"/>
          </w:tcPr>
          <w:p>
            <w:pPr>
              <w:spacing w:after="0"/>
              <w:rPr>
                <w:sz w:val="24"/>
                <w:szCs w:val="24"/>
                <w:color w:val="auto"/>
              </w:rPr>
            </w:pPr>
          </w:p>
        </w:tc>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Balance sheet line reference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11"/>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1060" w:type="dxa"/>
            <w:vAlign w:val="bottom"/>
            <w:tcBorders>
              <w:bottom w:val="single" w:sz="8" w:color="auto"/>
            </w:tcBorders>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42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Contract assets—current</w:t>
            </w:r>
          </w:p>
        </w:tc>
        <w:tc>
          <w:tcPr>
            <w:tcW w:w="78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840" w:type="dxa"/>
            <w:vAlign w:val="bottom"/>
            <w:tcBorders>
              <w:top w:val="single" w:sz="8" w:color="auto"/>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Contract assets—non-current</w:t>
            </w:r>
          </w:p>
        </w:tc>
        <w:tc>
          <w:tcPr>
            <w:tcW w:w="5000" w:type="dxa"/>
            <w:vAlign w:val="bottom"/>
            <w:gridSpan w:val="2"/>
          </w:tcPr>
          <w:p>
            <w:pPr>
              <w:ind w:left="78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contract assets</w:t>
            </w: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center"/>
              <w:ind w:left="950"/>
              <w:spacing w:after="0"/>
              <w:rPr>
                <w:sz w:val="20"/>
                <w:szCs w:val="20"/>
                <w:color w:val="auto"/>
              </w:rPr>
            </w:pPr>
            <w:r>
              <w:rPr>
                <w:rFonts w:ascii="Arial" w:cs="Arial" w:eastAsia="Arial" w:hAnsi="Arial"/>
                <w:sz w:val="18"/>
                <w:szCs w:val="18"/>
                <w:color w:val="auto"/>
                <w:w w:val="79"/>
              </w:rPr>
              <w:t>$</w:t>
            </w:r>
          </w:p>
        </w:tc>
        <w:tc>
          <w:tcPr>
            <w:tcW w:w="4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3500" w:type="dxa"/>
            <w:vAlign w:val="bottom"/>
            <w:gridSpan w:val="3"/>
          </w:tcPr>
          <w:p>
            <w:pPr>
              <w:spacing w:after="0"/>
              <w:rPr>
                <w:sz w:val="20"/>
                <w:szCs w:val="20"/>
                <w:color w:val="auto"/>
              </w:rPr>
            </w:pPr>
            <w:r>
              <w:rPr>
                <w:rFonts w:ascii="Arial" w:cs="Arial" w:eastAsia="Arial" w:hAnsi="Arial"/>
                <w:sz w:val="18"/>
                <w:szCs w:val="18"/>
                <w:color w:val="auto"/>
              </w:rPr>
              <w:t>Deferred revenue—current</w:t>
            </w:r>
          </w:p>
        </w:tc>
        <w:tc>
          <w:tcPr>
            <w:tcW w:w="5000" w:type="dxa"/>
            <w:vAlign w:val="bottom"/>
            <w:gridSpan w:val="2"/>
          </w:tcPr>
          <w:p>
            <w:pPr>
              <w:ind w:left="780"/>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revenue—non-current</w:t>
            </w:r>
          </w:p>
        </w:tc>
        <w:tc>
          <w:tcPr>
            <w:tcW w:w="5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2,922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23"/>
        </w:trPr>
        <w:tc>
          <w:tcPr>
            <w:tcW w:w="3500" w:type="dxa"/>
            <w:vAlign w:val="bottom"/>
            <w:gridSpan w:val="3"/>
          </w:tcPr>
          <w:p>
            <w:pPr>
              <w:ind w:left="360"/>
              <w:spacing w:after="0"/>
              <w:rPr>
                <w:sz w:val="20"/>
                <w:szCs w:val="20"/>
                <w:color w:val="auto"/>
              </w:rPr>
            </w:pPr>
            <w:r>
              <w:rPr>
                <w:rFonts w:ascii="Arial" w:cs="Arial" w:eastAsia="Arial" w:hAnsi="Arial"/>
                <w:sz w:val="18"/>
                <w:szCs w:val="18"/>
                <w:color w:val="auto"/>
              </w:rPr>
              <w:t>Total deferred revenue</w:t>
            </w:r>
          </w:p>
        </w:tc>
        <w:tc>
          <w:tcPr>
            <w:tcW w:w="7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3,606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$ 12,848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11"/>
          </w:tcPr>
          <w:p>
            <w:pPr>
              <w:ind w:left="1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Deferred Revenue</w:t>
            </w:r>
          </w:p>
        </w:tc>
        <w:tc>
          <w:tcPr>
            <w:tcW w:w="238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11"/>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120" w:type="dxa"/>
            <w:vAlign w:val="bottom"/>
            <w:tcBorders>
              <w:bottom w:val="single" w:sz="8" w:color="auto"/>
            </w:tcBorders>
            <w:gridSpan w:val="2"/>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gridSpan w:val="4"/>
          </w:tcPr>
          <w:p>
            <w:pPr>
              <w:spacing w:after="0"/>
              <w:rPr>
                <w:sz w:val="12"/>
                <w:szCs w:val="12"/>
                <w:color w:val="auto"/>
              </w:rPr>
            </w:pPr>
          </w:p>
        </w:tc>
        <w:tc>
          <w:tcPr>
            <w:tcW w:w="4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Balance at the beginning of the period</w:t>
            </w:r>
          </w:p>
        </w:tc>
        <w:tc>
          <w:tcPr>
            <w:tcW w:w="78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gridSpan w:val="4"/>
            <w:shd w:val="clear" w:color="auto" w:fill="CCEEFF"/>
          </w:tcPr>
          <w:p>
            <w:pPr>
              <w:spacing w:after="0"/>
              <w:rPr>
                <w:sz w:val="17"/>
                <w:szCs w:val="17"/>
                <w:color w:val="auto"/>
              </w:rPr>
            </w:pPr>
          </w:p>
        </w:tc>
        <w:tc>
          <w:tcPr>
            <w:tcW w:w="48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$1,069</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3,606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gridSpan w:val="5"/>
          </w:tcPr>
          <w:p>
            <w:pPr>
              <w:spacing w:after="0"/>
              <w:rPr>
                <w:sz w:val="20"/>
                <w:szCs w:val="20"/>
                <w:color w:val="auto"/>
              </w:rPr>
            </w:pPr>
            <w:r>
              <w:rPr>
                <w:rFonts w:ascii="Arial" w:cs="Arial" w:eastAsia="Arial" w:hAnsi="Arial"/>
                <w:sz w:val="18"/>
                <w:szCs w:val="18"/>
                <w:color w:val="auto"/>
                <w:w w:val="99"/>
              </w:rPr>
              <w:t>Revenue recognized in the period from amounts included in deferred revenue at the beginning of the period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(535)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3,072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3"/>
          </w:tcPr>
          <w:p>
            <w:pPr>
              <w:spacing w:after="0"/>
              <w:rPr>
                <w:sz w:val="20"/>
                <w:szCs w:val="20"/>
                <w:color w:val="auto"/>
              </w:rPr>
            </w:pPr>
            <w:r>
              <w:rPr>
                <w:rFonts w:ascii="Arial" w:cs="Arial" w:eastAsia="Arial" w:hAnsi="Arial"/>
                <w:sz w:val="18"/>
                <w:szCs w:val="18"/>
                <w:color w:val="auto"/>
              </w:rPr>
              <w:t>Balance at the end of the period</w:t>
            </w:r>
          </w:p>
        </w:tc>
        <w:tc>
          <w:tcPr>
            <w:tcW w:w="7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3,606</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Company has performance obligations associated with commitments in Customer contracts for future standready obligations to process Customer transactions throughout the contractual term. Remaining performance obligations include related deferred revenue currently recorded and exclude contracts for which the Company recognizes revenue at the amount to which it has the right to invoice for services as performed. The amount and timing of revenue recognition is largely driven by when the Customer utilizes the Platform services.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Amortized</w:t>
            </w:r>
          </w:p>
        </w:tc>
        <w:tc>
          <w:tcPr>
            <w:tcW w:w="12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0" w:type="dxa"/>
            <w:vAlign w:val="bottom"/>
            <w:gridSpan w:val="6"/>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Gain</w:t>
            </w:r>
          </w:p>
        </w:tc>
        <w:tc>
          <w:tcPr>
            <w:tcW w:w="4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2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3040" w:type="dxa"/>
            <w:vAlign w:val="bottom"/>
            <w:gridSpan w:val="5"/>
          </w:tcPr>
          <w:p>
            <w:pPr>
              <w:jc w:val="right"/>
              <w:ind w:right="200"/>
              <w:spacing w:after="0"/>
              <w:rPr>
                <w:sz w:val="20"/>
                <w:szCs w:val="20"/>
                <w:color w:val="auto"/>
              </w:rPr>
            </w:pPr>
            <w:r>
              <w:rPr>
                <w:rFonts w:ascii="Arial" w:cs="Arial" w:eastAsia="Arial" w:hAnsi="Arial"/>
                <w:sz w:val="18"/>
                <w:szCs w:val="18"/>
                <w:color w:val="auto"/>
              </w:rPr>
              <w:t>$ 18,049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(1)</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$ 18,064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0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19,237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3040" w:type="dxa"/>
            <w:vAlign w:val="bottom"/>
            <w:gridSpan w:val="5"/>
          </w:tcPr>
          <w:p>
            <w:pPr>
              <w:jc w:val="right"/>
              <w:ind w:right="200"/>
              <w:spacing w:after="0"/>
              <w:rPr>
                <w:sz w:val="20"/>
                <w:szCs w:val="20"/>
                <w:color w:val="auto"/>
              </w:rPr>
            </w:pPr>
            <w:r>
              <w:rPr>
                <w:rFonts w:ascii="Arial" w:cs="Arial" w:eastAsia="Arial" w:hAnsi="Arial"/>
                <w:sz w:val="18"/>
                <w:szCs w:val="18"/>
                <w:color w:val="auto"/>
              </w:rPr>
              <w:t>25,014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(4)</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2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$ 95,156</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79"/>
              </w:rPr>
              <w:t>74</w:t>
            </w:r>
          </w:p>
        </w:tc>
        <w:tc>
          <w:tcPr>
            <w:tcW w:w="1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(5)</w:t>
            </w: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$ 95,225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 2020</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0"/>
                <w:szCs w:val="10"/>
                <w:color w:val="auto"/>
              </w:rPr>
            </w:pPr>
          </w:p>
        </w:tc>
        <w:tc>
          <w:tcPr>
            <w:tcW w:w="10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0"/>
              </w:rPr>
              <w:t>Unrealized</w:t>
            </w:r>
          </w:p>
        </w:tc>
        <w:tc>
          <w:tcPr>
            <w:tcW w:w="4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w:t>
            </w:r>
          </w:p>
        </w:tc>
        <w:tc>
          <w:tcPr>
            <w:tcW w:w="40" w:type="dxa"/>
            <w:vAlign w:val="bottom"/>
          </w:tcPr>
          <w:p>
            <w:pPr>
              <w:spacing w:after="0"/>
              <w:rPr>
                <w:sz w:val="14"/>
                <w:szCs w:val="1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2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3060" w:type="dxa"/>
            <w:vAlign w:val="bottom"/>
            <w:gridSpan w:val="6"/>
          </w:tcPr>
          <w:p>
            <w:pPr>
              <w:jc w:val="right"/>
              <w:ind w:right="20"/>
              <w:spacing w:after="0"/>
              <w:rPr>
                <w:sz w:val="20"/>
                <w:szCs w:val="20"/>
                <w:color w:val="auto"/>
              </w:rPr>
            </w:pPr>
            <w:r>
              <w:rPr>
                <w:rFonts w:ascii="Arial" w:cs="Arial" w:eastAsia="Arial" w:hAnsi="Arial"/>
                <w:sz w:val="18"/>
                <w:szCs w:val="18"/>
                <w:color w:val="auto"/>
              </w:rPr>
              <w:t>$125,823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$125,864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0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4,991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3060" w:type="dxa"/>
            <w:vAlign w:val="bottom"/>
            <w:gridSpan w:val="6"/>
          </w:tcPr>
          <w:p>
            <w:pPr>
              <w:jc w:val="right"/>
              <w:ind w:right="20"/>
              <w:spacing w:after="0"/>
              <w:rPr>
                <w:sz w:val="20"/>
                <w:szCs w:val="20"/>
                <w:color w:val="auto"/>
              </w:rPr>
            </w:pPr>
            <w:r>
              <w:rPr>
                <w:rFonts w:ascii="Arial" w:cs="Arial" w:eastAsia="Arial" w:hAnsi="Arial"/>
                <w:sz w:val="18"/>
                <w:szCs w:val="18"/>
                <w:color w:val="auto"/>
              </w:rPr>
              <w:t>4,294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380" w:type="dxa"/>
            <w:vAlign w:val="bottom"/>
            <w:gridSpan w:val="3"/>
            <w:shd w:val="clear" w:color="auto" w:fill="CCEEFF"/>
          </w:tcPr>
          <w:p>
            <w:pPr>
              <w:spacing w:after="0"/>
              <w:rPr>
                <w:sz w:val="18"/>
                <w:szCs w:val="18"/>
                <w:color w:val="auto"/>
              </w:rPr>
            </w:pPr>
          </w:p>
        </w:tc>
        <w:tc>
          <w:tcPr>
            <w:tcW w:w="1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14,683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23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3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149,791</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4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149,903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Company had four and six separate marketable securities in unrealized loss positions as of December 31, 2019 and 2020, respectively. The Company did not identify any marketable securities that were other-than-temporarily impaired as of December 31, 2019 and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stated maturities of the Company’s marketable securities: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Borders>
              <w:bottom w:val="single" w:sz="8" w:color="auto"/>
            </w:tcBorders>
            <w:gridSpan w:val="4"/>
          </w:tcPr>
          <w:p>
            <w:pPr>
              <w:jc w:val="right"/>
              <w:ind w:right="60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48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2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$ 84,088</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$ 84,149</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$149,791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$149,903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660" w:type="dxa"/>
            <w:vAlign w:val="bottom"/>
          </w:tcPr>
          <w:p>
            <w:pPr>
              <w:jc w:val="right"/>
              <w:spacing w:after="0"/>
              <w:rPr>
                <w:sz w:val="20"/>
                <w:szCs w:val="20"/>
                <w:color w:val="auto"/>
              </w:rPr>
            </w:pPr>
            <w:r>
              <w:rPr>
                <w:rFonts w:ascii="Arial" w:cs="Arial" w:eastAsia="Arial" w:hAnsi="Arial"/>
                <w:sz w:val="18"/>
                <w:szCs w:val="18"/>
                <w:color w:val="auto"/>
              </w:rPr>
              <w:t>11,068</w:t>
            </w: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11,076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$ 95,156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$ 95,225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149,791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149,903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Company’s financial instruments consist of cash equivalents, marketable securities, accounts receivables, unbilled customers’ receivable, settlements receivable, accounts payable, accrued liabilities, and redeemable convertible preferred stock warrant liabilities. Cash equivalents are stated at amortized cost, which approximates fair value at the balance sheet dates, due to the short period of time to maturity. Marketable securities are carried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at fair value. Accounts receivables, unbilled customers’ receivable, settlements receivable, accounts payable, and accrued liabilities are stated at their carrying value, which approximates fair value due to the short time to the expected receipt or payment date. The redeemable convertible preferred stock warrant liabilities are carried at fair value.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0"/>
                <w:szCs w:val="10"/>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$19,047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$ 19,047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18,064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19,237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25,040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32,884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$ 37,111</w:t>
            </w:r>
          </w:p>
        </w:tc>
        <w:tc>
          <w:tcPr>
            <w:tcW w:w="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79,652</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116,763</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$ 569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$ 569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11"/>
          </w:tcPr>
          <w:p>
            <w:pPr>
              <w:jc w:val="right"/>
              <w:ind w:right="280"/>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9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0"/>
                <w:szCs w:val="10"/>
                <w:color w:val="auto"/>
              </w:rPr>
            </w:pPr>
          </w:p>
        </w:tc>
        <w:tc>
          <w:tcPr>
            <w:tcW w:w="68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0"/>
                <w:szCs w:val="10"/>
                <w:color w:val="auto"/>
              </w:rPr>
            </w:pPr>
          </w:p>
        </w:tc>
        <w:tc>
          <w:tcPr>
            <w:tcW w:w="7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w w:val="84"/>
              </w:rPr>
              <w:t>$ 203,592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$ 203,592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125,864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125,864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4,991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4,315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14,733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$ 329,456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$ 24,039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$ 353,495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 2,517</w:t>
            </w:r>
          </w:p>
        </w:tc>
        <w:tc>
          <w:tcPr>
            <w:tcW w:w="100" w:type="dxa"/>
            <w:vAlign w:val="bottom"/>
          </w:tcPr>
          <w:p>
            <w:pPr>
              <w:spacing w:after="0"/>
              <w:rPr>
                <w:sz w:val="18"/>
                <w:szCs w:val="18"/>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 2,517</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classifies money market funds, commercial paper, U.S. government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classified the redeemable convertible preferred stock warrants within Level 3 because the Company determines their fair value using unobservable inputs, including the fair value of the Company’s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redeemable Series B convertible stock, which the Company determines in the same manner as the fair value of the common stock. The Company records the change in the fair value of redeemable convertible preferred stock warrants in other income (expense), net in the consolidated statements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volatility</w:t>
            </w:r>
          </w:p>
        </w:tc>
        <w:tc>
          <w:tcPr>
            <w:tcW w:w="3400" w:type="dxa"/>
            <w:vAlign w:val="bottom"/>
            <w:gridSpan w:val="3"/>
          </w:tcPr>
          <w:p>
            <w:pPr>
              <w:jc w:val="right"/>
              <w:ind w:right="360"/>
              <w:spacing w:after="0"/>
              <w:rPr>
                <w:sz w:val="20"/>
                <w:szCs w:val="20"/>
                <w:color w:val="auto"/>
              </w:rPr>
            </w:pPr>
            <w:r>
              <w:rPr>
                <w:rFonts w:ascii="Arial" w:cs="Arial" w:eastAsia="Arial" w:hAnsi="Arial"/>
                <w:sz w:val="18"/>
                <w:szCs w:val="18"/>
                <w:color w:val="auto"/>
              </w:rPr>
              <w:t>43.7%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0" w:type="dxa"/>
            <w:vAlign w:val="bottom"/>
            <w:gridSpan w:val="3"/>
          </w:tcPr>
          <w:p>
            <w:pPr>
              <w:jc w:val="right"/>
              <w:ind w:right="36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B redeemable convertible preferred stock</w:t>
            </w:r>
          </w:p>
        </w:tc>
        <w:tc>
          <w:tcPr>
            <w:tcW w:w="3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$12.66</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2020, there were no transfers of financial instruments between the levels.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258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$456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569</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2220" w:type="dxa"/>
            <w:vAlign w:val="bottom"/>
            <w:gridSpan w:val="2"/>
          </w:tcPr>
          <w:p>
            <w:pPr>
              <w:spacing w:after="0"/>
              <w:rPr>
                <w:sz w:val="18"/>
                <w:szCs w:val="18"/>
                <w:color w:val="auto"/>
              </w:rPr>
            </w:pPr>
          </w:p>
        </w:tc>
        <w:tc>
          <w:tcPr>
            <w:tcW w:w="500" w:type="dxa"/>
            <w:vAlign w:val="bottom"/>
            <w:gridSpan w:val="4"/>
          </w:tcPr>
          <w:p>
            <w:pPr>
              <w:jc w:val="right"/>
              <w:ind w:right="140"/>
              <w:spacing w:after="0"/>
              <w:rPr>
                <w:sz w:val="20"/>
                <w:szCs w:val="20"/>
                <w:color w:val="auto"/>
              </w:rPr>
            </w:pPr>
            <w:r>
              <w:rPr>
                <w:rFonts w:ascii="Arial" w:cs="Arial" w:eastAsia="Arial" w:hAnsi="Arial"/>
                <w:sz w:val="18"/>
                <w:szCs w:val="18"/>
                <w:color w:val="auto"/>
              </w:rPr>
              <w:t>113</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the period</w:t>
            </w:r>
          </w:p>
        </w:tc>
        <w:tc>
          <w:tcPr>
            <w:tcW w:w="27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569</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6. Certain Balance Sheet Components</w:t>
            </w: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 as of:</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9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$ 3,321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$ 6,162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Card programs deposit</w:t>
            </w:r>
          </w:p>
        </w:tc>
        <w:tc>
          <w:tcPr>
            <w:tcW w:w="2580" w:type="dxa"/>
            <w:vAlign w:val="bottom"/>
            <w:gridSpan w:val="5"/>
          </w:tcPr>
          <w:p>
            <w:pPr>
              <w:jc w:val="right"/>
              <w:ind w:right="120"/>
              <w:spacing w:after="0"/>
              <w:rPr>
                <w:sz w:val="20"/>
                <w:szCs w:val="20"/>
                <w:color w:val="auto"/>
              </w:rPr>
            </w:pPr>
            <w:r>
              <w:rPr>
                <w:rFonts w:ascii="Arial" w:cs="Arial" w:eastAsia="Arial" w:hAnsi="Arial"/>
                <w:sz w:val="18"/>
                <w:szCs w:val="18"/>
                <w:color w:val="auto"/>
              </w:rPr>
              <w:t>2,702</w:t>
            </w: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Unbilled customers’ receivable</w:t>
            </w:r>
          </w:p>
        </w:tc>
        <w:tc>
          <w:tcPr>
            <w:tcW w:w="25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current assets</w:t>
            </w:r>
          </w:p>
        </w:tc>
        <w:tc>
          <w:tcPr>
            <w:tcW w:w="194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9,334</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$ 11,461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5340"/>
              <w:spacing w:after="0"/>
              <w:rPr>
                <w:sz w:val="20"/>
                <w:szCs w:val="20"/>
                <w:color w:val="auto"/>
              </w:rPr>
            </w:pPr>
            <w:r>
              <w:rPr>
                <w:rFonts w:ascii="Arial" w:cs="Arial" w:eastAsia="Arial" w:hAnsi="Arial"/>
                <w:sz w:val="18"/>
                <w:szCs w:val="18"/>
                <w:color w:val="auto"/>
              </w:rPr>
              <w:t>F-20</w:t>
            </w:r>
          </w:p>
        </w:tc>
        <w:tc>
          <w:tcPr>
            <w:tcW w:w="1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consisted of the following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7,634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Internally developed and purchased software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1,299</w:t>
            </w:r>
          </w:p>
        </w:tc>
      </w:tr>
      <w:tr>
        <w:trPr>
          <w:trHeight w:val="27"/>
        </w:trPr>
        <w:tc>
          <w:tcPr>
            <w:tcW w:w="9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19,376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(6,572)</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(9,899)</w:t>
            </w:r>
          </w:p>
        </w:tc>
      </w:tr>
      <w:tr>
        <w:trPr>
          <w:trHeight w:val="27"/>
        </w:trPr>
        <w:tc>
          <w:tcPr>
            <w:tcW w:w="9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9,477</w:t>
            </w:r>
          </w:p>
        </w:tc>
      </w:tr>
      <w:tr>
        <w:trPr>
          <w:trHeight w:val="20"/>
        </w:trPr>
        <w:tc>
          <w:tcPr>
            <w:tcW w:w="9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 expense for the years ended December 31, 2019 and 2020 was $3.1 million and $3.5 million, respectively.</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During the years ended December 31, 2019 and 2020, the Company did not capitalize any internal-use software costs because development costs meeting capitalization criteria were not material during the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costs of revenue</w:t>
            </w:r>
          </w:p>
        </w:tc>
        <w:tc>
          <w:tcPr>
            <w:tcW w:w="47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$ 10,475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7,617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14,078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Reserve for contract contingencies and processing errors</w:t>
            </w:r>
          </w:p>
        </w:tc>
        <w:tc>
          <w:tcPr>
            <w:tcW w:w="5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revenue</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5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1,237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5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47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$ 31,673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00" w:type="dxa"/>
            <w:vAlign w:val="bottom"/>
            <w:vMerge w:val="continue"/>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Arial" w:cs="Arial" w:eastAsia="Arial" w:hAnsi="Arial"/>
                <w:sz w:val="18"/>
                <w:szCs w:val="18"/>
                <w:color w:val="auto"/>
              </w:rPr>
              <w:t>Other liabilities consisted of the following as of:</w:t>
            </w: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4860" w:type="dxa"/>
            <w:vAlign w:val="bottom"/>
            <w:tcBorders>
              <w:bottom w:val="single" w:sz="8" w:color="CCEEFF"/>
            </w:tcBorders>
            <w:gridSpan w:val="2"/>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4860" w:type="dxa"/>
            <w:vAlign w:val="bottom"/>
            <w:gridSpan w:val="2"/>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$ 2,922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860" w:type="dxa"/>
            <w:vAlign w:val="bottom"/>
            <w:gridSpan w:val="2"/>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486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10,452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5640" w:type="dxa"/>
            <w:vAlign w:val="bottom"/>
            <w:gridSpan w:val="4"/>
          </w:tcPr>
          <w:p>
            <w:pPr>
              <w:jc w:val="right"/>
              <w:ind w:right="4660"/>
              <w:spacing w:after="0"/>
              <w:rPr>
                <w:sz w:val="20"/>
                <w:szCs w:val="20"/>
                <w:color w:val="auto"/>
              </w:rPr>
            </w:pPr>
            <w:r>
              <w:rPr>
                <w:rFonts w:ascii="Arial" w:cs="Arial" w:eastAsia="Arial" w:hAnsi="Arial"/>
                <w:sz w:val="18"/>
                <w:szCs w:val="18"/>
                <w:color w:val="auto"/>
              </w:rPr>
              <w:t>F-21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Loan and Security Agreement</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2018, the Company had an outstanding principal balance of $5.0 million under a loan and security agreement. On December 2, 2019, the Company repaid the outstanding principal balance of $5.0 million under this agreement in full and terminated this loan facility.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approximately 63,000 square feet of office space being leased. The non-cancellable operating leases expire in February 2026 and include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over base operating expenses as defined in the original lease agreement.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operating lease costs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r>
      <w:tr>
        <w:trPr>
          <w:trHeight w:val="223"/>
        </w:trPr>
        <w:tc>
          <w:tcPr>
            <w:tcW w:w="894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6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5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2020</w:t>
            </w:r>
          </w:p>
        </w:tc>
        <w:tc>
          <w:tcPr>
            <w:tcW w:w="220" w:type="dxa"/>
            <w:vAlign w:val="bottom"/>
            <w:tcBorders>
              <w:bottom w:val="single" w:sz="8" w:color="CCEEFF"/>
            </w:tcBorders>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operating lease term</w:t>
            </w:r>
          </w:p>
        </w:tc>
        <w:tc>
          <w:tcPr>
            <w:tcW w:w="5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080" w:type="dxa"/>
            <w:vAlign w:val="bottom"/>
            <w:gridSpan w:val="3"/>
          </w:tcPr>
          <w:p>
            <w:pPr>
              <w:jc w:val="right"/>
              <w:ind w:right="380"/>
              <w:spacing w:after="0"/>
              <w:rPr>
                <w:sz w:val="20"/>
                <w:szCs w:val="20"/>
                <w:color w:val="auto"/>
              </w:rPr>
            </w:pPr>
            <w:r>
              <w:rPr>
                <w:rFonts w:ascii="Arial" w:cs="Arial" w:eastAsia="Arial" w:hAnsi="Arial"/>
                <w:sz w:val="18"/>
                <w:szCs w:val="18"/>
                <w:color w:val="auto"/>
              </w:rPr>
              <w:t>7.8%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350"/>
        </w:trPr>
        <w:tc>
          <w:tcPr>
            <w:tcW w:w="4440" w:type="dxa"/>
            <w:vAlign w:val="bottom"/>
          </w:tcPr>
          <w:p>
            <w:pPr>
              <w:spacing w:after="0"/>
              <w:rPr>
                <w:sz w:val="24"/>
                <w:szCs w:val="24"/>
                <w:color w:val="auto"/>
              </w:rPr>
            </w:pPr>
          </w:p>
        </w:tc>
        <w:tc>
          <w:tcPr>
            <w:tcW w:w="6080" w:type="dxa"/>
            <w:vAlign w:val="bottom"/>
            <w:gridSpan w:val="3"/>
          </w:tcPr>
          <w:p>
            <w:pPr>
              <w:jc w:val="right"/>
              <w:ind w:right="4840"/>
              <w:spacing w:after="0"/>
              <w:rPr>
                <w:sz w:val="20"/>
                <w:szCs w:val="20"/>
                <w:color w:val="auto"/>
              </w:rPr>
            </w:pPr>
            <w:r>
              <w:rPr>
                <w:rFonts w:ascii="Arial" w:cs="Arial" w:eastAsia="Arial" w:hAnsi="Arial"/>
                <w:sz w:val="18"/>
                <w:szCs w:val="18"/>
                <w:color w:val="auto"/>
              </w:rPr>
              <w:t>F-22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Maturities of operating lease liabilities by year are as follows as of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2022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Thereafter</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22,283</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18,220</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Other information related to the Company’s operating leases were as follows:</w:t>
            </w: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Operating cash flows form operating leases</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3,185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2,954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Purchase Obligations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the Company had non-cancellable purchase commitments with certain service providers and Issuing Banks totaling approximately $13.6 million, payable over the next 4 years. These purchase obligations generally represent minimum commitments for cloud-computing services and Issuing Bank processing fees over the fixed, non-cancellable respective contract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Employee Benefit Plan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maintains a 401(k) plan that covers substantially all of its U.S. based employees and provides a matching contribution of 50% of the first 6% of compensation that an employee contributes, which matching contribution vests after one year of service. During the years ended December 31, 2019 and 2020, the Company contributed $1.1 million and $1.9 million to the 401(k) plan,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Legal Contingencies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December 31, 2019 and 2020, there were no legal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contingency matters, either individually or in aggregate, that would have a material adverse effect on the financial position, results of operations, or cash flows of the Company.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 of Payment Transactions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Indemnifications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vendors, lessors, business partners, and other parties with respect to certain matters, including, but not limited to, losses arising out of the breach of such agreements, services to be provided by the Company or from intellectual property infringement claims made by third parties. 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consolidated statements of comprehensive loss, or consolidated statements of cash flows.</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Non-income Taxes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Company is subject to state and local indirect taxes in various jurisdictions in the United States. In several of these jurisdictions the Company has reviewed and concluded that such indirect taxes are not applicable to the Company’s service offerings. In a few of these jurisdictions the tax regulations are less clear. While the Company believes its service offerings are not subject to tax in these jurisdictions, the Company is working with the respective state and local tax authorities to confirm the Company’s conclusions. The Company has not recorded a liability associated with these matters as of December 31, 2020 as it believes it is not probable that the indirect taxes are applicable to the Company. In the event that adverse information is received in response to the Company’s state inquiries, and the Company chooses not to appeal, a potential range of tax liabilities would be $1.2 million to $4.8 million as of December 31, 2020.</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the Company sold 38,552,482 shares of Series E redeemable convertible preferred stock at a purchase price of $3.891 per share, for an aggregate purchase price of $150.0 million. Offering costs of $7.0 million were paid and recorded as an offset to these proceeds.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year ended December 31, 2020, the Company sold 20,989,756 shares of Series E-1 redeemable convertible preferred stock at a purchase price of $8.337 per share, for an aggregate purchase price of $175.0 million. Offering costs of $8.1 million were paid and recorded as an offset to these proceeds.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redeemable convertible preferred stock authorized and issued and outstanding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720" w:type="dxa"/>
            <w:vAlign w:val="bottom"/>
          </w:tcPr>
          <w:p>
            <w:pPr>
              <w:jc w:val="center"/>
              <w:ind w:right="11"/>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authorized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58,408,050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58,204,440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16,966</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62,114,648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62,114,648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28,734,078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28,461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31,094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33,185,680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66,824,303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142,990</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223,668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337,047,188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336,843,578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378,707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2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authorized</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58,408,050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60,434,352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60,434,352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28,734,078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33,185,680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66,824,303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20,989,756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20,989,756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352,047,950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351,844,340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422,133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Exchange of Common Stock for Series E Redeemable Convertible Preferred Stock</w:t>
      </w:r>
    </w:p>
    <w:p>
      <w:pPr>
        <w:spacing w:after="0" w:line="11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addition to the issuance of Series E redeemable convertible preferred stock for cash proceeds discussed above, the Company in April 2019 also issued 11,074,661 shares of Series E redeemable convertible preferred stock in exchange for the same number of shares of common stock owned by certain employees. The third-party investors purchased the common stock from certain employees for the Series E redeemable convertible preferred stock price of $3.891 per share. The Company did not receive cash for the issuance of these shares of Series E redeemable convertible preferred stock. The Company recorded $13.7 million in share-based compensation expense in 2019 for the difference between the aggregate price paid for common stock shares sold by employees to the third-party investors and the aggregate estimated fair value of the common stock exchanged. The Company reclassified the carrying value of the common stock of $13.8 million from additional paid-in-capital to redeemable convertible preferred stock on the consolidated balance sheet. There were no such transactions in 2020.</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Exchange of Series A and Series C Redeemable Convertible Preferred Stock for Series E Redeemable Convertible Preferred Stock</w:t>
      </w:r>
    </w:p>
    <w:p>
      <w:pPr>
        <w:spacing w:after="0" w:line="1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Additionally during April 2019, the Company exchanged 10,771,746 shares and 6,425,413 shares of Series A and Series C redeemable convertible preferred stock, respectively, owned by non-employee stockholders, for 17,197,159 shares of Series E redeemable convertible preferred stock. Third-party investors purchased the Series A and Series C redeemable convertible preferred stock from these non-employee stockholders for the Series E redeemable convertible preferred stock price of $3.891 per share. The Company did not receive cash for the issuance of these shares of Series E redeemable convertible preferred stock. The amount paid by the third-party investors in excess of the carrying value of Series A and Series C redeemable convertible preferred stock was considered a deemed dividend provided by the Company to the non-employee selling stockholders. The Company recorded a deemed dividend of $64.1 million in 2019 through additional-paid-in capital, to the extent available, and accumulated deficit. The shares of Series A and Series C redeemable convertible preferred stock that were exchanged were retired and have been removed from the authorized, issued and outstanding number of shares on the consolidated balance sheets and consolidated statements of redeemable convertible preferred stock and stockholders’ deficit as of December 31, 2019. There were no such transactions in 2020.</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Conversion of Series A and Series C redeemable convertible preferred stock to common stock</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During August 2020, the Company converted 5,988,994 shares of Series A and Series C redeemable convertible preferred stock, owned by non-employee stockholders, for the same number of shares of common stock, at the request of the holders based on the conversion terms specified in the original agreements. The Company did not receive cash for the issuance of these shares of common stock. The carrying value of the converted Series A and Series C redeemable convertible preferred stock of $0.8 million was reclassified to common stock par value and additional paid-in-capital upon conversion. The shares of Series A and Series C redeemable convertible preferred stock that were converted were retired and have been removed from the authorized, issued and outstanding number of shares on the consolidated balance sheets and consolidated statements of redeemable convertible preferred stock and stockholders’ deficit as of December 31, 2020.</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redeemable convertible preferred stock at December 31, 2020 have various rights and preferences as follows:</w:t>
      </w:r>
    </w:p>
    <w:p>
      <w:pPr>
        <w:spacing w:after="0" w:line="225"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—The holders of redeemable convertible preferred stock have no voluntary rights to redeem shares. The redeemable convertible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has deemed liquidation provisions which require the shares to be redeemed upon any liquidation, dissolution, or winding up of the Company, whether voluntary or involuntary, or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 The Company recorded all shares of redeemable convertible preferred stock at their respective issuance price less issuance costs on the dates of issuance. Given the Company’s performance and financial condition, the Company currently does not believe a Liquidation Event is probable. The carrying values of the Company’s redeemable convertible preferred stock have not been accreted to their redemption values as the Liquidation Event is not considered probable of occurring. Subsequent adjustments of the carrying values to redemption values will be made only if and when it becomes probable the preferred shares will become redeemable.</w:t>
      </w:r>
    </w:p>
    <w:p>
      <w:pPr>
        <w:spacing w:after="0" w:line="16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Liquidation Preference</w:t>
      </w:r>
      <w:r>
        <w:rPr>
          <w:rFonts w:ascii="Arial" w:cs="Arial" w:eastAsia="Arial" w:hAnsi="Arial"/>
          <w:sz w:val="18"/>
          <w:szCs w:val="18"/>
          <w:i w:val="1"/>
          <w:iCs w:val="1"/>
          <w:color w:val="auto"/>
        </w:rPr>
        <w:t>—</w:t>
      </w:r>
      <w:r>
        <w:rPr>
          <w:rFonts w:ascii="Arial" w:cs="Arial" w:eastAsia="Arial" w:hAnsi="Arial"/>
          <w:sz w:val="18"/>
          <w:szCs w:val="18"/>
          <w:color w:val="auto"/>
        </w:rPr>
        <w:t>In the event of any Liquidation Event (as defined above) of the Company, the holders of Series E-1, Series E, Series D-1,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D redeemable convertible preferred stock shall be entitled to receive a payout of $8.337, $3.891, $1.205, and $1.205 per share, respectively, plus any declared and unpaid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dividends, prior and in preference to any distributions made to the holders of Series C, Series B, and Series A redeemable convertible preferred stock and to the holders of common stock.</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the assets and funds distributed among the holders of the Series E-1, Series E, Series D-1 and Series D redeemable convertible preferred stock are insufficient to permit payment to such holders of the full preferential amount, then the entire assets and funds of the Company legally available for distribution shall be distributed ratably among the holders of the Series E-1, Series E, Series D-1, and Series D redeemable convertible preferred stock in proportion to the preferential amount each such holder is otherwise entitled to receive.</w:t>
      </w:r>
    </w:p>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After the payment of the full liquidation preference of the Series E-1, Series E, Series D-1, and Series D redeemable convertible preferred stock, the holders of Series C, Series B and Series A redeemable convertible preferred stock are entitled to receive an amount equal to $0.353, $0.295, and $0.057 per share, respectively, plus any declared but unpaid dividends, prior and in preference to any distributions made to the holders of common stock. If the remaining assets and funds distributed among the holders of the Series C, Series B, and Series A redeemable convertible preferred stock are insufficient to permit payment to such holders of the full preferential amount, then all assets and funds of the Company legally available for distribution shall be distributed ratably among the holders of the Series C, Series B, and Series A redeemable convertible preferred stock in proportion to the preferential amount each such holder is otherwise entitled to receive.</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After the payment of the full liquidation preference of the shares of redeemable convertible preferred stock, the remaining assets of the Company legally available for distribution, if any, shall be distributed ratably to the holders of the common stock.</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i w:val="1"/>
          <w:iCs w:val="1"/>
          <w:color w:val="auto"/>
        </w:rPr>
        <w:t>—</w:t>
      </w:r>
      <w:r>
        <w:rPr>
          <w:rFonts w:ascii="Arial" w:cs="Arial" w:eastAsia="Arial" w:hAnsi="Arial"/>
          <w:sz w:val="18"/>
          <w:szCs w:val="18"/>
          <w:color w:val="auto"/>
        </w:rPr>
        <w:t>Holders of Series E-1, Series E, Series D-1, and Series D redeemable convertible preferred stock, prior and in preference to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C, Series B, and Series A redeemable convertible preferred stock, are entitled to receive cash dividends at a rate of 8.0% of their original issue price.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After the holders of the Series E-1, Series E, Series D-1, and Series D redeemable convertible preferred stock have received their full dividend preference the holders of Series C, Series B, and Series A redeemable convertible preferred stock, prior and in preference to the holders of common stock, are entitled to receive cash dividends at a rate of 8.0% of their respective original issue price.</w:t>
      </w:r>
    </w:p>
    <w:p>
      <w:pPr>
        <w:spacing w:after="0" w:line="18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After the holders of the Series C, Series B, and Series A redeemable convertible preferred stock have received their full dividend preference, any remaining dividends shall be distributed among all holders of common stock and all holders of Series E-1, Series E, Series D-1, Series D, Series C, Series B, and Series A redeemable convertible preferred stock on an as-converted basis. Dividends are payable only when, as and if declared by the Company’s board of directors. Dividends are non-cumulative. No dividends have been declared to date.</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color w:val="auto"/>
        </w:rPr>
        <w:t>All shares of redeemable convertible preferred stock are convertible into common stock at the option of the holder, at any time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issuance, subject to adjustment for stock splits, stock dividends, and dilution.</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Each share of redeemable convertible preferred stock will automatically convert into common stock at the applicable conversion rate obtained by dividing the original issuance price per share by the applicable per share conversion price:</w:t>
      </w:r>
    </w:p>
    <w:p>
      <w:pPr>
        <w:spacing w:after="0" w:line="62" w:lineRule="exact"/>
        <w:rPr>
          <w:sz w:val="20"/>
          <w:szCs w:val="20"/>
          <w:color w:val="auto"/>
        </w:rPr>
      </w:pPr>
    </w:p>
    <w:p>
      <w:pPr>
        <w:ind w:left="440" w:right="20" w:firstLine="6"/>
        <w:spacing w:after="0" w:line="277" w:lineRule="auto"/>
        <w:tabs>
          <w:tab w:leader="none" w:pos="74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immediately upon the closing of a firmly underwritten public offering registered under the Securities Act, pursuant to an effective registration statement under the Securities Act covering the offer and sale of common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440"/>
        <w:spacing w:after="0" w:line="311" w:lineRule="auto"/>
        <w:rPr>
          <w:sz w:val="20"/>
          <w:szCs w:val="20"/>
          <w:color w:val="auto"/>
        </w:rPr>
      </w:pPr>
      <w:r>
        <w:rPr>
          <w:rFonts w:ascii="Arial" w:cs="Arial" w:eastAsia="Arial" w:hAnsi="Arial"/>
          <w:sz w:val="16"/>
          <w:szCs w:val="16"/>
          <w:color w:val="auto"/>
        </w:rPr>
        <w:t>stock for the account of the Company, in which (i) the per share price is not less than one times the Series E original issue price (as adjusted for any stock dividends, combinations, splits, recapitalizations etc.), (ii) the gross cash proceeds to the Company (before underwriting discounts, commissions, and fees) are at least $100,000,000, and (iii) the Company’s shares have been listed for trading on a national securities exchange, or</w:t>
      </w:r>
    </w:p>
    <w:p>
      <w:pPr>
        <w:spacing w:after="0" w:line="41" w:lineRule="exact"/>
        <w:rPr>
          <w:sz w:val="20"/>
          <w:szCs w:val="20"/>
          <w:color w:val="auto"/>
        </w:rPr>
      </w:pPr>
    </w:p>
    <w:p>
      <w:pPr>
        <w:jc w:val="both"/>
        <w:ind w:left="440" w:firstLine="6"/>
        <w:spacing w:after="0" w:line="254" w:lineRule="auto"/>
        <w:tabs>
          <w:tab w:leader="none" w:pos="7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any time upon the affirmative election of (i) the holders of at least a majority of the redeemable convertible preferred stock then outstanding (voting together as if a single class and not as separate series, and on an as-converted basis), (ii) with respect to the Series D-1 redeemable convertible preferred stock only, the holders of a majority of the outstanding shares of Series D-1 redeemable convertible preferred stock only, voting as a separate series, (iii) with respect to the Series E redeemable convertible preferred stock only, the holders of a majority of the outstanding shares of Series E redeemable convertible preferred stock only, voting as a separate series and (iv) with respect to the Series E-1 convertible preferred stock only, the holders of a majority of the outstanding shares of Series E-1 redeemable convertible preferred stock, voting as a separate series.</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2019 and 2020, the conversion prices per share for all series of redeemable convertible preferred stock were equal to the original issue prices, and the rate at which each share would convert into common stock was one-for-one.</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i w:val="1"/>
          <w:iCs w:val="1"/>
          <w:color w:val="auto"/>
        </w:rPr>
        <w:t>—</w:t>
      </w:r>
      <w:r>
        <w:rPr>
          <w:rFonts w:ascii="Arial" w:cs="Arial" w:eastAsia="Arial" w:hAnsi="Arial"/>
          <w:sz w:val="18"/>
          <w:szCs w:val="18"/>
          <w:color w:val="auto"/>
        </w:rPr>
        <w:t>Holders of redeemable convertible preferred stock are entitled to one vote for each share of common stock into which their shares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Holders of Series A redeemable convertible preferred stock together are entitled to appoint two members of the board of directors. Holders of Series C redeemable convertible preferred stock together are entitled to appoint one member of the board of directors. The holders of common stock, voting together as a separate class, are entitled to appoint two members of the board of directors, who will be deemed common directors. The holders of common stock and redeemable convertible preferred stock voting together as a single class on an as-if-converted basis shall elect any remaining members of the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2020, the Company was authorized to issue up to 897,047,950 of shares of its capital stock, of which 545,000,000 shares have been designated as common stock.</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holders of the Company’s common stock are not entitled to dividends, whether in cash or property, until all declared dividends to Series A, Series B, Series C, Series D, Series D-1, Series E and Series E-1 redeemable convertible preferred stockholders have been paid. The holders of each share of common stock shall have the right to one vote for each share and are entitled, as a share class, to elect two members of the board of directors. In addition, the holders of common stock and redeemable convertible preferred stock, voting together as a single class on an as-if-converted basis, are entitled to elect any remaining members of the board of directors.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reserved common shares for the following purposes as of:</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7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58,204,440</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60,434,352</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28,734,078</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33,185,680</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66,824,303</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20,989,756</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203,610</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1,602,414</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23,421,374</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4,430,336</w:t>
            </w:r>
          </w:p>
        </w:tc>
      </w:tr>
      <w:tr>
        <w:trPr>
          <w:trHeight w:val="223"/>
        </w:trPr>
        <w:tc>
          <w:tcPr>
            <w:tcW w:w="9780" w:type="dxa"/>
            <w:vAlign w:val="bottom"/>
          </w:tcPr>
          <w:p>
            <w:pPr>
              <w:spacing w:after="0"/>
              <w:rPr>
                <w:sz w:val="20"/>
                <w:szCs w:val="20"/>
                <w:color w:val="auto"/>
              </w:rPr>
            </w:pPr>
            <w:r>
              <w:rPr>
                <w:rFonts w:ascii="Arial" w:cs="Arial" w:eastAsia="Arial" w:hAnsi="Arial"/>
                <w:sz w:val="18"/>
                <w:szCs w:val="18"/>
                <w:color w:val="auto"/>
              </w:rPr>
              <w:t>Stock options and restricted stock units available for future grants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7,683,069</w:t>
            </w:r>
          </w:p>
        </w:tc>
        <w:tc>
          <w:tcPr>
            <w:tcW w:w="60" w:type="dxa"/>
            <w:vAlign w:val="bottom"/>
          </w:tcPr>
          <w:p>
            <w:pPr>
              <w:spacing w:after="0"/>
              <w:rPr>
                <w:sz w:val="19"/>
                <w:szCs w:val="19"/>
                <w:color w:val="auto"/>
              </w:rPr>
            </w:pPr>
          </w:p>
        </w:tc>
      </w:tr>
      <w:tr>
        <w:trPr>
          <w:trHeight w:val="216"/>
        </w:trPr>
        <w:tc>
          <w:tcPr>
            <w:tcW w:w="9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389,185,143</w:t>
            </w:r>
          </w:p>
        </w:tc>
      </w:tr>
      <w:tr>
        <w:trPr>
          <w:trHeight w:val="20"/>
        </w:trPr>
        <w:tc>
          <w:tcPr>
            <w:tcW w:w="9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to the reserved common stock shares above, the Company committed up to 360,000 common stock shares or equivalent in cash for future issuance to fund and support the Company’s social impact initiatives over the next ten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Stock Incentive Plan</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Under the Company’s 2011 Plan, the board of directors may grant stock options, RSUs, and other share-related and performance awards that may be settled in cash, stock, or other property to employees, directors, and consultants. Under the Plan, up to 88,568,905 and 100,993,447 shares of common stock could be issued as of December 31, 2019 and 2020,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Under the Plan, the exercise price of an incentive stock option shall not be less than the fair value of one share of common stock on the date of grant (not less than 110% of the fair value of one share of common stock for grants to stockholders owning more than 10% of the total combined voting power of all classes of stock of the Company (a “10% Stockholder”)). Options are exercisable over periods not to exceed ten years from the date of grant (five years for incentive stock options granted to 10% Stockholders). A summary of the Company’s stock option activity was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7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 per</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Share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19,628,032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7.69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17,008,222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1.30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(8,529,478)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(2,947,365)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0.54</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25,159,411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8.74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6,404,800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(6,084,183)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(2,058,654)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1.50</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23,421,374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8.33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248,002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Vested as of December 31, 2019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6,820,497</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0.21</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7.16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2020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7,858,915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0.82</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7.59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40" w:hanging="324"/>
        <w:spacing w:after="0"/>
        <w:tabs>
          <w:tab w:leader="none" w:pos="4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Plan allows for early exercise of stock options and these balances include all exercisable stock options regardless of vesting status.</w:t>
      </w:r>
    </w:p>
    <w:p>
      <w:pPr>
        <w:spacing w:after="0" w:line="23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During the year ended December 31, 2019, share-based compensation recognized for employee stock options was $21.5 million, of which $6.7 million was related to stock option grants and $14.8 million was related to secondary market transactions between employees and certain economic interest holders. During the year ended December 31, 2020, share-based compensation recognized for employee stock options was $28.0 million, of which $10.7 million was related to stock option grants and $17.3 million was related to secondary market transactions between employees and certain economic interest holders.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income tax benefit has been recognized related to share-based compensation expense and no tax benefits have been realized from exercised stock options.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weighted-average grant date fair value of options granted during the years ended December 31, 2019 and 2020 was $1.73 and $1.81, respectively.</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intrinsic value of options exercised during the years ended December 31, 2019 and 2020 was $21.2 million and $32.8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grant-date fair value of options vested during the year ended December 31, 2019 and 2020 was $5.2 million and $10.7 million, respectively.</w:t>
      </w:r>
    </w:p>
    <w:p>
      <w:pPr>
        <w:spacing w:after="0" w:line="23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2020, unrecognized compensation costs related to unvested outstanding stock options was $25.7 million. These costs are expected to be recognized over a period of 3.5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weighted average assumptions were used to calculate the fair value of employee stock option grants:</w:t>
      </w:r>
    </w:p>
    <w:p>
      <w:pPr>
        <w:spacing w:after="0" w:line="244"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volatility</w:t>
            </w:r>
          </w:p>
        </w:tc>
        <w:tc>
          <w:tcPr>
            <w:tcW w:w="4660" w:type="dxa"/>
            <w:vAlign w:val="bottom"/>
            <w:gridSpan w:val="3"/>
          </w:tcPr>
          <w:p>
            <w:pPr>
              <w:jc w:val="right"/>
              <w:ind w:right="380"/>
              <w:spacing w:after="0"/>
              <w:rPr>
                <w:sz w:val="20"/>
                <w:szCs w:val="20"/>
                <w:color w:val="auto"/>
              </w:rPr>
            </w:pPr>
            <w:r>
              <w:rPr>
                <w:rFonts w:ascii="Arial" w:cs="Arial" w:eastAsia="Arial" w:hAnsi="Arial"/>
                <w:sz w:val="18"/>
                <w:szCs w:val="18"/>
                <w:color w:val="auto"/>
              </w:rPr>
              <w:t>43.7%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60" w:type="dxa"/>
            <w:vAlign w:val="bottom"/>
            <w:gridSpan w:val="3"/>
          </w:tcPr>
          <w:p>
            <w:pPr>
              <w:jc w:val="right"/>
              <w:ind w:right="38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$3.27</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the Company’s methodology for determining the key assumptions used to estimate the fair value of options:</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b w:val="1"/>
          <w:bCs w:val="1"/>
          <w:i w:val="1"/>
          <w:iCs w:val="1"/>
          <w:color w:val="auto"/>
        </w:rPr>
        <w:t xml:space="preserve">Fair Value of Common Stock: </w:t>
      </w:r>
      <w:r>
        <w:rPr>
          <w:rFonts w:ascii="Arial" w:cs="Arial" w:eastAsia="Arial" w:hAnsi="Arial"/>
          <w:sz w:val="17"/>
          <w:szCs w:val="17"/>
          <w:color w:val="auto"/>
        </w:rPr>
        <w:t>The fair value of the common stock underlying the Company’s share-based awards was determined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with input from management and contemporaneous third-party valuations. If awards were granted a short period of time preceding the date of a valuation report, the Company retrospectively assessed the fair value used for financial reporting purposes after considering the fair value reflected in the subsequent valuation report and other facts and circumstances on the date of grant as discussed below.</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 absence of a public trading market for the Company’s common stock, and in accordance with the AICPA Guide, the board of directors exercised reasonable judgment and considered numerous objective and subjective factors to determine the best estimate of the fair value of its common stock including:</w:t>
      </w:r>
    </w:p>
    <w:p>
      <w:pPr>
        <w:spacing w:after="0" w:line="89"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observed secondary sales of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rights, preferences, and privileges of the Company’s redeemable convertible preferred stock relative to those of its common stock;</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relevant precedent transactions involving its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the Company given prevailing market conditions and the nature and history of its business;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market multiples of comparable companies in its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estimating the fair value of the Company’s common stock, the board of directors determined the equity value of the Company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recommended in the AICPA Guide for early-stage companies and is adjusted to reflect the risks inherent in the Company’s cash flows. The market approach estimates fair value based on a comparison of the subject company to comparable public companies in a similar line of business.</w:t>
      </w:r>
    </w:p>
    <w:p>
      <w:pPr>
        <w:spacing w:after="0" w:line="146"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Prior to March 2019, the Company’s equity valuation was based on both the income and the market approach valuation methods and the Option Pricing Method, or OPM, was selected as the principal equity allocation method. Both these methods were consistent with prior valuations. For options granted starting in the second quarter of 2019, the Company used a hybrid method to determine the fair value of its common stock, in addition to giving consideration to secondary sales of its common stock. Under the hybrid method, multiple valuation approaches were used and then combined into a single probability weighted valuation. The Company’s approach included the use of initial public offering scenarios, a scenario assuming continued operation as a private entity, and a scenario assuming an acquisition of the Company.</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the Company has considered the impact on its valuation estimates from secondary transactions and given weighting to such transactions in its common stock fair value estimates. The Company considered the facts and circumstances of each secondary transaction including the different buyers and sellers, transaction volume, timing relative to the valuation date, and whether the transaction involved investors with access to the Company’s financial information.</w:t>
      </w:r>
    </w:p>
    <w:p>
      <w:pPr>
        <w:spacing w:after="0" w:line="18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the Company’s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the Company’s valuations as of each valuation date and may have a material impact on the valuation of its common stock.</w:t>
      </w:r>
    </w:p>
    <w:p>
      <w:pPr>
        <w:spacing w:after="0" w:line="15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Company determines the expected term based on the average period the stock options are expected to remain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The Company believes historical volatility of its comparable companies to be the best estimate of future volatility. The Company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for option grants by reference to the average historical volatility of its comparable companies for the period preceding the option grant for a term that is equal to the option’s expected term, if available.</w:t>
      </w:r>
    </w:p>
    <w:p>
      <w:pPr>
        <w:spacing w:after="0" w:line="184" w:lineRule="exact"/>
        <w:rPr>
          <w:sz w:val="20"/>
          <w:szCs w:val="20"/>
          <w:color w:val="auto"/>
        </w:rPr>
      </w:pPr>
    </w:p>
    <w:p>
      <w:pPr>
        <w:ind w:left="120"/>
        <w:spacing w:after="0"/>
        <w:tabs>
          <w:tab w:leader="none" w:pos="2060" w:val="left"/>
        </w:tabs>
        <w:rPr>
          <w:sz w:val="20"/>
          <w:szCs w:val="20"/>
          <w:color w:val="auto"/>
        </w:rPr>
      </w:pPr>
      <w:r>
        <w:rPr>
          <w:rFonts w:ascii="Arial" w:cs="Arial" w:eastAsia="Arial" w:hAnsi="Arial"/>
          <w:sz w:val="18"/>
          <w:szCs w:val="18"/>
          <w:b w:val="1"/>
          <w:bCs w:val="1"/>
          <w:i w:val="1"/>
          <w:iCs w:val="1"/>
          <w:color w:val="auto"/>
        </w:rPr>
        <w:t>Risk Free Interest Rate:</w:t>
      </w:r>
      <w:r>
        <w:rPr>
          <w:sz w:val="20"/>
          <w:szCs w:val="20"/>
          <w:color w:val="auto"/>
        </w:rPr>
        <w:tab/>
      </w:r>
      <w:r>
        <w:rPr>
          <w:rFonts w:ascii="Arial" w:cs="Arial" w:eastAsia="Arial" w:hAnsi="Arial"/>
          <w:sz w:val="16"/>
          <w:szCs w:val="16"/>
          <w:color w:val="auto"/>
        </w:rPr>
        <w:t>The Company uses the U.S. Treasury yield for its risk-free interest rate that corresponds with the expected term.</w:t>
      </w:r>
    </w:p>
    <w:p>
      <w:pPr>
        <w:spacing w:after="0" w:line="22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Dividends:</w:t>
      </w:r>
      <w:r>
        <w:rPr>
          <w:sz w:val="20"/>
          <w:szCs w:val="20"/>
          <w:color w:val="auto"/>
        </w:rPr>
        <w:tab/>
      </w:r>
      <w:r>
        <w:rPr>
          <w:rFonts w:ascii="Arial" w:cs="Arial" w:eastAsia="Arial" w:hAnsi="Arial"/>
          <w:sz w:val="16"/>
          <w:szCs w:val="16"/>
          <w:color w:val="auto"/>
        </w:rPr>
        <w:t>The Company does not anticipate paying any dividends in the foreseeable future and, therefore, uses an expected dividend yield of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Early Exercise Liability</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Under the Plan, employees can exercise their stock options prior to the requisite vesting period. Shares purchased by employees pursuant to the early exercise of stock options are not deemed to be outstanding for accounting purposes until the underlying shares vest. Cash received in exchange for exercised but unvested shares is recorded as a liability in accrued expenses and other liabilities on the consolidated balance sheets and will be transferred into common stock and additional paid-in capital as the underlying shares vest.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there was $0.6 million included in accrued expenses and other liabilities related to 1,163,150 exercised but unvested options.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2020, there was $0.5 million included in accrued expenses and other liabilities related to 723,210 exercised but unvested options.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Secondary Sales of Common Stock</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During the years ended December 31, 2019 and 2020,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$14.8 million and $17.3 million during the years ended December 31, 2019 and 2020, respectively. The share-based compensation amount for the year ended December 31, 2019 includes the share-based compensation arising from the exchange of common stock for Series E redeemable convertible preferred stock discussed in Note 9. In connection with these stock transfers, the Company waived all transfer restrictions and assigned its rights of first refusal applicable to such shares.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Stock Units</w:t>
      </w:r>
    </w:p>
    <w:p>
      <w:pPr>
        <w:spacing w:after="0" w:line="117"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Commencing in 2020, the Company granted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As of December 31, 2020, no share-based compensation expense had been recognized for RSUs because the liquidity condition had not occurred. If a qualifying liquidity condition had occurred on December 31, 2020, the Company would have recognized $9.8 million of cumulative share-based compensation expense on that date and would have $15.7 million of unrecognized compensation cost that represents the grants that have not met the service condition as of December 31, 2020.</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RSUs activity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4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value per</w:t>
            </w: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4,571,886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Canceled and 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(141,550)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4,430,336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 to Purchase Common and Redeemable Convertible Preferred Stock</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2013, the Company issued a warrant to DFS Services, LLC to purchase up to 3.0 million shares of common stock at an exercise price of $0.00067 per share. The vesting of the warrant shares is dependent on the number of active cards DFS Services, LLC deploys on the Company’s Platform through March 2020. The warrant expired in March 2020 and no warrant shares vested.</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2013 and 2014, in connection with prior loan agreements, the Company issued two warrants to the lender to purchase 101,805 and 101,805 shares of Series B redeemable convertible preferred stock, both at an exercise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price of $0.295 per share. As of December 31, 2019 and 2020, both warrants are fully vested and exercisable and expire in 2023. The warrants are classified as a liability in the consolidated balance sheets. The Company remeasures the warrants at each balance sheet date using the Black-Scholes-Merton model and records any changes in fair value in other income (expense), net in the Company’s consolidated statements of operations. The Company will continue to adjust the liability for the changes in fair value until the earlier of the exercise or expiration of the warrant. Immediately prior to the completion of the Company’s planned initial public offering, the Company’s outstanding redeemable convertible preferred stock warrants will be converted to common stock warrants and the fair value of the liability at that time will also be reclassified into the Company’s common stock and additional paid-in capital.</w:t>
      </w:r>
    </w:p>
    <w:p>
      <w:pPr>
        <w:spacing w:after="0" w:line="19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2015 and 2016, in connection with prior loan agreements, the Company issued two warrants to the lender to purchase 231,348 and 621,066 shares of common stock, both at an exercise price of $0.053 per share. As of December 31, 2020, the warrants were fully vested and exercisable and expire in 2025 and 2026, respectively. These warrants are classified as equity instruments.</w:t>
      </w:r>
    </w:p>
    <w:p>
      <w:pPr>
        <w:spacing w:after="0" w:line="18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September 2020, the Company issued a warrant to a Customer to purchase up to 750,000 shares of the Company’s common stock over a period of five years, ending in September 2025, at an exercise price of $0.01 per share, for a total fair value of $5.7 million. The warrant becomes exercisable when the vesting conditions are met. Vesting is contingent on certain performance conditions, which include the Customer reaching certain processing volume thresholds over the five-year contract term. This warrant is classified as an equity instrument and expires in September 2025. It is treated as consideration payable to a Customer and recorded as a reduction to net revenue based on the vesting milestones and the grant date fair value of the warrant shares. As of December 31, 2020, 22,500 shares were vested and the Company recorded an immaterial amount as a reduction to net revenue during the year then ended. The fair value of the warrant was determined using the Black-Scholes-Merton model and the assumptions below as of the date of the grant: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4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term (in years)</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$7.61</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presents net loss per share attributable to common stockholders in conformity with the two-class method required for participating securities, and considers all series of redeemable convertible preferred stock participating securities. The Company has not allocated net loss attributable to common stockholders to redeemable convertible preferred stock because the holders of its redeemable convertible preferred stock are not contractually obligated to share in losses.</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calculated basic and diluted net loss per share attributable to common stockholders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581"/>
              <w:spacing w:after="0"/>
              <w:rPr>
                <w:sz w:val="20"/>
                <w:szCs w:val="20"/>
                <w:color w:val="auto"/>
              </w:rPr>
            </w:pPr>
            <w:r>
              <w:rPr>
                <w:rFonts w:ascii="Arial" w:cs="Arial" w:eastAsia="Arial" w:hAnsi="Arial"/>
                <w:sz w:val="18"/>
                <w:szCs w:val="18"/>
                <w:color w:val="auto"/>
              </w:rPr>
              <w:t>(58,200)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(47,695)</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redeemable convertible preferred stockholders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(64,149)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(122,349</w:t>
            </w:r>
          </w:p>
        </w:tc>
        <w:tc>
          <w:tcPr>
            <w:tcW w:w="720" w:type="dxa"/>
            <w:vAlign w:val="bottom"/>
          </w:tcPr>
          <w:p>
            <w:pPr>
              <w:jc w:val="right"/>
              <w:ind w:right="5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12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18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 stockholders,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1620" w:type="dxa"/>
            <w:vAlign w:val="bottom"/>
            <w:gridSpan w:val="2"/>
          </w:tcPr>
          <w:p>
            <w:pPr>
              <w:jc w:val="right"/>
              <w:ind w:right="641"/>
              <w:spacing w:after="0"/>
              <w:rPr>
                <w:sz w:val="20"/>
                <w:szCs w:val="20"/>
                <w:color w:val="auto"/>
              </w:rPr>
            </w:pPr>
            <w:r>
              <w:rPr>
                <w:rFonts w:ascii="Arial" w:cs="Arial" w:eastAsia="Arial" w:hAnsi="Arial"/>
                <w:sz w:val="18"/>
                <w:szCs w:val="18"/>
                <w:color w:val="auto"/>
                <w:w w:val="87"/>
              </w:rPr>
              <w:t>113,851,714</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122,932,556</w:t>
            </w: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years ended December 31, 2019 and 2020. The following outstanding shares of potentially dilutive securities were excluded from the computation of diluted net loss per share because including them would have had an anti-dilutive effect as of:</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9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58,204,440</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58,204,440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62,114,648</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60,434,352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28,734,078</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28,734,078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33,185,680</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33,185,680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66,824,303</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66,824,303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20,989,756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203,610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203,610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3,852,414</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1,602,414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25,159,411</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23,421,374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4,430,336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Stock options and restricted stock units available for future grants</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3,844,639</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7,683,069</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369,903,652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389,185,143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14. Income Tax</w:t>
            </w: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The components of loss before income taxes by tax jurisdiction were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(58,985)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(47,911)</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820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(58,165)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(47,608)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340"/>
              <w:spacing w:after="0"/>
              <w:rPr>
                <w:sz w:val="20"/>
                <w:szCs w:val="20"/>
                <w:color w:val="auto"/>
              </w:rPr>
            </w:pPr>
            <w:r>
              <w:rPr>
                <w:rFonts w:ascii="Arial" w:cs="Arial" w:eastAsia="Arial" w:hAnsi="Arial"/>
                <w:sz w:val="18"/>
                <w:szCs w:val="18"/>
                <w:color w:val="auto"/>
              </w:rPr>
              <w:t>F-35</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tax expense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4"/>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1420" w:type="dxa"/>
            <w:vAlign w:val="bottom"/>
            <w:gridSpan w:val="3"/>
          </w:tcPr>
          <w:p>
            <w:pPr>
              <w:jc w:val="right"/>
              <w:ind w:right="7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1500" w:type="dxa"/>
            <w:vAlign w:val="bottom"/>
            <w:gridSpan w:val="4"/>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1500" w:type="dxa"/>
            <w:vAlign w:val="bottom"/>
            <w:gridSpan w:val="4"/>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reconciliation of the Company’s effective tax rate to the statutory federal rate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at federal statutory rate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 taxes, net of federal effect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permanent items</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net operating loss apportionment adjustment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rate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500" w:type="dxa"/>
            <w:vAlign w:val="bottom"/>
            <w:gridSpan w:val="4"/>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tcPr>
          <w:p>
            <w:pPr>
              <w:ind w:left="5340"/>
              <w:spacing w:after="0"/>
              <w:rPr>
                <w:sz w:val="20"/>
                <w:szCs w:val="20"/>
                <w:color w:val="auto"/>
              </w:rPr>
            </w:pPr>
            <w:r>
              <w:rPr>
                <w:rFonts w:ascii="Arial" w:cs="Arial" w:eastAsia="Arial" w:hAnsi="Arial"/>
                <w:sz w:val="18"/>
                <w:szCs w:val="18"/>
                <w:color w:val="auto"/>
              </w:rPr>
              <w:t>F-36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Federal and state 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24,299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27,269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Accruals and other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5,210</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contract contingencies and processing errors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4,458</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40,043</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(36,327)</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 is more likely than not that its U.S. deferred tax assets will not be utilized and has recorded a full valuation allowance against its net U.S. deferred tax assets. The available negative evidence as of December 31, 2019 and 2020 included historical and projected future operating losses.</w:t>
      </w:r>
    </w:p>
    <w:p>
      <w:pPr>
        <w:spacing w:after="0" w:line="184"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Prior to 2019, the Company only filed state income tax returns in California and Florida. During 2019 and 2020, the Company completed an evaluation of its state-by-state business activities and determined to file state income tax returns in an additional fifteen states to report inception to date historical apportioned net operating losses. As a result of this determination, the Company’s state specific apportionment methodologies were refined, which led to a reduction of the estimated total state net operating loss carryforward deferred tax asset by $2.6 million during the year ended December 31, 2019, and increase of $0.3 million during the year ended December 31, 2020. The Company recorded a corresponding adjustment in the valuation allowance associated with this determination. This change in estimates had no net effect on the Company’s consolidated balance sheets, consolidated statements of operations and statements of comprehensive loss, or consolidated statements of cash flows.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of December 31, 2020, the Company had net operating loss carryforwards of approximately $113.9 million and $54.4 million for federal and state tax purposes, respectively. If not utilized, these carryforwards will begin to expire in 2030. Of the Company’s federal net operating loss carryforwards as of December 31 2020, $66.3 million can be carried forward indefinitely. Under Section 382 of Internal Revenue Code of 1986, as amended, the Company’s ability to utilize net operating loss carryforwards or other tax attributes in any taxable year may be limited if the Company has experienced an ownership change. As of December 31, 2020, the Company has concluded that it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files federal and various state tax returns in the U.S., as well as tax returns in the U.K. As of December 31, 2020, the Company’ federal tax returns for 2016 and earlier, and the state tax returns for 2015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earlier were no longer subject to examination by the taxing authorities. However, tax periods closed in a prior period may be subject to audit and re-examination by tax authorities for which tax carryforwards are utilized in subsequent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have any material unrecognized tax benefits in 2019 and 2020.</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did not incur any interest expenses or penalties or have outstanding liabilities on the balance sheets associated with unrecognized tax benefits for the year ended December 31, 2020. The Company does not expect any significant increases or decreases to its unrecognized benefits within the next twelve months.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Concentration of Risks and Significant Customers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marketable securities, accounts receivable and unbilled customers’ receivable (collectively referred to as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as of December 31, 2019 and 2020 include $19.0 million and $203.6 million, respectively, of investments in three money market mutual funds which invest primarily in securities issued by the U.S. Government or U.S. Government agencies.</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2019, marketable securities were $95.2 million, and there were no concentration of securities of the same issuer with an aggregate fair value greater than 5% of the total balance, except for U.S. Treasuries, which amounted to $18.1 million, or 19% of the marketable securities. All debt securities within the Company’s portfolio are investment grade.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December 31, 2020, marketable securities were $149.9 million, and there were no concentration of securities of the same issuer with an aggregate fair value greater than 5% of the total balance, except for U.S. Treasuries, which amounted to $125.9 million, or 84%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years ended December 31, 2019 and 2020, approximately 97% and 96% of the Company’s TPV was settled through Sutton Bank, respectively.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Company’s customers’ receivables are derived primarily from Customers located in the United States. The Company does not require collateral on accounts receivable balances and maintains allowances for potential credit losses when deemed necessary.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each significant Customer, revenue as a percentage of total net revenue and customers’ receivables as a percentage of total customers’ receivables are as follows:</w:t>
      </w:r>
    </w:p>
    <w:p>
      <w:pPr>
        <w:spacing w:after="0" w:line="189"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Percent of Net Revenue for</w:t>
      </w:r>
    </w:p>
    <w:p>
      <w:pPr>
        <w:jc w:val="center"/>
        <w:ind w:left="7820"/>
        <w:spacing w:after="0" w:line="236" w:lineRule="auto"/>
        <w:rPr>
          <w:sz w:val="20"/>
          <w:szCs w:val="20"/>
          <w:color w:val="auto"/>
        </w:rPr>
      </w:pPr>
      <w:r>
        <w:rPr>
          <w:rFonts w:ascii="Arial" w:cs="Arial" w:eastAsia="Arial" w:hAnsi="Arial"/>
          <w:sz w:val="14"/>
          <w:szCs w:val="14"/>
          <w:b w:val="1"/>
          <w:bCs w:val="1"/>
          <w:color w:val="auto"/>
        </w:rPr>
        <w:t>the Year Ended</w:t>
      </w:r>
    </w:p>
    <w:tbl>
      <w:tblPr>
        <w:tblLayout w:type="fixed"/>
        <w:tblInd w:w="120" w:type="dxa"/>
        <w:tblCellMar>
          <w:top w:w="0" w:type="dxa"/>
          <w:left w:w="0" w:type="dxa"/>
          <w:bottom w:w="0" w:type="dxa"/>
          <w:right w:w="0" w:type="dxa"/>
        </w:tblCellMar>
      </w:tblPr>
      <w:tr>
        <w:trPr>
          <w:trHeight w:val="119"/>
        </w:trPr>
        <w:tc>
          <w:tcPr>
            <w:tcW w:w="8020" w:type="dxa"/>
            <w:vAlign w:val="bottom"/>
          </w:tcPr>
          <w:p>
            <w:pPr>
              <w:spacing w:after="0"/>
              <w:rPr>
                <w:sz w:val="10"/>
                <w:szCs w:val="10"/>
                <w:color w:val="auto"/>
              </w:rPr>
            </w:pPr>
          </w:p>
        </w:tc>
        <w:tc>
          <w:tcPr>
            <w:tcW w:w="1960" w:type="dxa"/>
            <w:vAlign w:val="bottom"/>
            <w:tcBorders>
              <w:top w:val="single" w:sz="8" w:color="auto"/>
            </w:tcBorders>
            <w:gridSpan w:val="2"/>
          </w:tcPr>
          <w:p>
            <w:pPr>
              <w:jc w:val="center"/>
              <w:ind w:right="1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Customer B</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440" w:hanging="324"/>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29"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Percent of Customers’</w:t>
      </w:r>
    </w:p>
    <w:p>
      <w:pPr>
        <w:jc w:val="center"/>
        <w:ind w:left="7820"/>
        <w:spacing w:after="0" w:line="236" w:lineRule="auto"/>
        <w:rPr>
          <w:sz w:val="20"/>
          <w:szCs w:val="20"/>
          <w:color w:val="auto"/>
        </w:rPr>
      </w:pPr>
      <w:r>
        <w:rPr>
          <w:rFonts w:ascii="Arial" w:cs="Arial" w:eastAsia="Arial" w:hAnsi="Arial"/>
          <w:sz w:val="14"/>
          <w:szCs w:val="14"/>
          <w:b w:val="1"/>
          <w:bCs w:val="1"/>
          <w:color w:val="auto"/>
        </w:rPr>
        <w:t>Receivables as of</w:t>
      </w:r>
    </w:p>
    <w:tbl>
      <w:tblPr>
        <w:tblLayout w:type="fixed"/>
        <w:tblInd w:w="120" w:type="dxa"/>
        <w:tblCellMar>
          <w:top w:w="0" w:type="dxa"/>
          <w:left w:w="0" w:type="dxa"/>
          <w:bottom w:w="0" w:type="dxa"/>
          <w:right w:w="0" w:type="dxa"/>
        </w:tblCellMar>
      </w:tblPr>
      <w:tr>
        <w:trPr>
          <w:trHeight w:val="119"/>
        </w:trPr>
        <w:tc>
          <w:tcPr>
            <w:tcW w:w="8020" w:type="dxa"/>
            <w:vAlign w:val="bottom"/>
          </w:tcPr>
          <w:p>
            <w:pPr>
              <w:spacing w:after="0"/>
              <w:rPr>
                <w:sz w:val="10"/>
                <w:szCs w:val="10"/>
                <w:color w:val="auto"/>
              </w:rPr>
            </w:pPr>
          </w:p>
        </w:tc>
        <w:tc>
          <w:tcPr>
            <w:tcW w:w="1960" w:type="dxa"/>
            <w:vAlign w:val="bottom"/>
            <w:tcBorders>
              <w:top w:val="single" w:sz="8" w:color="auto"/>
            </w:tcBorders>
            <w:gridSpan w:val="2"/>
          </w:tcPr>
          <w:p>
            <w:pPr>
              <w:jc w:val="center"/>
              <w:ind w:right="1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0"/>
                <w:szCs w:val="10"/>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Customer C</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9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ind w:left="440" w:hanging="324"/>
        <w:spacing w:after="0"/>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enter into transactions with related parties.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2019 Series E redeemable convertible preferred stock financing discussed in Note 9:</w:t>
      </w:r>
    </w:p>
    <w:p>
      <w:pPr>
        <w:spacing w:after="0" w:line="131" w:lineRule="exact"/>
        <w:rPr>
          <w:sz w:val="20"/>
          <w:szCs w:val="20"/>
          <w:color w:val="auto"/>
        </w:rPr>
      </w:pPr>
    </w:p>
    <w:p>
      <w:pPr>
        <w:jc w:val="both"/>
        <w:ind w:left="880" w:hanging="224"/>
        <w:spacing w:after="0" w:line="25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issued 6,939,446 shares of Series E redeemable convertible preferred stock in exchange for the same number of shares of common stock that an entity affiliated with the Company’s Chief Executive Officer, Founder, Director and Chairperson, sold at a purchase price of $3.891 per share, for an aggregate purchase price of $27.0 million, to certain investors in the Series E redeemable convertible preferred stock financing, none of which were directors, executive officers or holders of more than 5% of the Company’s outstanding capital stock.</w:t>
      </w:r>
    </w:p>
    <w:p>
      <w:pPr>
        <w:spacing w:after="0" w:line="93" w:lineRule="exact"/>
        <w:rPr>
          <w:rFonts w:ascii="Arial" w:cs="Arial" w:eastAsia="Arial" w:hAnsi="Arial"/>
          <w:sz w:val="18"/>
          <w:szCs w:val="18"/>
          <w:color w:val="auto"/>
        </w:rPr>
      </w:pPr>
    </w:p>
    <w:p>
      <w:pPr>
        <w:jc w:val="both"/>
        <w:ind w:left="880" w:hanging="224"/>
        <w:spacing w:after="0" w:line="301"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issued 3,855,248 shares of Series E redeemable convertible preferred stock in exchange for the same number of shares of common stock that an entity affiliated with the Company’s Chief Revenue Officer at the time of the transaction, sold at a purchase price of $3.891 per share, for an aggregate purchase price of $15.0 million, to certain investors in the Series E redeemable convertible preferred stock financing, none of which were directors, executive officers or holders of more than 5% of the Company’s outstanding capital stock.</w:t>
      </w:r>
    </w:p>
    <w:p>
      <w:pPr>
        <w:spacing w:after="0" w:line="62" w:lineRule="exact"/>
        <w:rPr>
          <w:rFonts w:ascii="Arial" w:cs="Arial" w:eastAsia="Arial" w:hAnsi="Arial"/>
          <w:sz w:val="16"/>
          <w:szCs w:val="16"/>
          <w:color w:val="auto"/>
        </w:rPr>
      </w:pPr>
    </w:p>
    <w:p>
      <w:pPr>
        <w:jc w:val="both"/>
        <w:ind w:left="880" w:right="20" w:hanging="224"/>
        <w:spacing w:after="0" w:line="25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issued 10,771,746 shares of Series E redeemable convertible preferred stock in exchange for the same number of shares of Series A redeemable convertible preferred stock that 83North II Limited Partnership, a holder of more than 5% of outstanding capital stock, sold at a purchase price of $3.891 per share, for an aggregate purchase price of $41.9 million, to certain investors in Series E redeemable convertible preferred stock financing, including entities affiliated with Vitruvian Partners, a holder of more than 5% of the Company’s outstanding capital stock, but none of which were directors or executive officers.</w:t>
      </w:r>
    </w:p>
    <w:p>
      <w:pPr>
        <w:spacing w:after="0" w:line="18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Company paid $14.4 million and $30.4 million in Card Network fees, net to PULSE Network LLC, an entity affiliated with DFS Services LLC, a holder of more than 5% of the Company’s outstanding capital stock, during the years ended December 31, 2019 and 2020,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Company has evaluated events through April 1, 2021, the date the consolidated financial statements as of and for the years ending December 31, 2019 and 2020 were originally available to be issued, to assess the need for potential recognition or disclosure in the financial statements.</w:t>
      </w:r>
    </w:p>
    <w:p>
      <w:pPr>
        <w:spacing w:after="0" w:line="12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January 1, 2021 through the date the consolidated financial statements were available to be issued, the Company granted options for 4,056,994 shares of common stock with a weighted average exercise price of $10.48 per share to employees and directors, and which are subject to service-based vesting conditions. The aggregate fair value of these options is $49.6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January 1, 2021 through the date financial statements were available to be issued, the Company also issued 2,130,993 RSUs to its employees, subject to both service and liquidity vesting conditions. The aggregate fair value of these RSUs is $38.2 million.</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February and March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approximately $5.9 million.</w:t>
      </w:r>
    </w:p>
    <w:p>
      <w:pPr>
        <w:spacing w:after="0" w:line="14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March 2021, the Company issued a warrant to a Customer to purchase up to 1,100,000 shares of the Company’s common stock over a period of four years, ending in April 2025, at an exercise price of $0.01 per share, for a total fair value of $25.2 million. The warrant becomes exercisable when the vesting conditions are met. Vesting is contingent on certain performance conditions, which include issuing a sufficient percentage of new cards on the Marqeta Platform over a three-year measurement period. The warrants are treated as consideration payable to a Customer and recorded as a reduction to net revenue based on the vesting milestones and the grant date fair value of the warrant shares.</w:t>
      </w:r>
    </w:p>
    <w:p>
      <w:pPr>
        <w:spacing w:after="0" w:line="176"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March 2021, the Company issued a warrant to a Customer to purchase up to 50,000 shares of the Company’s common stock over a period of four years, ending in April 2025, at an exercise price of $0.01 per share. Although the Company has not finalized the valuation of this grant, the Company’s preliminary estimated aggregate grant date fair value of the warrant is $1.2 million. The warrant’ vesting is contingent on certain performance conditions, which include issuing a specified percentage of new cards on the Marqeta Platform over a three-year measurement period. The warrant is treated as consideration payable to a Customer and recorded as a reduction to net revenue based on the probability of vesting conditions being met and the grant date fair value of the warrant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Subsequent Events (Unaudited)</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From April 1, 2021 to April 30, 2021, certain economic interest holders acquired outstanding common stock from current or former employees for a purchase price greater than the Company’s estimated fair value at the time of the transactions. Although the company has not finalized the valuation of its common stock in April of 2021, the Company expects to record share-based compensation expense for the difference between the price paid and the preliminary estimated fair value of its common stock on the date of the transaction of approximately $6.2 million.</w:t>
      </w:r>
    </w:p>
    <w:p>
      <w:pPr>
        <w:spacing w:after="0" w:line="17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From April 1, 2021 to April 30, 2021, the Company granted options for 1,720,000 shares of common stock with a weighted average exercise price of $21.49 per share to employees and directors, and which are subject to service-based vesting conditions. Although the Company has not finalized the valuation of these grants, the Company’s preliminary estimated aggregate fair value of these options is $20.1 million.</w:t>
      </w:r>
    </w:p>
    <w:p>
      <w:pPr>
        <w:spacing w:after="0" w:line="16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From April 1, 2021 to April 30, 2021, the Company also issued 198,163 RSUs to its employees, subject to service-based vesting conditions. Although the Company has not finalized the valuation of these grants, the Company’s preliminary estimated aggregate fair value of these RSUs is $4.6 million.</w:t>
      </w:r>
    </w:p>
    <w:p>
      <w:pPr>
        <w:spacing w:after="0" w:line="12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April 2021, the board of directors granted the Company’s Chief Executive Officer an equity incentive award in the form of performance-based stock options covering 19,740,923 shares of the Company’s Class B common stock. The award vests only upon the satisfaction of certain service and performance conditions including the achievement of certain stock price targets. The award has a term of ten years and is eligible to vest based on the Company’s stock price performance over a performance period beginning upon the expiration of the lock-up period associated with an underwritten public offering of the Company’s Class A common stock.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5">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7029450" cy="90951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334010</wp:posOffset>
            </wp:positionV>
            <wp:extent cx="2691765" cy="394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917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Class A Common Stock</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0" w:lineRule="exact"/>
        <w:rPr>
          <w:sz w:val="20"/>
          <w:szCs w:val="20"/>
          <w:color w:val="auto"/>
        </w:rPr>
      </w:pPr>
    </w:p>
    <w:p>
      <w:pPr>
        <w:sectPr>
          <w:pgSz w:w="11900" w:h="16838" w:orient="portrait"/>
          <w:cols w:equalWidth="0" w:num="2">
            <w:col w:w="9100" w:space="720"/>
            <w:col w:w="1320"/>
          </w:cols>
          <w:pgMar w:left="320" w:top="459" w:right="439" w:bottom="1440" w:gutter="0" w:footer="0" w:header="0"/>
          <w:type w:val="continuous"/>
        </w:sectPr>
      </w:pPr>
    </w:p>
    <w:p>
      <w:pPr>
        <w:spacing w:after="0" w:line="4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Barclays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William Blair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KeyBanc Capital Markets</w:t>
      </w:r>
    </w:p>
    <w:p>
      <w:pPr>
        <w:spacing w:after="0" w:line="171" w:lineRule="exact"/>
        <w:rPr>
          <w:sz w:val="20"/>
          <w:szCs w:val="20"/>
          <w:color w:val="auto"/>
        </w:rPr>
      </w:pPr>
    </w:p>
    <w:p>
      <w:pPr>
        <w:sectPr>
          <w:pgSz w:w="11900" w:h="16838" w:orient="portrait"/>
          <w:cols w:equalWidth="0" w:num="4">
            <w:col w:w="2640" w:space="720"/>
            <w:col w:w="720" w:space="700"/>
            <w:col w:w="1780" w:space="720"/>
            <w:col w:w="3860"/>
          </w:cols>
          <w:pgMar w:left="320" w:top="459" w:right="439" w:bottom="1440" w:gutter="0" w:footer="0" w:header="0"/>
          <w:type w:val="continuous"/>
        </w:sectPr>
      </w:pPr>
    </w:p>
    <w:p>
      <w:pPr>
        <w:ind w:left="2460"/>
        <w:spacing w:after="0"/>
        <w:rPr>
          <w:sz w:val="20"/>
          <w:szCs w:val="20"/>
          <w:color w:val="auto"/>
        </w:rPr>
      </w:pPr>
      <w:r>
        <w:rPr>
          <w:rFonts w:ascii="Arial" w:cs="Arial" w:eastAsia="Arial" w:hAnsi="Arial"/>
          <w:sz w:val="19"/>
          <w:szCs w:val="19"/>
          <w:b w:val="1"/>
          <w:bCs w:val="1"/>
          <w:color w:val="auto"/>
        </w:rPr>
        <w:t>Nomura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HSBC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R. Seelaus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2566035</wp:posOffset>
            </wp:positionV>
            <wp:extent cx="6995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2617470</wp:posOffset>
            </wp:positionV>
            <wp:extent cx="699516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Siebert Williams Shank</w:t>
      </w:r>
    </w:p>
    <w:p>
      <w:pPr>
        <w:sectPr>
          <w:pgSz w:w="11900" w:h="16838" w:orient="portrait"/>
          <w:cols w:equalWidth="0" w:num="4">
            <w:col w:w="3180" w:space="440"/>
            <w:col w:w="540" w:space="400"/>
            <w:col w:w="1920" w:space="400"/>
            <w:col w:w="4260"/>
          </w:cols>
          <w:pgMar w:left="320" w:top="459" w:right="43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1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 All amounts shown are estimates except for the SEC registration fee, the FINRA filing fee and the Nasdaq Global Select Market, or Nasdaq, listing fee.</w:t>
      </w:r>
    </w:p>
    <w:p>
      <w:pPr>
        <w:sectPr>
          <w:pgSz w:w="11900" w:h="16838" w:orient="portrait"/>
          <w:cols w:equalWidth="0" w:num="1">
            <w:col w:w="11140"/>
          </w:cols>
          <w:pgMar w:left="320" w:top="459" w:right="439" w:bottom="1440" w:gutter="0" w:footer="0" w:header="0"/>
        </w:sect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Transfer agent and registrar fees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771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23" w:lineRule="exact"/>
        <w:rPr>
          <w:sz w:val="20"/>
          <w:szCs w:val="20"/>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59"/>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739" w:hanging="739"/>
        <w:spacing w:after="0"/>
        <w:tabs>
          <w:tab w:leader="none" w:pos="739"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26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 w:lineRule="exact"/>
        <w:rPr>
          <w:sz w:val="20"/>
          <w:szCs w:val="20"/>
          <w:color w:val="auto"/>
        </w:rPr>
      </w:pPr>
    </w:p>
    <w:p>
      <w:pPr>
        <w:ind w:left="739" w:hanging="739"/>
        <w:spacing w:after="0"/>
        <w:tabs>
          <w:tab w:leader="none" w:pos="7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226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226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9521" w:space="720"/>
            <w:col w:w="899"/>
          </w:cols>
          <w:pgMar w:left="320" w:top="459" w:right="439" w:bottom="1440" w:gutter="0" w:footer="0" w:header="0"/>
          <w:type w:val="continuous"/>
        </w:sectPr>
      </w:pPr>
    </w:p>
    <w:p>
      <w:pPr>
        <w:spacing w:after="0" w:line="161"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76"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provides for indemnification by the underwriters of the Registrant and its officers and directors for certain liabilities arising under the Securities Act and otherwise.</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January 1, 2018, we made sales of the following unregistered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Issuances</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 March 2018, we sold an aggregate of 33,185,680 shares of our Series D-1 redeemable convertible preferred stock to three accredited investors at a purchase price of $1.2053 per share, for an aggregate purchase price of $39,999,806.</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From March 2019 through May 2019, we sold an aggregate of 38,552,483 shares of our Series E redeemable convertible preferred stock to six accredited investors at a purchase price of $3.8908 per share, for an aggregate purchase price of $150,000,001.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May 2020 and September 2020, we sold an aggregate of 20,989,756 shares of our Series E-1 redeemable convertible preferred stock to two accredited investors at a purchase price of $8.3374 per share, for an aggregate purchase price of $174,999,992.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Restricted Stock Unit and Common Issuances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Since January 1, 2018, we granted to our employees, consultants and other service providers options to purchase an aggregate of 56,454,189 shares of common stock under our 2011 Equity Incentive Plan, or our 2011 Plan, at exercise prices ranging from $0.26 to $21.49 per share.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Since January 1, 2018, we granted to our employees, consultants and other service providers restricted stock units representing an aggregate of 6,901,042 shares of common stock under our 2011 Plan. We began granting restricted stock units in 2020.</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Since January 1, 2018, we issued and sold to our employees, consultants and other service providers an aggregate of 19,039,967 shares of common stock upon the exercise of options under our 2011 Plan at exercise prices ranging from $0.01 to $10.48 per share, for a weighted-average exercise price of $0.367.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September 15, 2020, we granted Uber Technologies, Inc., or Uber, a warrant to purchase up to 750,000 shares of common stock at an exercise price of $0.01 per share, 22,500 of which are currently exercisable and 727,500 of which are exercisable upon attaining certain milestones over a five-year period, including the launch of certain Uber card programs on our Platform, achievement of annual transaction count thresholds and completion of certain joint marketing activities.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March 13, 2021, we granted Square, Inc., or Square, a warrant to purchase up to 1,100,000 shares of common stock at an exercise price of $0.01 per share, none of which are currently exercisable and all of which are exercisable upon attaining certain milestones relating to Square’s creation of a specified percentage of new cardholders on our Platform each year over a three-year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March 31, 2021, we granted Ramp Business Corporation, or Ramp, a warrant to purchase up to 50,000 shares of common stock at an exercise price of $0.01 per share, none of which are currently exercisable and all of which are exercisable upon attaining certain milestones relating to Ramp’s creation of a specified percentage of new cardholders on our Platform each year over a three-year period.</w:t>
      </w:r>
    </w:p>
    <w:p>
      <w:pPr>
        <w:spacing w:after="0" w:line="184"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believe these transactions were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Marqeta.</w:t>
      </w:r>
    </w:p>
    <w:p>
      <w:pPr>
        <w:spacing w:after="0" w:line="300"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31"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120" w:type="dxa"/>
            <w:vAlign w:val="bottom"/>
            <w:gridSpan w:val="3"/>
            <w:vMerge w:val="restart"/>
          </w:tcPr>
          <w:p>
            <w:pPr>
              <w:ind w:left="51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5200" w:type="dxa"/>
            <w:vAlign w:val="bottom"/>
          </w:tcPr>
          <w:p>
            <w:pPr>
              <w:ind w:left="640"/>
              <w:spacing w:after="0"/>
              <w:rPr>
                <w:sz w:val="20"/>
                <w:szCs w:val="20"/>
                <w:color w:val="auto"/>
              </w:rPr>
            </w:pPr>
            <w:r>
              <w:rPr>
                <w:rFonts w:ascii="Arial" w:cs="Arial" w:eastAsia="Arial" w:hAnsi="Arial"/>
                <w:sz w:val="18"/>
                <w:szCs w:val="18"/>
                <w:color w:val="auto"/>
              </w:rPr>
              <w:t>Form of Underwriting Agreement.</w:t>
            </w:r>
          </w:p>
        </w:tc>
        <w:tc>
          <w:tcPr>
            <w:tcW w:w="78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8120" w:type="dxa"/>
            <w:vAlign w:val="bottom"/>
            <w:gridSpan w:val="3"/>
          </w:tcPr>
          <w:p>
            <w:pPr>
              <w:ind w:left="640"/>
              <w:spacing w:after="0"/>
              <w:rPr>
                <w:sz w:val="20"/>
                <w:szCs w:val="20"/>
                <w:color w:val="auto"/>
              </w:rPr>
            </w:pPr>
            <w:r>
              <w:rPr>
                <w:rFonts w:ascii="Arial" w:cs="Arial" w:eastAsia="Arial" w:hAnsi="Arial"/>
                <w:sz w:val="18"/>
                <w:szCs w:val="18"/>
                <w:color w:val="auto"/>
                <w:w w:val="90"/>
              </w:rPr>
              <w:t>Amended and Restated Certificate of Incorporation of the Registrant, as amended, as currently in effect.</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8120" w:type="dxa"/>
            <w:vAlign w:val="bottom"/>
            <w:gridSpan w:val="3"/>
          </w:tcPr>
          <w:p>
            <w:pPr>
              <w:ind w:left="486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080" w:type="dxa"/>
            <w:vAlign w:val="bottom"/>
          </w:tcPr>
          <w:p>
            <w:pPr>
              <w:spacing w:after="0"/>
              <w:rPr>
                <w:sz w:val="14"/>
                <w:szCs w:val="14"/>
                <w:color w:val="auto"/>
              </w:rPr>
            </w:pPr>
          </w:p>
        </w:tc>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 w:type="dxa"/>
            <w:vAlign w:val="bottom"/>
          </w:tcPr>
          <w:p>
            <w:pPr>
              <w:spacing w:after="0"/>
              <w:rPr>
                <w:sz w:val="24"/>
                <w:szCs w:val="24"/>
                <w:color w:val="auto"/>
              </w:rPr>
            </w:pPr>
          </w:p>
        </w:tc>
        <w:tc>
          <w:tcPr>
            <w:tcW w:w="500" w:type="dxa"/>
            <w:vAlign w:val="bottom"/>
          </w:tcPr>
          <w:p>
            <w:pPr>
              <w:jc w:val="center"/>
              <w:ind w:right="99"/>
              <w:spacing w:after="0"/>
              <w:rPr>
                <w:sz w:val="20"/>
                <w:szCs w:val="20"/>
                <w:color w:val="auto"/>
              </w:rPr>
            </w:pPr>
            <w:r>
              <w:rPr>
                <w:rFonts w:ascii="Arial" w:cs="Arial" w:eastAsia="Arial" w:hAnsi="Arial"/>
                <w:sz w:val="18"/>
                <w:szCs w:val="18"/>
                <w:color w:val="auto"/>
                <w:w w:val="99"/>
              </w:rPr>
              <w:t>3.2*</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w w:val="93"/>
              </w:rPr>
              <w:t>Form of Amended and Restated Certificate of Incorporation of the Registrant to be in effect immediately prior to the completion of this</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3.3*</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3.4*</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Form of Amended and Restated Bylaws of the Registrant to be in effect immediately prior to the completion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4.1*</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Form of Class A common stock certificate of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4.2*</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w w:val="92"/>
              </w:rPr>
              <w:t>Amended and Restated Investors Rights Agreement, dated May 27, 2020, by and among the Registrant and certain of its stockholders.</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4.3*</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Warrant to Purchase Stock issued to Comerica Ventures Incorporated by the Registrant, dated October 11, 2013.</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4.4*</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Warrant to Purchase Stock issued to Comerica Ventures Incorporated by the Registrant, dated August 1, 2014.</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4.5*</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Warrant to Purchase Common Stock issued to Silicon Valley Bank by the Registrant, dated October 22, 2015.</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4.6*</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Warrant to Purchase Stock issued to Silicon Valley Bank by the Registrant, dated September 26, 2016.</w:t>
            </w:r>
          </w:p>
        </w:tc>
        <w:tc>
          <w:tcPr>
            <w:tcW w:w="0" w:type="dxa"/>
            <w:vAlign w:val="bottom"/>
          </w:tcPr>
          <w:p>
            <w:pPr>
              <w:spacing w:after="0"/>
              <w:rPr>
                <w:sz w:val="1"/>
                <w:szCs w:val="1"/>
                <w:color w:val="auto"/>
              </w:rPr>
            </w:pPr>
          </w:p>
        </w:tc>
      </w:tr>
      <w:tr>
        <w:trPr>
          <w:trHeight w:val="310"/>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4.7*</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w w:val="93"/>
              </w:rPr>
              <w:t>Warrant to Purchase Common Stock issued to Uber Technologies, Inc. by the Registrant, dated September 15, 2020, as amended on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January 7, 2021.</w:t>
            </w: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4.8†*</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Warrant to Purchase Common Stock issued to Square, Inc. by the Registrant, dated March 13, 2021.</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4.9*</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Warrant to Purchase Common Stock issued to Ramp Business Corporation by the Registrant, dated March 31, 2021.</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5.1*</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10.2#*</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2011 Equity Incentive Plan, as amended, and forms of agreements thereunder.</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10.3#*</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2021 Stock Option and Incentive Plan, and forms of agreements thereunder.</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10.4#*</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2021 Employee Stock Purchase Plan.</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10.5#*</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Senior Executive Incentive Bonus Plan.</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10.6#*</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Executive Severance Plan.</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10.7#*</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Non-Employee Director Compensation Policy.</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10.8#*</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Jason Gardner dated June 6, 2011.</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10.9#*</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Omri Dahan dated June 9, 2011.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10.10#*</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Kevin Doerr dated February 25,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10.11#*</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Separation Agreement and Release between the Registrant and Omri Dahan dated March 17, 2021.</w:t>
            </w:r>
          </w:p>
        </w:tc>
        <w:tc>
          <w:tcPr>
            <w:tcW w:w="0" w:type="dxa"/>
            <w:vAlign w:val="bottom"/>
          </w:tcPr>
          <w:p>
            <w:pPr>
              <w:spacing w:after="0"/>
              <w:rPr>
                <w:sz w:val="1"/>
                <w:szCs w:val="1"/>
                <w:color w:val="auto"/>
              </w:rPr>
            </w:pPr>
          </w:p>
        </w:tc>
      </w:tr>
      <w:tr>
        <w:trPr>
          <w:trHeight w:val="31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10.12*</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w w:val="91"/>
              </w:rPr>
              <w:t>Lease Agreement by and between the Registrant and MACH II 180 LLC, dated on or about March 1, 2016, as amended on November 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2017 and March 14, 2019.</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10.13†*</w:t>
            </w: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w w:val="91"/>
              </w:rPr>
              <w:t>Master Services Agreement by and between the Registrant and Square, Inc., dated April 19, 2016, as amended on September 1, 2016,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w w:val="93"/>
              </w:rPr>
              <w:t>October 18, 2016, December 24, 2016, June 30, 2017, August 2, 2017, October 1, 2017, April 1, 2018, June 6, 2019, September 20,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Arial" w:cs="Arial" w:eastAsia="Arial" w:hAnsi="Arial"/>
                <w:sz w:val="18"/>
                <w:szCs w:val="18"/>
                <w:color w:val="auto"/>
              </w:rPr>
              <w:t>2019, February 7, 2020, November 18, 2020, November 18, 2020, and March 13, 2021.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080" w:type="dxa"/>
            <w:vAlign w:val="bottom"/>
          </w:tcPr>
          <w:p>
            <w:pPr>
              <w:spacing w:after="0"/>
              <w:rPr>
                <w:sz w:val="14"/>
                <w:szCs w:val="14"/>
                <w:color w:val="auto"/>
              </w:rPr>
            </w:pPr>
          </w:p>
        </w:tc>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080" w:type="dxa"/>
            <w:vAlign w:val="bottom"/>
          </w:tcPr>
          <w:p>
            <w:pPr>
              <w:spacing w:after="0"/>
              <w:rPr>
                <w:sz w:val="14"/>
                <w:szCs w:val="14"/>
                <w:color w:val="auto"/>
              </w:rPr>
            </w:pPr>
          </w:p>
        </w:tc>
        <w:tc>
          <w:tcPr>
            <w:tcW w:w="5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0"/>
              </w:rPr>
              <w:t>Amended and Restated Prepaid Card Program Manager Agreement by and between the Registrant and Sutton Bank, dated April 1, 2016,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as amended on December 21, 2017, September 1, 2018, and August 1,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Power of Attorney (see page II-6 of this Registration Statement on Form 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2" w:lineRule="exact"/>
        <w:rPr>
          <w:sz w:val="20"/>
          <w:szCs w:val="20"/>
          <w:color w:val="auto"/>
        </w:rPr>
      </w:pPr>
    </w:p>
    <w:p>
      <w:pPr>
        <w:ind w:left="660" w:hanging="544"/>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19" w:lineRule="exact"/>
        <w:rPr>
          <w:sz w:val="20"/>
          <w:szCs w:val="20"/>
          <w:color w:val="auto"/>
        </w:rPr>
      </w:pPr>
    </w:p>
    <w:p>
      <w:pPr>
        <w:ind w:left="660" w:right="20" w:hanging="544"/>
        <w:spacing w:after="0" w:line="288"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exhibit has been omitted because it is both (i) not material and (ii) is the type that the Registrant treats as private or confidential.</w:t>
      </w:r>
    </w:p>
    <w:p>
      <w:pPr>
        <w:spacing w:after="0" w:line="320"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schedules are omitted because the required information is either not present, not present in material amounts or is presented within the consolidated financial statements included in the prospectus that is part of this registration statement.</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Insofar as indemnification by the Registrant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300" w:right="20" w:hanging="644"/>
        <w:spacing w:after="0" w:line="259"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w w:val="97"/>
              </w:rPr>
              <w:t>behalf by the undersigned, thereunto duly authorized, in Oakland, California, on</w:t>
            </w:r>
          </w:p>
        </w:tc>
        <w:tc>
          <w:tcPr>
            <w:tcW w:w="4820" w:type="dxa"/>
            <w:vAlign w:val="bottom"/>
            <w:gridSpan w:val="2"/>
          </w:tcPr>
          <w:p>
            <w:pPr>
              <w:jc w:val="right"/>
              <w:ind w:right="3779"/>
              <w:spacing w:after="0"/>
              <w:rPr>
                <w:sz w:val="20"/>
                <w:szCs w:val="20"/>
                <w:color w:val="auto"/>
              </w:rPr>
            </w:pPr>
            <w:r>
              <w:rPr>
                <w:rFonts w:ascii="Arial" w:cs="Arial" w:eastAsia="Arial" w:hAnsi="Arial"/>
                <w:sz w:val="18"/>
                <w:szCs w:val="18"/>
                <w:color w:val="auto"/>
              </w:rPr>
              <w:t>, 2021.</w:t>
            </w:r>
          </w:p>
        </w:tc>
      </w:tr>
      <w:tr>
        <w:trPr>
          <w:trHeight w:val="445"/>
        </w:trPr>
        <w:tc>
          <w:tcPr>
            <w:tcW w:w="62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b w:val="1"/>
                <w:bCs w:val="1"/>
                <w:color w:val="auto"/>
              </w:rPr>
              <w:t>MARQETA, INC.</w:t>
            </w:r>
          </w:p>
        </w:tc>
      </w:tr>
      <w:tr>
        <w:trPr>
          <w:trHeight w:val="432"/>
        </w:trPr>
        <w:tc>
          <w:tcPr>
            <w:tcW w:w="62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191"/>
        </w:trPr>
        <w:tc>
          <w:tcPr>
            <w:tcW w:w="6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7"/>
              </w:rPr>
              <w:t>Jason Gardner</w:t>
            </w:r>
          </w:p>
        </w:tc>
      </w:tr>
      <w:tr>
        <w:trPr>
          <w:trHeight w:val="182"/>
        </w:trPr>
        <w:tc>
          <w:tcPr>
            <w:tcW w:w="6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i w:val="1"/>
                <w:iCs w:val="1"/>
                <w:color w:val="auto"/>
                <w:w w:val="94"/>
              </w:rPr>
              <w:t>Chief Executive Officer</w:t>
            </w:r>
          </w:p>
        </w:tc>
      </w:tr>
    </w:tbl>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Jason Gardner, Philip Faix, and Seth Weissman, and each of them, as his or her true and lawful attorneys-in-fact and agents, with full power of substitution and resubstitution, for him or her and in his or her name, place and stead, in any and all capacities, to sign the Registration Statement on Form S-1 of Marqeta,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Chief Executive Officer and Director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7"/>
              </w:rPr>
              <w:t>Jason Gardner</w:t>
            </w:r>
          </w:p>
        </w:tc>
        <w:tc>
          <w:tcPr>
            <w:tcW w:w="486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6"/>
              </w:rPr>
              <w:t>Philip Faix</w:t>
            </w:r>
          </w:p>
        </w:tc>
        <w:tc>
          <w:tcPr>
            <w:tcW w:w="486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(Principal Financial and Accounting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Director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Amy Chang</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Martha Cummings</w:t>
            </w:r>
          </w:p>
        </w:tc>
        <w:tc>
          <w:tcPr>
            <w:tcW w:w="486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gridSpan w:val="3"/>
            <w:vMerge w:val="continue"/>
          </w:tcPr>
          <w:p>
            <w:pPr>
              <w:spacing w:after="0"/>
              <w:rPr>
                <w:sz w:val="10"/>
                <w:szCs w:val="10"/>
                <w:color w:val="auto"/>
              </w:rPr>
            </w:pPr>
          </w:p>
        </w:tc>
        <w:tc>
          <w:tcPr>
            <w:tcW w:w="2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Director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Gerri Elliott</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20" w:type="dxa"/>
            <w:vAlign w:val="bottom"/>
            <w:tcBorders>
              <w:bottom w:val="single" w:sz="8" w:color="auto"/>
            </w:tcBorders>
          </w:tcPr>
          <w:p>
            <w:pPr>
              <w:spacing w:after="0"/>
              <w:rPr>
                <w:sz w:val="20"/>
                <w:szCs w:val="20"/>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3"/>
              </w:rPr>
              <w:t>Helen Riley</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1"/>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5"/>
              </w:rPr>
              <w:t>Arnon Dinur</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4240" w:type="dxa"/>
            <w:vAlign w:val="bottom"/>
          </w:tcPr>
          <w:p>
            <w:pPr>
              <w:ind w:left="1240"/>
              <w:spacing w:after="0"/>
              <w:rPr>
                <w:sz w:val="20"/>
                <w:szCs w:val="20"/>
                <w:color w:val="auto"/>
              </w:rPr>
            </w:pPr>
            <w:r>
              <w:rPr>
                <w:rFonts w:ascii="Arial" w:cs="Arial" w:eastAsia="Arial" w:hAnsi="Arial"/>
                <w:sz w:val="18"/>
                <w:szCs w:val="18"/>
                <w:color w:val="auto"/>
              </w:rPr>
              <w:t>II-6</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Index to Financial Statements</w:t>
        </w:r>
      </w:hyperlink>
    </w:p>
    <w:p>
      <w:pPr>
        <w:spacing w:after="0" w:line="315" w:lineRule="exact"/>
        <w:rPr>
          <w:sz w:val="20"/>
          <w:szCs w:val="20"/>
          <w:color w:val="auto"/>
        </w:rPr>
      </w:pPr>
    </w:p>
    <w:p>
      <w:pPr>
        <w:ind w:left="1880"/>
        <w:spacing w:after="0"/>
        <w:tabs>
          <w:tab w:leader="none" w:pos="6460" w:val="left"/>
          <w:tab w:leader="none" w:pos="99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20" w:type="dxa"/>
            <w:vAlign w:val="bottom"/>
            <w:tcBorders>
              <w:bottom w:val="single" w:sz="8" w:color="auto"/>
            </w:tcBorders>
          </w:tcPr>
          <w:p>
            <w:pPr>
              <w:spacing w:after="0"/>
              <w:rPr>
                <w:sz w:val="20"/>
                <w:szCs w:val="20"/>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4"/>
              </w:rPr>
              <w:t>Judson Linville</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4"/>
              </w:rPr>
              <w:t>Christopher McKay</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4240" w:type="dxa"/>
            <w:vAlign w:val="bottom"/>
          </w:tcPr>
          <w:p>
            <w:pPr>
              <w:ind w:left="1240"/>
              <w:spacing w:after="0"/>
              <w:rPr>
                <w:sz w:val="20"/>
                <w:szCs w:val="20"/>
                <w:color w:val="auto"/>
              </w:rPr>
            </w:pPr>
            <w:r>
              <w:rPr>
                <w:rFonts w:ascii="Arial" w:cs="Arial" w:eastAsia="Arial" w:hAnsi="Arial"/>
                <w:sz w:val="18"/>
                <w:szCs w:val="18"/>
                <w:color w:val="auto"/>
              </w:rPr>
              <w:t>II-7</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480"/>
      </w:cols>
      <w:pgMar w:left="320" w:top="459"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1"/>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2"/>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lvl w:ilvl="1">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decimal"/>
      <w:start w:val="2"/>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lvl w:ilvl="1">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lvl w:ilvl="1">
      <w:lvlJc w:val="left"/>
      <w:lvlText w:val="•"/>
      <w:numFmt w:val="bullet"/>
      <w:start w:val="1"/>
    </w:lvl>
  </w:abstractNum>
  <w:abstractNum w:abstractNumId="37">
    <w:nsid w:val="15014ACB"/>
    <w:multiLevelType w:val="hybridMultilevel"/>
    <w:lvl w:ilvl="0">
      <w:lvlJc w:val="left"/>
      <w:lvlText w:val="(%1)"/>
      <w:numFmt w:val="decimal"/>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3"/>
      <w:numFmt w:val="bullet"/>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4"/>
      <w:numFmt w:val="bullet"/>
      <w:start w:val="1"/>
    </w:lvl>
  </w:abstractNum>
  <w:abstractNum w:abstractNumId="46">
    <w:nsid w:val="5DC79EA8"/>
    <w:multiLevelType w:val="hybridMultilevel"/>
    <w:lvl w:ilvl="0">
      <w:lvlJc w:val="left"/>
      <w:lvlText w:val="•"/>
      <w:numFmt w:val="bullet"/>
      <w:start w:val="1"/>
    </w:lvl>
    <w:lvl w:ilvl="1">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3"/>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3"/>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upperLetter"/>
      <w:start w:val="1"/>
    </w:lvl>
  </w:abstractNum>
  <w:abstractNum w:abstractNumId="85">
    <w:nsid w:val="43F18422"/>
    <w:multiLevelType w:val="hybridMultilevel"/>
    <w:lvl w:ilvl="0">
      <w:lvlJc w:val="left"/>
      <w:lvlText w:val="(%1)"/>
      <w:numFmt w:val="upperLetter"/>
      <w:start w:val="2"/>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lowerLetter"/>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1)"/>
      <w:numFmt w:val="lowerLetter"/>
      <w:start w:val="2"/>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2021-05-14T23:06:42Z</dcterms:created>
  <dcterms:modified xsi:type="dcterms:W3CDTF">2021-05-14T23:06:42Z</dcterms:modified>
</cp:coreProperties>
</file>