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4973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4973320"/>
                    </a:xfrm>
                    <a:prstGeom prst="rect">
                      <a:avLst/>
                    </a:prstGeom>
                    <a:noFill/>
                  </pic:spPr>
                </pic:pic>
              </a:graphicData>
            </a:graphic>
          </wp:anchor>
        </w:drawing>
      </w:r>
    </w:p>
    <w:p>
      <w:pPr>
        <w:spacing w:after="0" w:line="1157"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2"/>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Prasad Srikiran</w:t>
              </w:r>
            </w:hyperlink>
          </w:p>
        </w:tc>
        <w:tc>
          <w:tcPr>
            <w:tcW w:w="1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Marqeta,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MQ</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1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Borders>
              <w:bottom w:val="single" w:sz="8" w:color="0000EE"/>
            </w:tcBorders>
          </w:tcPr>
          <w:p>
            <w:pPr>
              <w:spacing w:after="0"/>
              <w:rPr>
                <w:sz w:val="5"/>
                <w:szCs w:val="5"/>
                <w:color w:val="auto"/>
              </w:rPr>
            </w:pPr>
          </w:p>
        </w:tc>
        <w:tc>
          <w:tcPr>
            <w:tcW w:w="268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tcBorders>
              <w:bottom w:val="single" w:sz="8" w:color="0000EE"/>
            </w:tcBorders>
            <w:gridSpan w:val="2"/>
            <w:vMerge w:val="continue"/>
          </w:tcPr>
          <w:p>
            <w:pPr>
              <w:spacing w:after="0"/>
              <w:rPr>
                <w:sz w:val="5"/>
                <w:szCs w:val="5"/>
                <w:color w:val="auto"/>
              </w:rPr>
            </w:pPr>
          </w:p>
        </w:tc>
        <w:tc>
          <w:tcPr>
            <w:tcW w:w="118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40" w:type="dxa"/>
            <w:vAlign w:val="bottom"/>
            <w:gridSpan w:val="2"/>
          </w:tcPr>
          <w:p>
            <w:pPr>
              <w:spacing w:after="0"/>
              <w:rPr>
                <w:sz w:val="6"/>
                <w:szCs w:val="6"/>
                <w:color w:val="auto"/>
              </w:rPr>
            </w:pPr>
          </w:p>
        </w:tc>
        <w:tc>
          <w:tcPr>
            <w:tcW w:w="118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line="149"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vMerge w:val="restart"/>
          </w:tcPr>
          <w:p>
            <w:pPr>
              <w:ind w:left="18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color w:val="0000FF"/>
              </w:rPr>
              <w:t>06/10/2026</w:t>
            </w:r>
          </w:p>
        </w:tc>
        <w:tc>
          <w:tcPr>
            <w:tcW w:w="26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180 GRAND AVENUE</w:t>
            </w:r>
          </w:p>
        </w:tc>
        <w:tc>
          <w:tcPr>
            <w:tcW w:w="122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6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10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6TH FLOOR</w:t>
            </w: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OAKLAND</w:t>
            </w:r>
          </w:p>
        </w:tc>
        <w:tc>
          <w:tcPr>
            <w:tcW w:w="10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94612</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2"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ind w:left="1"/>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tcBorders>
              <w:bottom w:val="single" w:sz="8" w:color="2C2C2C"/>
            </w:tcBorders>
            <w:gridSpan w:val="3"/>
          </w:tcPr>
          <w:p>
            <w:pPr>
              <w:jc w:val="center"/>
              <w:ind w:left="695"/>
              <w:spacing w:after="0"/>
              <w:rPr>
                <w:sz w:val="20"/>
                <w:szCs w:val="20"/>
                <w:color w:val="auto"/>
              </w:rPr>
            </w:pPr>
            <w:r>
              <w:rPr>
                <w:rFonts w:ascii="Times New Roman" w:cs="Times New Roman" w:eastAsia="Times New Roman" w:hAnsi="Times New Roman"/>
                <w:sz w:val="16"/>
                <w:szCs w:val="16"/>
                <w:color w:val="0000FF"/>
              </w:rPr>
              <w:t>06/10/2026</w:t>
            </w:r>
          </w:p>
        </w:tc>
        <w:tc>
          <w:tcPr>
            <w:tcW w:w="5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36,297</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right"/>
              <w:spacing w:after="0" w:line="304" w:lineRule="exact"/>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6"/>
                <w:szCs w:val="16"/>
                <w:color w:val="0000FF"/>
              </w:rPr>
              <w:t>162,634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1"/>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vMerge w:val="restart"/>
          </w:tcPr>
          <w:p>
            <w:pPr>
              <w:jc w:val="center"/>
              <w:ind w:right="32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4"/>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36,297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06/10/2026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36,297</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62"/>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4"/>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52,219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06/10/2026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3"/>
              <w:spacing w:after="0" w:line="140" w:lineRule="exact"/>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52,219</w:t>
            </w:r>
          </w:p>
        </w:tc>
        <w:tc>
          <w:tcPr>
            <w:tcW w:w="5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line="140" w:lineRule="exact"/>
              <w:rPr>
                <w:sz w:val="20"/>
                <w:szCs w:val="20"/>
                <w:color w:val="auto"/>
              </w:rPr>
            </w:pPr>
            <w:r>
              <w:rPr>
                <w:rFonts w:ascii="Times New Roman" w:cs="Times New Roman" w:eastAsia="Times New Roman" w:hAnsi="Times New Roman"/>
                <w:sz w:val="13"/>
                <w:szCs w:val="13"/>
                <w:color w:val="0000FF"/>
              </w:rPr>
              <w:t>52,219</w:t>
            </w: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-2163445</wp:posOffset>
            </wp:positionV>
            <wp:extent cx="28575" cy="2169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6916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exempt from Section 16(b) of the Securities Exchange Act of 1934 (the "Act") pursuant to Rule 16b-6(b) promulgated under the Act.</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is convertible into one share of Class A Common Stock.</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granted on June 12, 2025, the date of the Issuer's 2025 Annual Meeting of Stockholders, that vested in full on June 10, 2026, the date of the Issuer's 2026 Annual Meeting of Stockholders.</w:t>
      </w:r>
    </w:p>
    <w:p>
      <w:pPr>
        <w:spacing w:after="0" w:line="40" w:lineRule="exact"/>
        <w:rPr>
          <w:rFonts w:ascii="Times New Roman" w:cs="Times New Roman" w:eastAsia="Times New Roman" w:hAnsi="Times New Roman"/>
          <w:sz w:val="13"/>
          <w:szCs w:val="13"/>
          <w:color w:val="008000"/>
        </w:rPr>
      </w:pPr>
    </w:p>
    <w:p>
      <w:pPr>
        <w:ind w:left="40" w:right="500"/>
        <w:spacing w:after="0" w:line="249"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of the shares vest in full on the earlier of (i) June 10, 2027 or (ii) the Issuer's next annual meeting of stockholders; provided, however, that all vesting will cease if the Reporting Person ceases to provide services to the Issuer, unless the Issuer's Board of Directors determines otherwise prior to the cessation of such services.</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Tracy Foard,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06/11/2026</w:t>
            </w:r>
          </w:p>
        </w:tc>
        <w:tc>
          <w:tcPr>
            <w:tcW w:w="0" w:type="dxa"/>
            <w:vAlign w:val="bottom"/>
          </w:tcPr>
          <w:p>
            <w:pPr>
              <w:spacing w:after="0"/>
              <w:rPr>
                <w:sz w:val="1"/>
                <w:szCs w:val="1"/>
                <w:color w:val="auto"/>
              </w:rPr>
            </w:pPr>
          </w:p>
        </w:tc>
      </w:tr>
      <w:tr>
        <w:trPr>
          <w:trHeight w:val="87"/>
        </w:trPr>
        <w:tc>
          <w:tcPr>
            <w:tcW w:w="1900" w:type="dxa"/>
            <w:vAlign w:val="bottom"/>
            <w:tcBorders>
              <w:top w:val="single" w:sz="8" w:color="auto"/>
              <w:bottom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0000FF"/>
              </w:rPr>
              <w:t>Fact</w:t>
            </w:r>
          </w:p>
        </w:tc>
        <w:tc>
          <w:tcPr>
            <w:tcW w:w="3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90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6358" TargetMode="External"/><Relationship Id="rId14" Type="http://schemas.openxmlformats.org/officeDocument/2006/relationships/hyperlink" Target="http://www.sec.gov/cgi-bin/browse-edgar?action=getcompany&amp;CIK=0001522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2026-06-11T16:45:03Z</dcterms:created>
  <dcterms:modified xsi:type="dcterms:W3CDTF">2026-06-11T16:45:03Z</dcterms:modified>
</cp:coreProperties>
</file>