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8155.xml.htm"/>
      <w:bookmarkStart w:id="1" w:name="kswkform4_17884781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Milotich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343,134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6,820</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336,314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346,773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5,735</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341,038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358,064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9,335</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348,729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378,719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16,443</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362,276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3,687</w:t>
            </w:r>
            <w:r>
              <w:rPr>
                <w:rFonts w:ascii="Times;serif" w:hAnsi="Times;serif"/>
                <w:color w:val="008000"/>
                <w:position w:val="7"/>
                <w:sz w:val="16"/>
                <w:sz w:val="20"/>
                <w:shd w:fill="FFFFFF" w:val="clear"/>
              </w:rPr>
              <w:t>(3)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365,963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2,022</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363,941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2,064</w:t>
            </w:r>
            <w:r>
              <w:rPr>
                <w:rFonts w:ascii="Times;serif" w:hAnsi="Times;serif"/>
                <w:color w:val="008000"/>
                <w:position w:val="7"/>
                <w:sz w:val="16"/>
                <w:sz w:val="20"/>
                <w:shd w:fill="FFFFFF" w:val="clear"/>
              </w:rPr>
              <w:t>(4)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366,005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1,132</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364,873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3,415</w:t>
            </w:r>
            <w:r>
              <w:rPr>
                <w:rFonts w:ascii="Times;serif" w:hAnsi="Times;serif"/>
                <w:color w:val="008000"/>
                <w:position w:val="7"/>
                <w:sz w:val="16"/>
                <w:sz w:val="20"/>
                <w:shd w:fill="FFFFFF" w:val="clear"/>
              </w:rPr>
              <w:t>(5)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368,288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1,873</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366,415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2,689</w:t>
            </w:r>
            <w:r>
              <w:rPr>
                <w:rFonts w:ascii="Times;serif" w:hAnsi="Times;serif"/>
                <w:color w:val="008000"/>
                <w:position w:val="7"/>
                <w:sz w:val="16"/>
                <w:sz w:val="20"/>
                <w:shd w:fill="FFFFFF" w:val="clear"/>
              </w:rPr>
              <w:t>(6)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369,104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1,475</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367,629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24,880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10,459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17,026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136,210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299,905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(Gross Profit)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45,116</w:t>
            </w:r>
            <w:r>
              <w:rPr>
                <w:rFonts w:ascii="Times;serif" w:hAnsi="Times;serif"/>
                <w:color w:val="008000"/>
                <w:position w:val="7"/>
                <w:sz w:val="16"/>
                <w:sz w:val="20"/>
                <w:shd w:fill="FFFFFF" w:val="clear"/>
              </w:rPr>
              <w:t>(13)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(Adjusted EBITDA)</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19,336</w:t>
            </w:r>
            <w:r>
              <w:rPr>
                <w:rFonts w:ascii="Times;serif" w:hAnsi="Times;serif"/>
                <w:color w:val="008000"/>
                <w:position w:val="7"/>
                <w:sz w:val="16"/>
                <w:sz w:val="20"/>
                <w:shd w:fill="FFFFFF" w:val="clear"/>
              </w:rPr>
              <w:t>(14)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(Gross Profit)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18,827</w:t>
            </w:r>
            <w:r>
              <w:rPr>
                <w:rFonts w:ascii="Times;serif" w:hAnsi="Times;serif"/>
                <w:color w:val="008000"/>
                <w:position w:val="7"/>
                <w:sz w:val="16"/>
                <w:sz w:val="20"/>
                <w:shd w:fill="FFFFFF" w:val="clear"/>
              </w:rPr>
              <w:t>(13)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 (Adjusted EBITDA)</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8,069</w:t>
            </w:r>
            <w:r>
              <w:rPr>
                <w:rFonts w:ascii="Times;serif" w:hAnsi="Times;serif"/>
                <w:color w:val="008000"/>
                <w:position w:val="7"/>
                <w:sz w:val="16"/>
                <w:sz w:val="20"/>
                <w:shd w:fill="FFFFFF" w:val="clear"/>
              </w:rPr>
              <w:t>(14)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exempt from Section 16(b) of the Securities Exchange Act of 1934 (the "Act") pursuant to Rule 16b-6(b) promulgated under the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that have been withheld by the Issuer to satisfy tax withholding and remittance obligations in connection with the net settlement of vested restricted stock units and not a market transaction. Transaction exempt from Section 16(b) of the Act pursuant to Rule 16b-3(e) promulgated under the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vesting of shares upon the determination of the Board of Directors of the Issuer that the performance conditions were met with respect to the performance share awards granted to the Reporting Person on March 15, 2024, and includes 45 fewer shares acquired for performance at less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vesting of shares upon the determination of the Board of Directors of the Issuer that the performance conditions were met with respect to the performance share awards granted to the Reporting Person on March 15, 2024, and includes 465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vesting of shares upon the determination of the Board of Directors of the Issuer that the performance conditions were met with respect to the performance share awards granted to the Reporting Person on March 15, 2025, and includes 278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vesting of shares upon the determination of the Board of Directors of the Issuer that the performance conditions were met with respect to the performance share awards granted to the Reporting Person on March 15, 2025, and includes 1,345 additional shares acquired for performance at more than 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is convertible into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One-twelfth (1/12th) of the restricted stock units vested on June 1, 2024, and one-twelfth (1/12th) of the restricted stock units vest on each September 1, December 1, March 1 and June 1 thereafter until fully vested, subject to the Reporting Person's continued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One-twelfth (1/12th) of the restricted stock units vested on June 1, 2025 and one-twelfth (1/12th) of the remaining restricted stock units vest quarterly on each September 1, December 1, March 1 and June 1 thereafter until fully vested, subject to the Reporting Person's continued service to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One-twelfth (1/12th) of the restricted stock units vested on December 1, 2025 and one-twelfth (1/12th) of the remaining restricted stock units vest quarterly on each March 1, June 1, September 1, and December 1 thereafter until fully vested, subject to the Reporting Person's continued service to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One-twelfth (1/12th) of the restricted stock units vested on June 1, 2026 and one-twelfth (1/12th) of the remaining restricted stock units vest quarterly on each September 1, December 1, March 1, and June 1 thereafter until fully vested, subject to the Reporting Person's continued service to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the disposition of shares upon the determination of the Board of Directors of the Issuer that the performance conditions were met with respect to the performance share awards granted to the Reporting Person on March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number of shares which may be issued at target under the performance stock unit ("PSU") over a period of time following achievement of certain profit targets as set forth in the PSU agreement, subject to the Reporting Person's continued service to the Issuer as of each vesting date. At maximum achievement, 200% of the target number of shares would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the number of shares which may be issued at target under the PSU over a period of time following achievement of certain adjusted EBITDA targets as set forth in the PSU agreement, subject to the Reporting Person's continued service to the Issuer as of each vesting date. At maximum achievement, 200% of the target number of shares would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the disposition of shares upon the determination of the Board of Directors of the Issuer that the performance conditions were met with respect to the performance share awards granted to the Reporting Person on March 15,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3038"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1584</Words>
  <Characters>8253</Characters>
  <CharactersWithSpaces>9537</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