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178"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Paul Elaine</w:t>
              </w:r>
            </w:hyperlink>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 GRAND AVENUE</w:t>
            </w:r>
          </w:p>
        </w:tc>
        <w:tc>
          <w:tcPr>
            <w:tcW w:w="11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6TH FLOOR</w:t>
            </w:r>
          </w:p>
        </w:tc>
        <w:tc>
          <w:tcPr>
            <w:tcW w:w="1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94612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1"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84"/>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2"/>
              </w:rPr>
              <w:t>Amount</w:t>
            </w:r>
          </w:p>
        </w:tc>
        <w:tc>
          <w:tcPr>
            <w:tcW w:w="78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8,900</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5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 (Instr. 3 and</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 or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5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13,054</w:t>
            </w:r>
            <w:r>
              <w:rPr>
                <w:rFonts w:ascii="Times New Roman" w:cs="Times New Roman" w:eastAsia="Times New Roman" w:hAnsi="Times New Roman"/>
                <w:sz w:val="21"/>
                <w:szCs w:val="21"/>
                <w:color w:val="008000"/>
                <w:vertAlign w:val="superscript"/>
              </w:rPr>
              <w:t>(4)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13,054</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(5)</w:t>
            </w:r>
          </w:p>
        </w:tc>
        <w:tc>
          <w:tcPr>
            <w:tcW w:w="320" w:type="dxa"/>
            <w:vAlign w:val="bottom"/>
          </w:tcPr>
          <w:p>
            <w:pPr>
              <w:spacing w:after="0"/>
              <w:rPr>
                <w:sz w:val="15"/>
                <w:szCs w:val="15"/>
                <w:color w:val="auto"/>
              </w:rPr>
            </w:pPr>
          </w:p>
        </w:tc>
        <w:tc>
          <w:tcPr>
            <w:tcW w:w="5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17,451</w:t>
            </w:r>
            <w:r>
              <w:rPr>
                <w:rFonts w:ascii="Times New Roman" w:cs="Times New Roman" w:eastAsia="Times New Roman" w:hAnsi="Times New Roman"/>
                <w:sz w:val="21"/>
                <w:szCs w:val="21"/>
                <w:color w:val="008000"/>
                <w:vertAlign w:val="superscript"/>
              </w:rPr>
              <w:t>(4)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17,451</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-2275205</wp:posOffset>
            </wp:positionV>
            <wp:extent cx="29210" cy="2280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028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0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beneficially owned reflects the 1-for-4 reverse stock split effected June 30, 2026 (the "Reverse Stock Split"). Cash was paid in lieu of any fractional shares resulting from the Reverse Stock Split.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3" w:lineRule="exact"/>
        <w:rPr>
          <w:rFonts w:ascii="Times New Roman" w:cs="Times New Roman" w:eastAsia="Times New Roman" w:hAnsi="Times New Roman"/>
          <w:sz w:val="13"/>
          <w:szCs w:val="13"/>
          <w:color w:val="008000"/>
        </w:rPr>
      </w:pPr>
    </w:p>
    <w:p>
      <w:pPr>
        <w:ind w:left="40" w:right="360" w:firstLine="2"/>
        <w:spacing w:after="0" w:line="290"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RSU grant, originally granted June 10, 2026 for 13,054 RSUs (post Reverse Stock Split), will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1"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subject to RSUs reflects the Reverse Stock Split.</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grant, originally granted on April 18, 2025 for 26,178 RSUs (post Reverse Stock Split), of which 8,727 RSUs have vested, vest as to one-third (1/3rd) of the RSUs on each April 18, 2027 and April 18, 2028, subject to the Reporting Person's continued service with the Issuer as of each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30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88"/>
              </w:rPr>
              <w:t>Fact</w:t>
            </w:r>
          </w:p>
        </w:tc>
        <w:tc>
          <w:tcPr>
            <w:tcW w:w="164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00" w:type="dxa"/>
            <w:vAlign w:val="bottom"/>
            <w:tcBorders>
              <w:bottom w:val="single" w:sz="8" w:color="auto"/>
            </w:tcBorders>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4069"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2026-07-02T16:49:40Z</dcterms:created>
  <dcterms:modified xsi:type="dcterms:W3CDTF">2026-07-02T16:49:40Z</dcterms:modified>
</cp:coreProperties>
</file>