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1"/>
        <w:jc w:val="center"/>
        <w:rPr>
          <w:rFonts w:ascii="Open Sans;sans-serif" w:hAnsi="Open Sans;sans-serif"/>
          <w:b/>
          <w:color w:val="000000"/>
          <w:sz w:val="28"/>
        </w:rPr>
      </w:pPr>
      <w:r>
        <w:rPr>
          <w:rFonts w:ascii="Open Sans;sans-serif" w:hAnsi="Open Sans;sans-serif"/>
          <w:b/>
          <w:color w:val="000000"/>
          <w:sz w:val="28"/>
        </w:rPr>
        <w:t>UNITED STATES</w:t>
      </w:r>
    </w:p>
    <w:p>
      <w:pPr>
        <w:pStyle w:val="TextBody"/>
        <w:bidi w:val="0"/>
        <w:spacing w:lineRule="auto" w:line="288" w:before="0" w:after="0"/>
        <w:jc w:val="center"/>
        <w:rPr>
          <w:rFonts w:ascii="Open Sans;sans-serif" w:hAnsi="Open Sans;sans-serif"/>
          <w:b/>
          <w:color w:val="000000"/>
          <w:sz w:val="28"/>
        </w:rPr>
      </w:pPr>
      <w:r>
        <w:rPr>
          <w:rFonts w:ascii="Open Sans;sans-serif" w:hAnsi="Open Sans;sans-serif"/>
          <w:b/>
          <w:color w:val="000000"/>
          <w:sz w:val="28"/>
        </w:rPr>
        <w:t>SECURITIES AND EXCHANGE COMMISSION</w:t>
      </w:r>
    </w:p>
    <w:p>
      <w:pPr>
        <w:pStyle w:val="TextBody"/>
        <w:bidi w:val="0"/>
        <w:spacing w:lineRule="auto" w:line="288" w:before="0" w:after="180"/>
        <w:jc w:val="center"/>
        <w:rPr>
          <w:rFonts w:ascii="Open Sans;sans-serif" w:hAnsi="Open Sans;sans-serif"/>
          <w:b/>
          <w:color w:val="000000"/>
          <w:sz w:val="22"/>
        </w:rPr>
      </w:pPr>
      <w:r>
        <w:rPr>
          <w:rFonts w:ascii="Open Sans;sans-serif" w:hAnsi="Open Sans;sans-serif"/>
          <w:b/>
          <w:color w:val="000000"/>
          <w:sz w:val="2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color w:val="000000"/>
          <w:sz w:val="28"/>
        </w:rPr>
      </w:pPr>
      <w:r>
        <w:rPr>
          <w:rFonts w:ascii="Open Sans;sans-serif" w:hAnsi="Open Sans;sans-serif"/>
          <w:b/>
          <w:color w:val="000000"/>
          <w:sz w:val="28"/>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color w:val="000000"/>
          <w:sz w:val="22"/>
        </w:rPr>
      </w:pPr>
      <w:r>
        <w:rPr>
          <w:rFonts w:ascii="Open Sans;sans-serif" w:hAnsi="Open Sans;sans-serif"/>
          <w:b/>
          <w:color w:val="000000"/>
          <w:sz w:val="22"/>
        </w:rPr>
        <w:t>CURRENT REPORT</w:t>
      </w:r>
    </w:p>
    <w:p>
      <w:pPr>
        <w:pStyle w:val="TextBody"/>
        <w:bidi w:val="0"/>
        <w:spacing w:lineRule="auto" w:line="288" w:before="0" w:after="0"/>
        <w:jc w:val="center"/>
        <w:rPr>
          <w:rFonts w:ascii="Open Sans;sans-serif" w:hAnsi="Open Sans;sans-serif"/>
          <w:b/>
          <w:color w:val="000000"/>
          <w:sz w:val="22"/>
        </w:rPr>
      </w:pPr>
      <w:r>
        <w:rPr>
          <w:rFonts w:ascii="Open Sans;sans-serif" w:hAnsi="Open Sans;sans-serif"/>
          <w:b/>
          <w:color w:val="000000"/>
          <w:sz w:val="22"/>
        </w:rPr>
        <w:t>PURSUANT TO SECTION 13 OR 15(d) OF THE</w:t>
      </w:r>
    </w:p>
    <w:p>
      <w:pPr>
        <w:pStyle w:val="TextBody"/>
        <w:bidi w:val="0"/>
        <w:spacing w:lineRule="auto" w:line="288" w:before="1" w:after="1"/>
        <w:jc w:val="center"/>
        <w:rPr/>
      </w:pPr>
      <w:r>
        <w:rPr>
          <w:rFonts w:ascii="Open Sans;sans-serif" w:hAnsi="Open Sans;sans-serif"/>
          <w:b/>
          <w:color w:val="000000"/>
          <w:sz w:val="22"/>
        </w:rPr>
        <w:t>SECURITIES EXCHANGE ACT OF 1934</w:t>
      </w:r>
      <w:r>
        <w:rPr>
          <w:color w:val="000000"/>
        </w:rPr>
        <w:t> </w:t>
      </w:r>
    </w:p>
    <w:p>
      <w:pPr>
        <w:pStyle w:val="TextBody"/>
        <w:bidi w:val="0"/>
        <w:spacing w:lineRule="auto" w:line="288" w:before="240" w:after="283"/>
        <w:jc w:val="center"/>
        <w:rPr/>
      </w:pPr>
      <w:r>
        <w:rPr>
          <w:rFonts w:ascii="Open Sans;sans-serif" w:hAnsi="Open Sans;sans-serif"/>
          <w:b w:val="false"/>
          <w:color w:val="000000"/>
          <w:sz w:val="18"/>
        </w:rPr>
        <w:t>Date of Report (Date of earliest event reported):</w:t>
      </w:r>
      <w:r>
        <w:rPr>
          <w:color w:val="000000"/>
        </w:rPr>
        <w:t xml:space="preserve"> </w:t>
      </w:r>
      <w:r>
        <w:rPr>
          <w:rFonts w:ascii="Open Sans;sans-serif" w:hAnsi="Open Sans;sans-serif"/>
          <w:b w:val="false"/>
          <w:color w:val="000000"/>
          <w:sz w:val="20"/>
        </w:rPr>
        <w:t>July 31, 2026</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Open Sans;sans-serif" w:hAnsi="Open Sans;sans-serif"/>
          <w:b/>
          <w:color w:val="000000"/>
          <w:sz w:val="40"/>
        </w:rPr>
      </w:pPr>
      <w:r>
        <w:rPr>
          <w:rFonts w:ascii="Open Sans;sans-serif" w:hAnsi="Open Sans;sans-serif"/>
          <w:b/>
          <w:color w:val="000000"/>
          <w:sz w:val="40"/>
        </w:rPr>
        <w:t>MARQETA, INC.</w:t>
      </w:r>
    </w:p>
    <w:p>
      <w:pPr>
        <w:pStyle w:val="TextBody"/>
        <w:bidi w:val="0"/>
        <w:spacing w:lineRule="auto" w:line="288" w:before="0" w:after="120"/>
        <w:jc w:val="center"/>
        <w:rPr>
          <w:rFonts w:ascii="Open Sans;sans-serif" w:hAnsi="Open Sans;sans-serif"/>
          <w:b w:val="false"/>
          <w:color w:val="000000"/>
          <w:sz w:val="18"/>
        </w:rPr>
      </w:pPr>
      <w:r>
        <w:rPr>
          <w:rFonts w:ascii="Open Sans;sans-serif" w:hAnsi="Open Sans;sans-serif"/>
          <w:b w:val="false"/>
          <w:color w:val="000000"/>
          <w:sz w:val="18"/>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12" w:type="dxa"/>
        <w:jc w:val="center"/>
        <w:tblInd w:w="0" w:type="dxa"/>
        <w:tblLayout w:type="fixed"/>
        <w:tblCellMar>
          <w:top w:w="28" w:type="dxa"/>
          <w:left w:w="28" w:type="dxa"/>
          <w:bottom w:w="28" w:type="dxa"/>
          <w:right w:w="28" w:type="dxa"/>
        </w:tblCellMar>
      </w:tblPr>
      <w:tblGrid>
        <w:gridCol w:w="831"/>
        <w:gridCol w:w="729"/>
        <w:gridCol w:w="735"/>
        <w:gridCol w:w="109"/>
        <w:gridCol w:w="109"/>
        <w:gridCol w:w="109"/>
        <w:gridCol w:w="419"/>
        <w:gridCol w:w="419"/>
        <w:gridCol w:w="421"/>
        <w:gridCol w:w="109"/>
        <w:gridCol w:w="109"/>
        <w:gridCol w:w="109"/>
        <w:gridCol w:w="470"/>
        <w:gridCol w:w="470"/>
        <w:gridCol w:w="664"/>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20"/>
              </w:rPr>
            </w:pPr>
            <w:r>
              <w:rPr>
                <w:rFonts w:ascii="Open Sans;sans-serif" w:hAnsi="Open Sans;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20"/>
              </w:rPr>
            </w:pPr>
            <w:r>
              <w:rPr>
                <w:rFonts w:ascii="Open Sans;sans-serif" w:hAnsi="Open Sans;sans-serif"/>
                <w:b/>
                <w:color w:val="000000"/>
                <w:sz w:val="20"/>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20"/>
              </w:rPr>
            </w:pPr>
            <w:r>
              <w:rPr>
                <w:rFonts w:ascii="Open Sans;sans-serif" w:hAnsi="Open Sans;sans-serif"/>
                <w:b/>
                <w:color w:val="000000"/>
                <w:sz w:val="20"/>
              </w:rPr>
              <w:t>27-4306690</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(IRS Employer</w:t>
              <w:br/>
              <w:t>Identification No.)</w:t>
            </w:r>
          </w:p>
        </w:tc>
      </w:tr>
    </w:tbl>
    <w:p>
      <w:pPr>
        <w:pStyle w:val="TextBody"/>
        <w:bidi w:val="0"/>
        <w:spacing w:lineRule="auto" w:line="288" w:before="120" w:after="283"/>
        <w:jc w:val="center"/>
        <w:rPr>
          <w:rFonts w:ascii="Open Sans;sans-serif" w:hAnsi="Open Sans;sans-serif"/>
          <w:b/>
          <w:color w:val="000000"/>
          <w:sz w:val="20"/>
        </w:rPr>
      </w:pPr>
      <w:r>
        <w:rPr>
          <w:rFonts w:ascii="Open Sans;sans-serif" w:hAnsi="Open Sans;sans-serif"/>
          <w:b/>
          <w:color w:val="000000"/>
          <w:sz w:val="20"/>
        </w:rPr>
        <w:t>180 Grand Avenue, 6th Floor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Oakland, California 94612</w:t>
      </w:r>
    </w:p>
    <w:p>
      <w:pPr>
        <w:pStyle w:val="TextBody"/>
        <w:bidi w:val="0"/>
        <w:spacing w:lineRule="auto" w:line="288" w:before="120" w:after="283"/>
        <w:jc w:val="center"/>
        <w:rPr>
          <w:rFonts w:ascii="Open Sans;sans-serif" w:hAnsi="Open Sans;sans-serif"/>
          <w:b w:val="false"/>
          <w:color w:val="000000"/>
          <w:sz w:val="16"/>
        </w:rPr>
      </w:pPr>
      <w:r>
        <w:rPr>
          <w:rFonts w:ascii="Open Sans;sans-serif" w:hAnsi="Open Sans;sans-serif"/>
          <w:b w:val="false"/>
          <w:color w:val="000000"/>
          <w:sz w:val="16"/>
        </w:rPr>
        <w:t>(Address of principal executive offices, including zip code) </w:t>
      </w:r>
    </w:p>
    <w:p>
      <w:pPr>
        <w:pStyle w:val="TextBody"/>
        <w:bidi w:val="0"/>
        <w:spacing w:lineRule="auto" w:line="288" w:before="120" w:after="283"/>
        <w:jc w:val="center"/>
        <w:rPr/>
      </w:pPr>
      <w:r>
        <w:rPr>
          <w:rFonts w:ascii="Open Sans;sans-serif" w:hAnsi="Open Sans;sans-serif"/>
          <w:b w:val="false"/>
          <w:color w:val="000000"/>
          <w:sz w:val="16"/>
        </w:rPr>
        <w:t>Registrant’s telephone number, including area code:</w:t>
      </w:r>
      <w:r>
        <w:rPr>
          <w:color w:val="000000"/>
        </w:rPr>
        <w:t xml:space="preserve"> </w:t>
      </w:r>
      <w:r>
        <w:rPr>
          <w:rFonts w:ascii="Open Sans;sans-serif" w:hAnsi="Open Sans;sans-serif"/>
          <w:b/>
          <w:color w:val="000000"/>
          <w:sz w:val="20"/>
        </w:rPr>
        <w:t>(510) 671-5437</w:t>
      </w:r>
      <w:r>
        <w:rPr>
          <w:color w:val="000000"/>
        </w:rPr>
        <w:t> </w:t>
      </w:r>
    </w:p>
    <w:p>
      <w:pPr>
        <w:pStyle w:val="TextBody"/>
        <w:bidi w:val="0"/>
        <w:spacing w:lineRule="auto" w:line="288" w:before="120" w:after="283"/>
        <w:jc w:val="center"/>
        <w:rPr>
          <w:rFonts w:ascii="Open Sans;sans-serif" w:hAnsi="Open Sans;sans-serif"/>
          <w:b/>
          <w:color w:val="000000"/>
          <w:sz w:val="20"/>
        </w:rPr>
      </w:pPr>
      <w:r>
        <w:rPr>
          <w:rFonts w:ascii="Open Sans;sans-serif" w:hAnsi="Open Sans;sans-serif"/>
          <w:b/>
          <w:color w:val="000000"/>
          <w:sz w:val="20"/>
        </w:rPr>
        <w:t>N/A</w:t>
      </w:r>
    </w:p>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Open Sans;sans-serif" w:hAnsi="Open Sans;sans-serif"/>
          <w:b w:val="false"/>
          <w:color w:val="000000"/>
          <w:sz w:val="18"/>
        </w:rPr>
      </w:pPr>
      <w:r>
        <w:rPr>
          <w:rFonts w:ascii="Open Sans;sans-serif" w:hAnsi="Open Sans;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0"/>
        <w:gridCol w:w="2879"/>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19"/>
        <w:gridCol w:w="1464"/>
        <w:gridCol w:w="1462"/>
        <w:gridCol w:w="109"/>
        <w:gridCol w:w="109"/>
        <w:gridCol w:w="109"/>
        <w:gridCol w:w="498"/>
        <w:gridCol w:w="498"/>
        <w:gridCol w:w="500"/>
        <w:gridCol w:w="109"/>
        <w:gridCol w:w="109"/>
        <w:gridCol w:w="109"/>
        <w:gridCol w:w="997"/>
        <w:gridCol w:w="997"/>
        <w:gridCol w:w="1416"/>
      </w:tblGrid>
      <w:tr>
        <w:trPr/>
        <w:tc>
          <w:tcPr>
            <w:tcW w:w="171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46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Name of each exchange on which registered</w:t>
            </w:r>
          </w:p>
        </w:tc>
      </w:tr>
      <w:tr>
        <w:trPr/>
        <w:tc>
          <w:tcPr>
            <w:tcW w:w="464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8"/>
              </w:rPr>
            </w:pPr>
            <w:r>
              <w:rPr>
                <w:rFonts w:ascii="Open Sans;sans-serif" w:hAnsi="Open Sans;sans-serif"/>
                <w:b/>
                <w:color w:val="000000"/>
                <w:sz w:val="18"/>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8"/>
              </w:rPr>
            </w:pPr>
            <w:r>
              <w:rPr>
                <w:rFonts w:ascii="Open Sans;sans-serif" w:hAnsi="Open Sans;sans-serif"/>
                <w:b/>
                <w:color w:val="000000"/>
                <w:sz w:val="18"/>
              </w:rPr>
              <w:t>MQ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8"/>
              </w:rPr>
            </w:pPr>
            <w:r>
              <w:rPr>
                <w:rFonts w:ascii="Open Sans;sans-serif" w:hAnsi="Open Sans;sans-serif"/>
                <w:b/>
                <w:color w:val="000000"/>
                <w:sz w:val="18"/>
              </w:rPr>
              <w:t>The Nasdaq Stock Market LLC</w:t>
            </w:r>
          </w:p>
        </w:tc>
      </w:tr>
      <w:tr>
        <w:trPr/>
        <w:tc>
          <w:tcPr>
            <w:tcW w:w="4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8"/>
              </w:rPr>
            </w:pPr>
            <w:r>
              <w:rPr>
                <w:rFonts w:ascii="Open Sans;sans-serif" w:hAnsi="Open Sans;sans-serif"/>
                <w:b/>
                <w:color w:val="000000"/>
                <w:sz w:val="18"/>
              </w:rPr>
              <w:t>(Nasdaq Global Select Market)</w:t>
            </w:r>
          </w:p>
        </w:tc>
      </w:tr>
    </w:tbl>
    <w:p>
      <w:pPr>
        <w:pStyle w:val="TextBody"/>
        <w:bidi w:val="0"/>
        <w:spacing w:lineRule="auto" w:line="288" w:before="100" w:after="283"/>
        <w:jc w:val="both"/>
        <w:rPr>
          <w:rFonts w:ascii="Open Sans;sans-serif" w:hAnsi="Open Sans;sans-serif"/>
          <w:b w:val="false"/>
          <w:color w:val="000000"/>
          <w:sz w:val="18"/>
        </w:rPr>
      </w:pPr>
      <w:r>
        <w:rPr>
          <w:rFonts w:ascii="Open Sans;sans-serif" w:hAnsi="Open Sans;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283"/>
        <w:jc w:val="left"/>
        <w:rPr/>
      </w:pPr>
      <w:r>
        <w:rPr>
          <w:rFonts w:ascii="Open Sans;sans-serif" w:hAnsi="Open Sans;sans-serif"/>
          <w:b w:val="false"/>
          <w:color w:val="000000"/>
          <w:sz w:val="18"/>
        </w:rPr>
        <w:t xml:space="preserve">Emerging growth company </w:t>
      </w:r>
      <w:r>
        <w:rPr>
          <w:color w:val="211D1E"/>
        </w:rPr>
        <w:t>☐ </w:t>
      </w:r>
    </w:p>
    <w:p>
      <w:pPr>
        <w:pStyle w:val="TextBody"/>
        <w:bidi w:val="0"/>
        <w:spacing w:lineRule="auto" w:line="288" w:before="100" w:after="100"/>
        <w:jc w:val="both"/>
        <w:rPr>
          <w:rFonts w:ascii="Open Sans;sans-serif" w:hAnsi="Open Sans;sans-serif"/>
          <w:b w:val="false"/>
          <w:color w:val="211D1E"/>
          <w:sz w:val="18"/>
        </w:rPr>
      </w:pPr>
      <w:r>
        <w:rPr>
          <w:rFonts w:ascii="Open Sans;sans-serif" w:hAnsi="Open Sans;sans-serif"/>
          <w:b w:val="false"/>
          <w:color w:val="211D1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On August 4, 2026, Marqeta, Inc. issued a press release announcing its financial results for the quarter ended June 30, 2026. A copy of the press release is furnished as Exhibit 99.1 to this current report on Form 8-K and is incorporated herein by reference.</w: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The information furnished pursuant to this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color w:val="000000"/>
          <w:sz w:val="20"/>
        </w:rPr>
      </w:pPr>
      <w:r>
        <w:rPr>
          <w:rFonts w:ascii="Open Sans;sans-serif" w:hAnsi="Open Sans;sans-serif"/>
          <w:b/>
          <w:color w:val="000000"/>
          <w:sz w:val="20"/>
        </w:rPr>
        <w:t xml:space="preserve">Item 5.02     Departure of Directors or Certain Officers; Election of Directors; Appointment of Certain Officers; Compensatory Arrangements of Certain Officers. Departure of Directors </w: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On July 31, 2026, Najuma Atkinson notified the Board of Directors (the “Board”) of Marqeta, Inc. (the “Company”) of her intent to resign from the Board effective as of August 3, 2026. Ms. Atkinson serves as the Chair of the Board’s Compensation Committee and as a member of the Nomination and Governance Committee. Ms. Atkinson’s resignation as a director is not the result of any disagreement with the Company on any matter relating to the Company’s operations, policies, or practices. The Board and management thank Ms. Atkinson for her three and a half years of service and dedication to the Company.</w: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color w:val="000000"/>
          <w:sz w:val="20"/>
        </w:rPr>
      </w:pPr>
      <w:r>
        <w:rPr>
          <w:rFonts w:ascii="Open Sans;sans-serif" w:hAnsi="Open Sans;sans-serif"/>
          <w:b/>
          <w:color w:val="000000"/>
          <w:sz w:val="20"/>
        </w:rPr>
        <w:t>Item 8.01     Other Events</w: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On August 3, 2026, the Board of the Company approved an additional share repurchase program authorizing the Company to purchase up to an aggregate of $150 million of the Company's Class A common stock (the "August 2026 Share Repurchase Program"). This August 2026 Share Repurchase Program is distinct from the existing December 2025 Share Repurchase Program (as defined in the Company's Current Report on Form 8-K, filed with the Securities and Exchange Commission on December 8, 2025). The December 2025 Share Repurchase Program has been fully completed with no authorization remaining.</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In making the determination that the August 2026 Share Repurchase Program is in the best interest of the Company and its stockholders, the Board considered a number of factors including, but not limited to, the Company's liquidity and capital allocation strategy, legal and regulatory compliance, the effect of any repurchases on concentration of ownership and voting power, and the effect of any repurchases on any of our periodically reported financial metrics. For the avoidance of doubt, the Board does not expect that the repurchases contemplated under the August 2026 Share Repurchase Program would result in any stockholder having a majority of voting power.</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Under the August 2026 Share Repurchase Program, the Company may repurchase shares from time to time through open market purchases, in privately negotiated transactions or by other means, including through the use of trading plans intended to qualify under Rule 10b5-1 under the Exchange Act, in accordance with applicable securities laws and other restrictions, including Rule 10b-18 under the Exchange Act. The timing and total amount of any stock repurchases will be determined at management's discretion and depend upon business, economic and market conditions, corporate and regulatory requirements, prevailing stock prices and other considerations. The execution of the repurchase program will be consistent with the Company's capital allocation strategy, which prioritizes investments to grow the business. The share repurchase program has no termination date, and does not obligate Marqeta to acquire a specific number of shares of Class A common stock and may be canceled or suspended at any time without notice.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Open Sans;sans-serif" w:hAnsi="Open Sans;sans-serif"/>
          <w:b w:val="false"/>
          <w:color w:val="000000"/>
          <w:sz w:val="20"/>
        </w:rPr>
      </w:pPr>
      <w:r>
        <w:rPr>
          <w:rFonts w:ascii="Open Sans;sans-serif" w:hAnsi="Open Sans;sans-serif"/>
          <w:b w:val="false"/>
          <w:color w:val="000000"/>
          <w:sz w:val="20"/>
        </w:rPr>
        <w:t>(d)    Exhibits</w:t>
      </w:r>
    </w:p>
    <w:p>
      <w:pPr>
        <w:pStyle w:val="TextBody"/>
        <w:bidi w:val="0"/>
        <w:spacing w:lineRule="auto" w:line="288" w:before="0" w:after="0"/>
        <w:jc w:val="left"/>
        <w:rPr>
          <w:color w:val="000000"/>
        </w:rPr>
      </w:pPr>
      <w:r>
        <w:rPr>
          <w:color w:val="000000"/>
        </w:rPr>
        <w:t> </w:t>
      </w:r>
    </w:p>
    <w:tbl>
      <w:tblPr>
        <w:tblW w:w="9732" w:type="dxa"/>
        <w:jc w:val="left"/>
        <w:tblInd w:w="0" w:type="dxa"/>
        <w:tblLayout w:type="fixed"/>
        <w:tblCellMar>
          <w:top w:w="28" w:type="dxa"/>
          <w:left w:w="28" w:type="dxa"/>
          <w:bottom w:w="28" w:type="dxa"/>
          <w:right w:w="28" w:type="dxa"/>
        </w:tblCellMar>
      </w:tblPr>
      <w:tblGrid>
        <w:gridCol w:w="564"/>
        <w:gridCol w:w="497"/>
        <w:gridCol w:w="499"/>
        <w:gridCol w:w="109"/>
        <w:gridCol w:w="109"/>
        <w:gridCol w:w="109"/>
        <w:gridCol w:w="2294"/>
        <w:gridCol w:w="2294"/>
        <w:gridCol w:w="3257"/>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3257"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6"/>
              </w:rPr>
            </w:pPr>
            <w:r>
              <w:rPr>
                <w:rFonts w:ascii="Open Sans;sans-serif" w:hAnsi="Open Sans;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6"/>
              </w:rPr>
            </w:pPr>
            <w:r>
              <w:rPr>
                <w:rFonts w:ascii="Open Sans;sans-serif" w:hAnsi="Open Sans;sans-serif"/>
                <w:b/>
                <w:color w:val="000000"/>
                <w:sz w:val="16"/>
              </w:rPr>
              <w:t>Description</w:t>
            </w:r>
          </w:p>
        </w:tc>
      </w:tr>
      <w:tr>
        <w:trPr/>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w:anchor="mqearningsrelease-q2x2026.htm">
              <w:r>
                <w:rPr>
                  <w:rStyle w:val="InternetLink"/>
                  <w:rFonts w:ascii="Open Sans;sans-serif" w:hAnsi="Open Sans;sans-serif"/>
                  <w:b w:val="false"/>
                  <w:color w:val="000080"/>
                  <w:sz w:val="20"/>
                  <w:u w:val="single"/>
                </w:rPr>
                <w:t xml:space="preserve">Press release issued by Marqeta, Inc., dated </w:t>
              </w:r>
            </w:hyperlink>
            <w:hyperlink w:anchor="mqearningsrelease-q2x2026.htm">
              <w:r>
                <w:rPr>
                  <w:rStyle w:val="InternetLink"/>
                  <w:rFonts w:ascii="Open Sans;sans-serif" w:hAnsi="Open Sans;sans-serif"/>
                  <w:b w:val="false"/>
                  <w:color w:val="000080"/>
                  <w:sz w:val="20"/>
                  <w:u w:val="single"/>
                </w:rPr>
                <w:t>August 4</w:t>
              </w:r>
            </w:hyperlink>
            <w:hyperlink w:anchor="mqearningsrelease-q2x2026.htm">
              <w:r>
                <w:rPr>
                  <w:rStyle w:val="InternetLink"/>
                  <w:rFonts w:ascii="Open Sans;sans-serif" w:hAnsi="Open Sans;sans-serif"/>
                  <w:b w:val="false"/>
                  <w:color w:val="000080"/>
                  <w:sz w:val="20"/>
                  <w:u w:val="single"/>
                </w:rPr>
                <w:t>, 2026.</w:t>
              </w:r>
            </w:hyperlink>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Open Sans;sans-serif" w:hAnsi="Open Sans;sans-serif"/>
                <w:b w:val="false"/>
                <w:color w:val="000000"/>
                <w:sz w:val="20"/>
              </w:rPr>
            </w:pPr>
            <w:r>
              <w:rPr>
                <w:rFonts w:ascii="Open Sans;sans-serif" w:hAnsi="Open Sans;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
        <w:jc w:val="center"/>
        <w:rPr>
          <w:rFonts w:ascii="Open Sans;sans-serif" w:hAnsi="Open Sans;sans-serif"/>
          <w:b/>
          <w:color w:val="000000"/>
          <w:sz w:val="20"/>
        </w:rPr>
      </w:pPr>
      <w:r>
        <w:rPr>
          <w:rFonts w:ascii="Open Sans;sans-serif" w:hAnsi="Open Sans;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720"/>
        <w:jc w:val="both"/>
        <w:rPr>
          <w:color w:val="000000"/>
        </w:rPr>
      </w:pPr>
      <w:r>
        <w:rPr>
          <w:color w:val="000000"/>
        </w:rPr>
        <w:t> </w:t>
      </w:r>
    </w:p>
    <w:tbl>
      <w:tblPr>
        <w:tblW w:w="4453" w:type="dxa"/>
        <w:jc w:val="left"/>
        <w:tblInd w:w="0" w:type="dxa"/>
        <w:tblLayout w:type="fixed"/>
        <w:tblCellMar>
          <w:top w:w="28" w:type="dxa"/>
          <w:left w:w="28" w:type="dxa"/>
          <w:bottom w:w="28" w:type="dxa"/>
          <w:right w:w="28" w:type="dxa"/>
        </w:tblCellMar>
      </w:tblPr>
      <w:tblGrid>
        <w:gridCol w:w="782"/>
        <w:gridCol w:w="685"/>
        <w:gridCol w:w="692"/>
        <w:gridCol w:w="670"/>
        <w:gridCol w:w="670"/>
        <w:gridCol w:w="954"/>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MARQETA, INC.</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Open Sans;sans-serif" w:hAnsi="Open Sans;sans-serif"/>
                <w:b w:val="false"/>
                <w:color w:val="000000"/>
                <w:sz w:val="20"/>
              </w:rPr>
            </w:pPr>
            <w:r>
              <w:rPr>
                <w:rFonts w:ascii="Open Sans;sans-serif" w:hAnsi="Open Sans;sans-serif"/>
                <w:b w:val="false"/>
                <w:color w:val="000000"/>
                <w:sz w:val="20"/>
              </w:rPr>
              <w:t>Date: August 4, 2026</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 Patti Kangwankij</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Patti Kangwankij</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762250" cy="6572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762250" cy="657225"/>
                    </a:xfrm>
                    <a:prstGeom prst="rect">
                      <a:avLst/>
                    </a:prstGeom>
                  </pic:spPr>
                </pic:pic>
              </a:graphicData>
            </a:graphic>
          </wp:inline>
        </w:drawing>
      </w:r>
    </w:p>
    <w:p>
      <w:pPr>
        <w:pStyle w:val="TextBody"/>
        <w:bidi w:val="0"/>
        <w:spacing w:before="120" w:after="283"/>
        <w:jc w:val="center"/>
        <w:rPr/>
      </w:pPr>
      <w:r>
        <w:rPr/>
      </w:r>
    </w:p>
    <w:p>
      <w:pPr>
        <w:pStyle w:val="TextBody"/>
        <w:bidi w:val="0"/>
        <w:spacing w:lineRule="auto" w:line="288" w:before="120" w:after="283"/>
        <w:jc w:val="center"/>
        <w:rPr>
          <w:rFonts w:ascii="Open Sans;sans-serif" w:hAnsi="Open Sans;sans-serif"/>
          <w:b/>
          <w:color w:val="000000"/>
          <w:sz w:val="22"/>
        </w:rPr>
      </w:pPr>
      <w:r>
        <w:rPr>
          <w:rFonts w:ascii="Open Sans;sans-serif" w:hAnsi="Open Sans;sans-serif"/>
          <w:b/>
          <w:color w:val="000000"/>
          <w:sz w:val="22"/>
        </w:rPr>
        <w:t xml:space="preserve">MARQETA REPORTS SECOND QUARTER 2026 FINANCIAL RESULTS </w:t>
      </w:r>
    </w:p>
    <w:p>
      <w:pPr>
        <w:pStyle w:val="TextBody"/>
        <w:bidi w:val="0"/>
        <w:spacing w:lineRule="auto" w:line="288" w:before="120" w:after="283"/>
        <w:jc w:val="center"/>
        <w:rPr>
          <w:rFonts w:ascii="Open Sans;sans-serif" w:hAnsi="Open Sans;sans-serif"/>
          <w:b w:val="false"/>
          <w:i/>
          <w:color w:val="000000"/>
          <w:sz w:val="20"/>
        </w:rPr>
      </w:pPr>
      <w:r>
        <w:rPr>
          <w:rFonts w:ascii="Open Sans;sans-serif" w:hAnsi="Open Sans;sans-serif"/>
          <w:b w:val="false"/>
          <w:i/>
          <w:color w:val="000000"/>
          <w:sz w:val="20"/>
        </w:rPr>
        <w:t xml:space="preserve">The global modern card issuer reported Total Processing Volume growth of 32% </w:t>
      </w:r>
    </w:p>
    <w:p>
      <w:pPr>
        <w:pStyle w:val="TextBody"/>
        <w:bidi w:val="0"/>
        <w:spacing w:lineRule="auto" w:line="288" w:before="120" w:after="283"/>
        <w:jc w:val="center"/>
        <w:rPr>
          <w:rFonts w:ascii="Open Sans;sans-serif" w:hAnsi="Open Sans;sans-serif"/>
          <w:b w:val="false"/>
          <w:i/>
          <w:color w:val="000000"/>
          <w:sz w:val="20"/>
        </w:rPr>
      </w:pPr>
      <w:r>
        <w:rPr>
          <w:rFonts w:ascii="Open Sans;sans-serif" w:hAnsi="Open Sans;sans-serif"/>
          <w:b w:val="false"/>
          <w:i/>
          <w:color w:val="000000"/>
          <w:sz w:val="20"/>
        </w:rPr>
        <w:t>and Gross Profit growth of 17% in the second quarter of 2026.</w:t>
      </w:r>
    </w:p>
    <w:p>
      <w:pPr>
        <w:pStyle w:val="TextBody"/>
        <w:bidi w:val="0"/>
        <w:spacing w:lineRule="auto" w:line="288" w:before="360" w:after="283"/>
        <w:jc w:val="both"/>
        <w:rPr/>
      </w:pPr>
      <w:r>
        <w:rPr>
          <w:rFonts w:ascii="Open Sans;sans-serif" w:hAnsi="Open Sans;sans-serif"/>
          <w:b/>
          <w:color w:val="000000"/>
          <w:sz w:val="20"/>
        </w:rPr>
        <w:t>OAKLAND, Calif. – August 4, 2026</w:t>
      </w:r>
      <w:r>
        <w:rPr>
          <w:color w:val="000000"/>
        </w:rPr>
        <w:t xml:space="preserve"> </w:t>
      </w:r>
      <w:r>
        <w:rPr>
          <w:rFonts w:ascii="Open Sans;sans-serif" w:hAnsi="Open Sans;sans-serif"/>
          <w:b w:val="false"/>
          <w:color w:val="000000"/>
          <w:sz w:val="20"/>
        </w:rPr>
        <w:t xml:space="preserve">- </w:t>
      </w:r>
      <w:r>
        <w:rPr>
          <w:rFonts w:ascii="Open Sans;sans-serif" w:hAnsi="Open Sans;sans-serif"/>
          <w:b/>
          <w:color w:val="000000"/>
          <w:sz w:val="20"/>
        </w:rPr>
        <w:t>Marqeta, Inc. (NASDAQ: MQ)</w:t>
      </w:r>
      <w:r>
        <w:rPr>
          <w:rFonts w:ascii="Open Sans;sans-serif" w:hAnsi="Open Sans;sans-serif"/>
          <w:b w:val="false"/>
          <w:color w:val="000000"/>
          <w:sz w:val="20"/>
        </w:rPr>
        <w:t xml:space="preserve">, the global modern card issuing platform, today reported financial results for the second quarter ended June 30, 2026. </w:t>
        <w:br/>
        <w:br/>
        <w:t xml:space="preserve">The Company reported Total Processing Volume (TPV) of $120 billion, representing a year-over-year increase of 32%. Marqeta reported Net Revenue of $176 million and Gross Profit of $122 million, both growing 17% year-over-year. GAAP Net Income for the quarter was $8 million and Adjusted EBITDA was $37 million. Adjusted EBITDA growth was 31% year-over-year. </w:t>
      </w:r>
    </w:p>
    <w:p>
      <w:pPr>
        <w:pStyle w:val="TextBody"/>
        <w:bidi w:val="0"/>
        <w:spacing w:lineRule="auto" w:line="288" w:before="120" w:after="283"/>
        <w:jc w:val="both"/>
        <w:rPr>
          <w:color w:val="000000"/>
        </w:rPr>
      </w:pPr>
      <w:r>
        <w:rPr>
          <w:color w:val="000000"/>
        </w:rPr>
        <w:t>“</w:t>
      </w:r>
      <w:r>
        <w:rPr>
          <w:rFonts w:ascii="Open Sans;sans-serif" w:hAnsi="Open Sans;sans-serif"/>
          <w:b w:val="false"/>
          <w:color w:val="000000"/>
          <w:sz w:val="20"/>
        </w:rPr>
        <w:t>Our second quarter results reinforce the momentum behind our business and the increasing value our modern card issuing platform delivers for innovators worldwide,” said Mike Milotich, CEO of Marqeta. “Strong Gross Profit growth, our second consecutive quarter of GAAP profitability, and the quality programs we’re onboarding all reflect how the breadth, flexibility, and scale of our platform enable customers to expand and thrive.”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Marqeta has been at the forefront of modern issuer processing for over a decade, enabling growth and innovation for customers across diverse use cases and geographies. Marqeta highlighted several recent updates that demonstrate its current business momentum, including:</w:t>
      </w:r>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Multi-national Card Issuing</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Building on their long-term relationship in the U.S., Expensify leveraged Marqeta’s comprehensive platform and multinational card issuing capabilities to deliver its corporate card offering to businesses across Europe. Expensify’s European customers can now access the same spend management capabilities that have driven the rapid growth of its card offering in the U.S., enabling them to scale into new markets through a single integration.</w:t>
      </w:r>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Broadening Product Suite</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Marqeta has partnered with zerohash and BVNK to enable stablecoin spending across global card networks. Through these partnerships, Marqeta will offer customers a comprehensive solution for launching multinational and stablecoin-backed card solutions that link directly to existing card rails, making it possible to use stablecoins for purchases anywhere a card is accepted without additional integrations or regulatory burdens. These collaborations further support Marqeta's leadership at the intersection of crypto and fiat payments, strengthening its ability to deliver flexible solutions to both crypto-native and non-crypto companies.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Marqeta is enhancing its Real-Time Decisioning (RTD) offering by partnering with leading acquirers and fraud-prevention providers including Adyen, Riskified, and Signifyd to incorporate richer merchant transaction data into its ML Risk Score and fraud detection process. RTD is Marqeta's risk decisioning product that evaluates card authorization transactions in real time. This additional data, which can include device, location, order, and account information, helps customers reduce fraudulent transactions and increase authorization rates.</w:t>
      </w:r>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Share Repurchase Authorization</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 xml:space="preserve">On August 3, 2026, the Company’s Board of Directors unanimously authorized a repurchase program of up to $150 million of the Company’s Class A common stock. Under the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share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8110"/>
                <wp:effectExtent l="0" t="0" r="0" b="0"/>
                <wp:wrapNone/>
                <wp:docPr id="6" name="Frame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1</w:t>
                      </w:r>
                    </w:p>
                  </w:txbxContent>
                </v:textbox>
                <w10:wrap type="none"/>
              </v:rect>
            </w:pict>
          </mc:Fallback>
        </mc:AlternateConten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repurchase program has no set expiration date. The number of shares repurchased and the timing of purchases will be based on general business and market conditions, and other factors, including stockholder voting power considerations.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8110"/>
                <wp:effectExtent l="0" t="0" r="0" b="0"/>
                <wp:wrapNone/>
                <wp:docPr id="7" name="Frame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2</w:t>
                      </w:r>
                    </w:p>
                  </w:txbxContent>
                </v:textbox>
                <w10:wrap type="none"/>
              </v:rect>
            </w:pict>
          </mc:Fallback>
        </mc:AlternateContent>
      </w:r>
    </w:p>
    <w:p>
      <w:pPr>
        <w:pStyle w:val="TextBody"/>
        <w:bidi w:val="0"/>
        <w:spacing w:lineRule="auto" w:line="288" w:before="120" w:after="283"/>
        <w:jc w:val="both"/>
        <w:rPr>
          <w:rFonts w:ascii="Open Sans;sans-serif" w:hAnsi="Open Sans;sans-serif"/>
          <w:b/>
          <w:color w:val="000000"/>
          <w:sz w:val="20"/>
        </w:rPr>
      </w:pPr>
      <w:r>
        <w:rPr>
          <w:rFonts w:ascii="Open Sans;sans-serif" w:hAnsi="Open Sans;sans-serif"/>
          <w:b/>
          <w:color w:val="000000"/>
          <w:sz w:val="20"/>
        </w:rPr>
        <w:t>Operating Highlights</w:t>
      </w:r>
    </w:p>
    <w:tbl>
      <w:tblPr>
        <w:tblW w:w="10205" w:type="dxa"/>
        <w:jc w:val="left"/>
        <w:tblInd w:w="0" w:type="dxa"/>
        <w:tblLayout w:type="fixed"/>
        <w:tblCellMar>
          <w:top w:w="28" w:type="dxa"/>
          <w:left w:w="28" w:type="dxa"/>
          <w:bottom w:w="28" w:type="dxa"/>
          <w:right w:w="28" w:type="dxa"/>
        </w:tblCellMar>
      </w:tblPr>
      <w:tblGrid>
        <w:gridCol w:w="601"/>
        <w:gridCol w:w="412"/>
        <w:gridCol w:w="413"/>
        <w:gridCol w:w="226"/>
        <w:gridCol w:w="946"/>
        <w:gridCol w:w="271"/>
        <w:gridCol w:w="109"/>
        <w:gridCol w:w="109"/>
        <w:gridCol w:w="109"/>
        <w:gridCol w:w="226"/>
        <w:gridCol w:w="946"/>
        <w:gridCol w:w="271"/>
        <w:gridCol w:w="109"/>
        <w:gridCol w:w="109"/>
        <w:gridCol w:w="109"/>
        <w:gridCol w:w="220"/>
        <w:gridCol w:w="220"/>
        <w:gridCol w:w="221"/>
        <w:gridCol w:w="109"/>
        <w:gridCol w:w="109"/>
        <w:gridCol w:w="109"/>
        <w:gridCol w:w="226"/>
        <w:gridCol w:w="946"/>
        <w:gridCol w:w="271"/>
        <w:gridCol w:w="109"/>
        <w:gridCol w:w="109"/>
        <w:gridCol w:w="109"/>
        <w:gridCol w:w="226"/>
        <w:gridCol w:w="946"/>
        <w:gridCol w:w="273"/>
        <w:gridCol w:w="109"/>
        <w:gridCol w:w="109"/>
        <w:gridCol w:w="109"/>
        <w:gridCol w:w="206"/>
        <w:gridCol w:w="206"/>
        <w:gridCol w:w="297"/>
      </w:tblGrid>
      <w:tr>
        <w:trPr/>
        <w:tc>
          <w:tcPr>
            <w:tcW w:w="60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4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14"/>
              </w:rPr>
            </w:pPr>
            <w:r>
              <w:rPr>
                <w:rFonts w:ascii="Open Sans;sans-serif" w:hAnsi="Open Sans;sans-serif"/>
                <w:b/>
                <w:i/>
                <w:color w:val="000000"/>
                <w:sz w:val="14"/>
              </w:rPr>
              <w:t>In thousands, except percentages and per share data, unless otherwise noted. % change is calculated over the comparable prior-year period (unaudited)</w:t>
            </w:r>
          </w:p>
        </w:tc>
        <w:tc>
          <w:tcPr>
            <w:tcW w:w="321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w:t>
              <w:br/>
              <w:t>Change</w:t>
            </w:r>
          </w:p>
        </w:tc>
      </w:tr>
      <w:tr>
        <w:trPr/>
        <w:tc>
          <w:tcPr>
            <w:tcW w:w="14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4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Financial metrics:</w:t>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Net Revenue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175,995 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150,392 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341,793 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289,465 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18%</w:t>
            </w:r>
          </w:p>
        </w:tc>
      </w:tr>
      <w:tr>
        <w:trPr/>
        <w:tc>
          <w:tcPr>
            <w:tcW w:w="1426" w:type="dxa"/>
            <w:gridSpan w:val="3"/>
            <w:tcBorders>
              <w:top w:val="dotted"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Gross Profit</w:t>
            </w:r>
          </w:p>
        </w:tc>
        <w:tc>
          <w:tcPr>
            <w:tcW w:w="226" w:type="dxa"/>
            <w:tcBorders>
              <w:top w:val="dotted"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tted"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121,873 </w:t>
            </w:r>
          </w:p>
        </w:tc>
        <w:tc>
          <w:tcPr>
            <w:tcW w:w="271" w:type="dxa"/>
            <w:tcBorders>
              <w:top w:val="dotted"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tted"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104,061 </w:t>
            </w:r>
          </w:p>
        </w:tc>
        <w:tc>
          <w:tcPr>
            <w:tcW w:w="271" w:type="dxa"/>
            <w:tcBorders>
              <w:top w:val="dotted"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tted"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17%</w:t>
            </w:r>
          </w:p>
        </w:tc>
        <w:tc>
          <w:tcPr>
            <w:tcW w:w="327" w:type="dxa"/>
            <w:gridSpan w:val="3"/>
            <w:tcBorders>
              <w:top w:val="dotted"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tted"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239,465 </w:t>
            </w:r>
          </w:p>
        </w:tc>
        <w:tc>
          <w:tcPr>
            <w:tcW w:w="271" w:type="dxa"/>
            <w:tcBorders>
              <w:top w:val="dotted"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tted"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202,740 </w:t>
            </w:r>
          </w:p>
        </w:tc>
        <w:tc>
          <w:tcPr>
            <w:tcW w:w="273" w:type="dxa"/>
            <w:tcBorders>
              <w:top w:val="dotted"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dotted"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18%</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i/>
                <w:color w:val="000000"/>
                <w:sz w:val="18"/>
              </w:rPr>
            </w:pPr>
            <w:r>
              <w:rPr>
                <w:rFonts w:ascii="Open Sans;sans-serif" w:hAnsi="Open Sans;sans-serif"/>
                <w:b w:val="false"/>
                <w:i/>
                <w:color w:val="000000"/>
                <w:sz w:val="18"/>
              </w:rPr>
              <w:t>Gross Margin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69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69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Open Sans;sans-serif" w:hAnsi="Open Sans;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70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70</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Open Sans;sans-serif" w:hAnsi="Open Sans;sans-serif"/>
                <w:b w:val="false"/>
                <w:i/>
                <w:color w:val="000000"/>
                <w:sz w:val="18"/>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Total Operating Expenses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118,237 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113,289 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$233,735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$230,506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1%</w:t>
            </w:r>
          </w:p>
        </w:tc>
      </w:tr>
      <w:tr>
        <w:trPr/>
        <w:tc>
          <w:tcPr>
            <w:tcW w:w="1426" w:type="dxa"/>
            <w:gridSpan w:val="3"/>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Income (Loss)</w:t>
            </w:r>
          </w:p>
        </w:tc>
        <w:tc>
          <w:tcPr>
            <w:tcW w:w="226" w:type="dxa"/>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7,567 </w:t>
            </w:r>
          </w:p>
        </w:tc>
        <w:tc>
          <w:tcPr>
            <w:tcW w:w="271" w:type="dxa"/>
            <w:tcBorders>
              <w:top w:val="dotted"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(647)</w:t>
            </w:r>
          </w:p>
        </w:tc>
        <w:tc>
          <w:tcPr>
            <w:tcW w:w="271" w:type="dxa"/>
            <w:tcBorders>
              <w:top w:val="dotted"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nm</w:t>
            </w:r>
          </w:p>
        </w:tc>
        <w:tc>
          <w:tcPr>
            <w:tcW w:w="327" w:type="dxa"/>
            <w:gridSpan w:val="3"/>
            <w:tcBorders>
              <w:top w:val="dotted"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$15,401 </w:t>
            </w:r>
          </w:p>
        </w:tc>
        <w:tc>
          <w:tcPr>
            <w:tcW w:w="271" w:type="dxa"/>
            <w:tcBorders>
              <w:top w:val="dotted"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($8,907)</w:t>
            </w:r>
          </w:p>
        </w:tc>
        <w:tc>
          <w:tcPr>
            <w:tcW w:w="273" w:type="dxa"/>
            <w:tcBorders>
              <w:top w:val="dotted"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nm</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Net Income (Loss)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i/>
                <w:color w:val="000000"/>
                <w:sz w:val="18"/>
              </w:rPr>
            </w:pPr>
            <w:r>
              <w:rPr>
                <w:rFonts w:ascii="Open Sans;sans-serif" w:hAnsi="Open Sans;sans-serif"/>
                <w:b w:val="false"/>
                <w:i/>
                <w:color w:val="000000"/>
                <w:sz w:val="18"/>
              </w:rPr>
              <w:t>4 ppts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(3</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i/>
                <w:color w:val="000000"/>
                <w:sz w:val="18"/>
              </w:rPr>
            </w:pPr>
            <w:r>
              <w:rPr>
                <w:rFonts w:ascii="Open Sans;sans-serif" w:hAnsi="Open Sans;sans-serif"/>
                <w:b w:val="false"/>
                <w:i/>
                <w:color w:val="000000"/>
                <w:sz w:val="18"/>
              </w:rPr>
              <w:t>8 ppts</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Net Income (Loss) Per Share - Basic</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nm</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Net Income (Loss) Per Share - Diluted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($0.07)</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nm</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Key operating metric and Non-GAAP financial measures: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 xml:space="preserve">Total Processing Volume (TPV) </w:t>
            </w:r>
          </w:p>
          <w:p>
            <w:pPr>
              <w:pStyle w:val="TableContents"/>
              <w:bidi w:val="0"/>
              <w:spacing w:lineRule="auto" w:line="240" w:before="0" w:after="0"/>
              <w:jc w:val="left"/>
              <w:rPr/>
            </w:pPr>
            <w:r>
              <w:rPr>
                <w:rFonts w:ascii="Open Sans;sans-serif" w:hAnsi="Open Sans;sans-serif"/>
                <w:b w:val="false"/>
                <w:color w:val="000000"/>
                <w:sz w:val="18"/>
              </w:rPr>
              <w:t xml:space="preserve">(in millions) </w:t>
            </w:r>
            <w:r>
              <w:rPr>
                <w:rFonts w:ascii="Open Sans;sans-serif" w:hAnsi="Open Sans;sans-serif"/>
                <w:b w:val="false"/>
                <w:color w:val="000000"/>
                <w:sz w:val="12"/>
              </w:rPr>
              <w:t>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120,423 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91,386 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232,783 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175,857 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32%</w:t>
            </w:r>
          </w:p>
        </w:tc>
      </w:tr>
      <w:tr>
        <w:trPr/>
        <w:tc>
          <w:tcPr>
            <w:tcW w:w="1426" w:type="dxa"/>
            <w:gridSpan w:val="3"/>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8"/>
              </w:rPr>
              <w:t xml:space="preserve">Adjusted EBITDA </w:t>
            </w:r>
            <w:r>
              <w:rPr>
                <w:rFonts w:ascii="Open Sans;sans-serif" w:hAnsi="Open Sans;sans-serif"/>
                <w:b w:val="false"/>
                <w:color w:val="000000"/>
                <w:sz w:val="12"/>
              </w:rPr>
              <w:t>2</w:t>
            </w:r>
          </w:p>
        </w:tc>
        <w:tc>
          <w:tcPr>
            <w:tcW w:w="226" w:type="dxa"/>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37,420 </w:t>
            </w:r>
          </w:p>
        </w:tc>
        <w:tc>
          <w:tcPr>
            <w:tcW w:w="271" w:type="dxa"/>
            <w:tcBorders>
              <w:top w:val="dotted"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28,509 </w:t>
            </w:r>
          </w:p>
        </w:tc>
        <w:tc>
          <w:tcPr>
            <w:tcW w:w="271" w:type="dxa"/>
            <w:tcBorders>
              <w:top w:val="dotted"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31%</w:t>
            </w:r>
          </w:p>
        </w:tc>
        <w:tc>
          <w:tcPr>
            <w:tcW w:w="327" w:type="dxa"/>
            <w:gridSpan w:val="3"/>
            <w:tcBorders>
              <w:top w:val="dotted"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$70,757 </w:t>
            </w:r>
          </w:p>
        </w:tc>
        <w:tc>
          <w:tcPr>
            <w:tcW w:w="271" w:type="dxa"/>
            <w:tcBorders>
              <w:top w:val="dotted"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$48,590 </w:t>
            </w:r>
          </w:p>
        </w:tc>
        <w:tc>
          <w:tcPr>
            <w:tcW w:w="273" w:type="dxa"/>
            <w:tcBorders>
              <w:top w:val="dotted"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dotted"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46%</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i/>
                <w:color w:val="000000"/>
                <w:sz w:val="18"/>
              </w:rPr>
              <w:t xml:space="preserve">Adjusted EBITDA Margin </w:t>
            </w:r>
            <w:r>
              <w:rPr>
                <w:rFonts w:ascii="Open Sans;sans-serif" w:hAnsi="Open Sans;sans-serif"/>
                <w:b w:val="false"/>
                <w:i/>
                <w:color w:val="000000"/>
                <w:sz w:val="12"/>
              </w:rPr>
              <w:t>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i/>
                <w:color w:val="000000"/>
                <w:sz w:val="18"/>
              </w:rPr>
            </w:pPr>
            <w:r>
              <w:rPr>
                <w:rFonts w:ascii="Open Sans;sans-serif" w:hAnsi="Open Sans;sans-serif"/>
                <w:b w:val="false"/>
                <w:i/>
                <w:color w:val="000000"/>
                <w:sz w:val="18"/>
              </w:rPr>
              <w:t>2 ppts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17</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i/>
                <w:color w:val="000000"/>
                <w:sz w:val="18"/>
              </w:rPr>
            </w:pPr>
            <w:r>
              <w:rPr>
                <w:rFonts w:ascii="Open Sans;sans-serif" w:hAnsi="Open Sans;sans-serif"/>
                <w:b w:val="false"/>
                <w:i/>
                <w:color w:val="000000"/>
                <w:sz w:val="18"/>
              </w:rPr>
              <w:t>4 ppts</w:t>
            </w:r>
          </w:p>
        </w:tc>
      </w:tr>
      <w:tr>
        <w:trPr/>
        <w:tc>
          <w:tcPr>
            <w:tcW w:w="1426" w:type="dxa"/>
            <w:gridSpan w:val="3"/>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8"/>
              </w:rPr>
              <w:t xml:space="preserve">Adjusted Operating Expenses </w:t>
            </w:r>
            <w:r>
              <w:rPr>
                <w:rFonts w:ascii="Open Sans;sans-serif" w:hAnsi="Open Sans;sans-serif"/>
                <w:b w:val="false"/>
                <w:color w:val="000000"/>
                <w:sz w:val="12"/>
              </w:rPr>
              <w:t>2</w:t>
            </w:r>
          </w:p>
        </w:tc>
        <w:tc>
          <w:tcPr>
            <w:tcW w:w="226" w:type="dxa"/>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84,453 </w:t>
            </w:r>
          </w:p>
        </w:tc>
        <w:tc>
          <w:tcPr>
            <w:tcW w:w="271" w:type="dxa"/>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75,552 </w:t>
            </w:r>
          </w:p>
        </w:tc>
        <w:tc>
          <w:tcPr>
            <w:tcW w:w="271" w:type="dxa"/>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12%</w:t>
            </w:r>
          </w:p>
        </w:tc>
        <w:tc>
          <w:tcPr>
            <w:tcW w:w="327" w:type="dxa"/>
            <w:gridSpan w:val="3"/>
            <w:tcBorders>
              <w:top w:val="dotted"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168,708 </w:t>
            </w:r>
          </w:p>
        </w:tc>
        <w:tc>
          <w:tcPr>
            <w:tcW w:w="271" w:type="dxa"/>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154,150 </w:t>
            </w:r>
          </w:p>
        </w:tc>
        <w:tc>
          <w:tcPr>
            <w:tcW w:w="273" w:type="dxa"/>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dotted"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9%</w:t>
            </w:r>
          </w:p>
        </w:tc>
      </w:tr>
    </w:tbl>
    <w:p>
      <w:pPr>
        <w:pStyle w:val="TextBody"/>
        <w:bidi w:val="0"/>
        <w:spacing w:lineRule="auto" w:line="288" w:before="60" w:after="283"/>
        <w:jc w:val="both"/>
        <w:rPr/>
      </w:pPr>
      <w:r>
        <w:rPr>
          <w:rFonts w:ascii="Open Sans;sans-serif" w:hAnsi="Open Sans;sans-serif"/>
          <w:b w:val="false"/>
          <w:color w:val="000000"/>
          <w:sz w:val="10"/>
        </w:rPr>
        <w:t>1</w:t>
      </w:r>
      <w:r>
        <w:rPr>
          <w:color w:val="000000"/>
        </w:rPr>
        <w:t xml:space="preserve"> </w:t>
      </w:r>
      <w:r>
        <w:rPr>
          <w:rFonts w:ascii="Open Sans;sans-serif" w:hAnsi="Open Sans;sans-serif"/>
          <w:b w:val="false"/>
          <w:color w:val="000000"/>
          <w:sz w:val="16"/>
        </w:rPr>
        <w:t>TPV represents the total dollar amount of payments processed through our platform, net of returns and chargebacks. We believe that TPV is a key indicator of the market adoption of our platform, growth of our brand, growth of our customers' businesses and scale of our business.</w:t>
      </w:r>
    </w:p>
    <w:p>
      <w:pPr>
        <w:pStyle w:val="TextBody"/>
        <w:bidi w:val="0"/>
        <w:spacing w:lineRule="auto" w:line="288" w:before="60" w:after="283"/>
        <w:jc w:val="both"/>
        <w:rPr/>
      </w:pPr>
      <w:r>
        <w:rPr>
          <w:rFonts w:ascii="Open Sans;sans-serif" w:hAnsi="Open Sans;sans-serif"/>
          <w:b w:val="false"/>
          <w:color w:val="000000"/>
          <w:sz w:val="10"/>
        </w:rPr>
        <w:t xml:space="preserve">2 </w:t>
      </w:r>
      <w:r>
        <w:rPr>
          <w:rFonts w:ascii="Open Sans;sans-serif" w:hAnsi="Open Sans;sans-serif"/>
          <w:b w:val="false"/>
          <w:color w:val="000000"/>
          <w:sz w:val="16"/>
        </w:rPr>
        <w:t>See "Information Regarding Non-GAAP Measures" for definitions of Adjusted EBITDA, Adjusted EBITDA margin, and Adjusted operating expenses and the reconciliations of the net income (loss) to Adjusted EBITDA, and of the total operating expenses to Adjusted operating expenses.</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Open Sans;sans-serif" w:hAnsi="Open Sans;sans-serif"/>
          <w:b/>
          <w:color w:val="000000"/>
          <w:sz w:val="20"/>
          <w:u w:val="single"/>
        </w:rPr>
      </w:pPr>
      <w:r>
        <w:rPr>
          <w:rFonts w:ascii="Open Sans;sans-serif" w:hAnsi="Open Sans;sans-serif"/>
          <w:b/>
          <w:color w:val="000000"/>
          <w:sz w:val="20"/>
          <w:u w:val="single"/>
        </w:rPr>
        <w:t>Second Quarter 2026 Financial Results:</w:t>
      </w:r>
    </w:p>
    <w:p>
      <w:pPr>
        <w:pStyle w:val="TextBody"/>
        <w:bidi w:val="0"/>
        <w:spacing w:lineRule="auto" w:line="288" w:before="180" w:after="283"/>
        <w:jc w:val="both"/>
        <w:rPr/>
      </w:pPr>
      <w:r>
        <w:rPr>
          <w:rFonts w:ascii="Open Sans;sans-serif" w:hAnsi="Open Sans;sans-serif"/>
          <w:b/>
          <w:color w:val="000000"/>
          <w:sz w:val="20"/>
        </w:rPr>
        <w:t>Total Processing Volume</w:t>
      </w:r>
      <w:r>
        <w:rPr>
          <w:color w:val="000000"/>
        </w:rPr>
        <w:t xml:space="preserve"> </w:t>
      </w:r>
      <w:r>
        <w:rPr>
          <w:rFonts w:ascii="Open Sans;sans-serif" w:hAnsi="Open Sans;sans-serif"/>
          <w:b w:val="false"/>
          <w:color w:val="000000"/>
          <w:sz w:val="20"/>
        </w:rPr>
        <w:t>increased by 32% year-over-year, from $91 billion in the second quarter of 2025 to $120 billion for the quarter ended June 30, 2026.</w:t>
      </w:r>
    </w:p>
    <w:p>
      <w:pPr>
        <w:pStyle w:val="TextBody"/>
        <w:bidi w:val="0"/>
        <w:spacing w:lineRule="auto" w:line="288" w:before="180" w:after="283"/>
        <w:jc w:val="both"/>
        <w:rPr/>
      </w:pPr>
      <w:r>
        <w:rPr>
          <w:rFonts w:ascii="Open Sans;sans-serif" w:hAnsi="Open Sans;sans-serif"/>
          <w:b/>
          <w:color w:val="000000"/>
          <w:sz w:val="20"/>
        </w:rPr>
        <w:t>Net Revenue</w:t>
      </w:r>
      <w:r>
        <w:rPr>
          <w:color w:val="000000"/>
        </w:rPr>
        <w:t xml:space="preserve"> </w:t>
      </w:r>
      <w:r>
        <w:rPr>
          <w:rFonts w:ascii="Open Sans;sans-serif" w:hAnsi="Open Sans;sans-serif"/>
          <w:b w:val="false"/>
          <w:color w:val="000000"/>
          <w:sz w:val="20"/>
        </w:rPr>
        <w:t xml:space="preserve">of $176 million increased by $26 million, or 17%, year-over-year, primarily driven by higher volumes, partially offset by unfavorable mix due to faster growth of card programs where we provide processing services with minimal or no program management. </w:t>
      </w:r>
    </w:p>
    <w:p>
      <w:pPr>
        <w:pStyle w:val="TextBody"/>
        <w:bidi w:val="0"/>
        <w:spacing w:lineRule="auto" w:line="288" w:before="180" w:after="283"/>
        <w:jc w:val="both"/>
        <w:rPr/>
      </w:pPr>
      <w:r>
        <w:rPr>
          <w:rFonts w:ascii="Open Sans;sans-serif" w:hAnsi="Open Sans;sans-serif"/>
          <w:b/>
          <w:color w:val="000000"/>
          <w:sz w:val="20"/>
        </w:rPr>
        <w:t>Gross Profit</w:t>
      </w:r>
      <w:r>
        <w:rPr>
          <w:color w:val="000000"/>
        </w:rPr>
        <w:t xml:space="preserve"> </w:t>
      </w:r>
      <w:r>
        <w:rPr>
          <w:rFonts w:ascii="Open Sans;sans-serif" w:hAnsi="Open Sans;sans-serif"/>
          <w:b w:val="false"/>
          <w:color w:val="000000"/>
          <w:sz w:val="20"/>
        </w:rPr>
        <w:t>increased by 17% year-over-year to $122 million from $104 million in the second quarter of 2025. The increase in Gross Profit was largely driven by our TPV growth. Gross Margin was 69% in the second quarter of 2026.</w:t>
      </w:r>
    </w:p>
    <w:p>
      <w:pPr>
        <w:pStyle w:val="TextBody"/>
        <w:bidi w:val="0"/>
        <w:spacing w:lineRule="auto" w:line="288" w:before="180" w:after="283"/>
        <w:jc w:val="both"/>
        <w:rPr/>
      </w:pPr>
      <w:r>
        <w:rPr>
          <w:rFonts w:ascii="Open Sans;sans-serif" w:hAnsi="Open Sans;sans-serif"/>
          <w:b/>
          <w:color w:val="000000"/>
          <w:sz w:val="20"/>
        </w:rPr>
        <w:t xml:space="preserve">Net Income </w:t>
      </w:r>
      <w:r>
        <w:rPr>
          <w:rFonts w:ascii="Open Sans;sans-serif" w:hAnsi="Open Sans;sans-serif"/>
          <w:b w:val="false"/>
          <w:color w:val="000000"/>
          <w:sz w:val="20"/>
        </w:rPr>
        <w:t>of $8 million in the quarter, compared to a Net Loss of $1 million in the same period in the prior year, resulted in a year-over-year improvement of $8 million. Net income margin was 4% in the quarter, an increase of 4 percentage points versus last year.</w:t>
      </w:r>
    </w:p>
    <w:p>
      <w:pPr>
        <w:pStyle w:val="TextBody"/>
        <w:bidi w:val="0"/>
        <w:spacing w:lineRule="auto" w:line="288" w:before="180" w:after="283"/>
        <w:jc w:val="both"/>
        <w:rPr/>
      </w:pPr>
      <w:r>
        <w:rPr>
          <w:rFonts w:ascii="Open Sans;sans-serif" w:hAnsi="Open Sans;sans-serif"/>
          <w:b/>
          <w:color w:val="000000"/>
          <w:sz w:val="20"/>
        </w:rPr>
        <w:t>Adjusted EBITDA</w:t>
      </w:r>
      <w:r>
        <w:rPr>
          <w:color w:val="000000"/>
        </w:rPr>
        <w:t xml:space="preserve"> </w:t>
      </w:r>
      <w:r>
        <w:rPr>
          <w:rFonts w:ascii="Open Sans;sans-serif" w:hAnsi="Open Sans;sans-serif"/>
          <w:b w:val="false"/>
          <w:color w:val="000000"/>
          <w:sz w:val="20"/>
        </w:rPr>
        <w:t>was $37 million in the second quarter of 2026, an increase of $9 million year-over-year, or 31%. Adjusted EBITDA margin was 21% in the second quarter of 2026, an increase of 2 percentage points versus last year.</w:t>
      </w:r>
    </w:p>
    <w:p>
      <w:pPr>
        <w:pStyle w:val="TextBody"/>
        <w:bidi w:val="0"/>
        <w:spacing w:before="180" w:after="283"/>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8110"/>
                <wp:effectExtent l="0" t="0" r="0" b="0"/>
                <wp:wrapNone/>
                <wp:docPr id="8" name="Frame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3</w:t>
                      </w:r>
                    </w:p>
                  </w:txbxContent>
                </v:textbox>
                <w10:wrap type="none"/>
              </v:rect>
            </w:pict>
          </mc:Fallback>
        </mc:AlternateContent>
      </w:r>
    </w:p>
    <w:p>
      <w:pPr>
        <w:pStyle w:val="TextBody"/>
        <w:bidi w:val="0"/>
        <w:spacing w:lineRule="auto" w:line="288" w:before="360" w:after="283"/>
        <w:jc w:val="both"/>
        <w:rPr>
          <w:rFonts w:ascii="Open Sans;sans-serif" w:hAnsi="Open Sans;sans-serif"/>
          <w:b/>
          <w:color w:val="000000"/>
          <w:sz w:val="20"/>
          <w:u w:val="single"/>
        </w:rPr>
      </w:pPr>
      <w:r>
        <w:rPr>
          <w:rFonts w:ascii="Open Sans;sans-serif" w:hAnsi="Open Sans;sans-serif"/>
          <w:b/>
          <w:color w:val="000000"/>
          <w:sz w:val="20"/>
          <w:u w:val="single"/>
        </w:rPr>
        <w:t>Financial Guidance</w:t>
      </w:r>
    </w:p>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The following summarizes Marqeta's guidance for the third quarter of 2026 and full year of 2026:</w:t>
      </w:r>
    </w:p>
    <w:tbl>
      <w:tblPr>
        <w:tblW w:w="10205" w:type="dxa"/>
        <w:jc w:val="center"/>
        <w:tblInd w:w="0" w:type="dxa"/>
        <w:tblLayout w:type="fixed"/>
        <w:tblCellMar>
          <w:top w:w="28" w:type="dxa"/>
          <w:left w:w="28" w:type="dxa"/>
          <w:bottom w:w="28" w:type="dxa"/>
          <w:right w:w="28" w:type="dxa"/>
        </w:tblCellMar>
      </w:tblPr>
      <w:tblGrid>
        <w:gridCol w:w="1546"/>
        <w:gridCol w:w="1349"/>
        <w:gridCol w:w="1357"/>
        <w:gridCol w:w="962"/>
        <w:gridCol w:w="962"/>
        <w:gridCol w:w="965"/>
        <w:gridCol w:w="189"/>
        <w:gridCol w:w="189"/>
        <w:gridCol w:w="189"/>
        <w:gridCol w:w="729"/>
        <w:gridCol w:w="729"/>
        <w:gridCol w:w="1039"/>
      </w:tblGrid>
      <w:tr>
        <w:trPr/>
        <w:tc>
          <w:tcPr>
            <w:tcW w:w="154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Third Quarter 2026</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Fiscal Year 2026</w:t>
            </w:r>
          </w:p>
        </w:tc>
      </w:tr>
      <w:tr>
        <w:trPr/>
        <w:tc>
          <w:tcPr>
            <w:tcW w:w="42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Net Revenue Growth</w:t>
            </w:r>
          </w:p>
        </w:tc>
        <w:tc>
          <w:tcPr>
            <w:tcW w:w="28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6 - 8%</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12 - 13%</w:t>
            </w:r>
          </w:p>
        </w:tc>
      </w:tr>
      <w:tr>
        <w:trPr/>
        <w:tc>
          <w:tcPr>
            <w:tcW w:w="42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20"/>
              </w:rPr>
            </w:pPr>
            <w:r>
              <w:rPr>
                <w:rFonts w:ascii="Open Sans;sans-serif" w:hAnsi="Open Sans;sans-serif"/>
                <w:b/>
                <w:color w:val="000000"/>
                <w:sz w:val="20"/>
              </w:rPr>
              <w:t>Gross Profit Growth</w:t>
            </w:r>
          </w:p>
        </w:tc>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5 - 7%</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11 - 12%</w:t>
            </w:r>
          </w:p>
        </w:tc>
      </w:tr>
      <w:tr>
        <w:trPr/>
        <w:tc>
          <w:tcPr>
            <w:tcW w:w="425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Open Sans;sans-serif" w:hAnsi="Open Sans;sans-serif"/>
                <w:b/>
                <w:color w:val="000000"/>
                <w:sz w:val="20"/>
              </w:rPr>
              <w:t xml:space="preserve">Adjusted EBITDA Growth </w:t>
            </w:r>
            <w:r>
              <w:rPr>
                <w:rFonts w:ascii="Open Sans;sans-serif" w:hAnsi="Open Sans;sans-serif"/>
                <w:b/>
                <w:color w:val="000000"/>
                <w:sz w:val="13"/>
              </w:rPr>
              <w:t>(1)</w:t>
            </w:r>
          </w:p>
        </w:tc>
        <w:tc>
          <w:tcPr>
            <w:tcW w:w="28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20 - 25%</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Low 30s</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Open Sans;sans-serif" w:hAnsi="Open Sans;sans-serif"/>
                <w:b/>
                <w:color w:val="000000"/>
                <w:sz w:val="9"/>
              </w:rPr>
              <w:t xml:space="preserve">(1) </w:t>
            </w:r>
            <w:r>
              <w:rPr>
                <w:rFonts w:ascii="Open Sans;sans-serif" w:hAnsi="Open Sans;sans-serif"/>
                <w:b/>
                <w:color w:val="000000"/>
                <w:sz w:val="14"/>
              </w:rPr>
              <w:t xml:space="preserve">Adjusted EBITDA Growth represents the year-over-year percentage change in Adjusted EBITDA. See "Information Regarding Non-GAAP Measures" for the definition of Adjusted EBITDA Margin and for information regarding non-availability of a forward reconciliation. </w:t>
            </w:r>
          </w:p>
        </w:tc>
      </w:tr>
    </w:tbl>
    <w:p>
      <w:pPr>
        <w:pStyle w:val="TextBody"/>
        <w:bidi w:val="0"/>
        <w:spacing w:lineRule="auto" w:line="288" w:before="180" w:after="283"/>
        <w:jc w:val="both"/>
        <w:rPr>
          <w:rFonts w:ascii="Open Sans;sans-serif" w:hAnsi="Open Sans;sans-serif"/>
          <w:b/>
          <w:color w:val="000000"/>
          <w:sz w:val="20"/>
        </w:rPr>
      </w:pPr>
      <w:r>
        <w:rPr>
          <w:rFonts w:ascii="Open Sans;sans-serif" w:hAnsi="Open Sans;sans-serif"/>
          <w:b/>
          <w:color w:val="000000"/>
          <w:sz w:val="20"/>
        </w:rPr>
        <w:t>Conference Call</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Marqeta will host a live conference call today at 1:30 p.m. Pacific time (4:30 p.m. Eastern time). To join the call, please dial-in 10 minutes in advance: toll-free at 1-877-407-4018 or direct at 1-201-689-8471. The conference call will also be available live via webcast online at http://investors.marqeta.com.</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The telephone replay dial-in numbers are 1-844-512-2921 and 1-412-317-6671 and will be available until August 18, 2026, 8:59 p.m. Pacific time (11:59 p.m. Eastern time). The confirmation code for the replay is 13761390.</w:t>
      </w:r>
    </w:p>
    <w:p>
      <w:pPr>
        <w:pStyle w:val="TextBody"/>
        <w:bidi w:val="0"/>
        <w:spacing w:lineRule="auto" w:line="288" w:before="180" w:after="283"/>
        <w:jc w:val="both"/>
        <w:rPr>
          <w:rFonts w:ascii="Open Sans;sans-serif" w:hAnsi="Open Sans;sans-serif"/>
          <w:b/>
          <w:color w:val="000000"/>
          <w:sz w:val="20"/>
        </w:rPr>
      </w:pPr>
      <w:r>
        <w:rPr>
          <w:rFonts w:ascii="Open Sans;sans-serif" w:hAnsi="Open Sans;sans-serif"/>
          <w:b/>
          <w:color w:val="000000"/>
          <w:sz w:val="20"/>
        </w:rPr>
        <w:t>Forward-Looking Statements</w:t>
      </w:r>
    </w:p>
    <w:p>
      <w:pPr>
        <w:pStyle w:val="TextBody"/>
        <w:bidi w:val="0"/>
        <w:spacing w:lineRule="auto" w:line="288" w:before="120" w:after="283"/>
        <w:jc w:val="both"/>
        <w:rPr/>
      </w:pPr>
      <w:r>
        <w:rPr>
          <w:rFonts w:ascii="Open Sans;sans-serif" w:hAnsi="Open Sans;sans-serif"/>
          <w:b w:val="false"/>
          <w:color w:val="000000"/>
          <w:sz w:val="20"/>
        </w:rPr>
        <w:t xml:space="preserve">This press release contains "forward-looking statements" within the meaning of the "safe harbor" provisions of the Private Securities Litigation Reform Act of 1995. Forward-looking statements expressed or implied in this press release include, but are not limited to, statements relating to Marqeta’s quarterly and annual guidance; statements regarding Marqeta’s profitability; statements regarding Marqeta’s customers, their growth, and their plans to onboard Marqeta's offerings; statements regarding Marqeta's new product introductions and product capabilities, and the benefits those products or capabilities may have for consumers; statements regarding Marqeta's ability to enable growth for its customers; and statements made by Marqeta’s Chief Executive Officer. Actual results may differ materially from the expectations contained in these statements due to risks and uncertainties, including, but not limited to, the following: the risk that Marqeta is unable to maintain profitability; the risk that Marqeta is unable to further attract, retain, diversify, and expand its customer base; the risk that Marqeta is unable to drive increased profitable transactions on its platform; the risk that consumers and customers will not perceive the benefits of Marqeta’s products, including credit card issuing; the risk that Marqeta's platform does not operate as intended resulting in system outages; the risk that Marqeta will not be able to achieve the cost structure that Marqeta currently expects; the risk that Marqeta’s solutions will not achieve the expected market acceptance; the risk that competition could reduce expected demand for Marqeta’s services, including credit card issuing; the risk that changes in the regulatory landscape could adversely affect Marqeta's operations and revenues; the risk that Marqeta may be unable to maintain relationships with Issuing Banks and Card Networks; the risk that Marqeta is not able to identify, close and recognize the anticipated benefits of any acquisition; the risk that Marqeta is unable to successfully integrate any acquisition, to businesses and related operations; the risk of general economic conditions in either domestic or international markets, including inflation and recessionary fears, conditions resulting from geopolitical uncertainty and instability or war; and the risk that Marqeta may be subject to additional risks due to its international business activities. Detailed information about these risks and other factors that could potentially affect Marqeta’s business, financial condition, and results of operations are included in the “Risk Factors” disclosed in Marqeta's Annual Report on Form 10-K for the year ended December 31, 2025 and subsequent Quarterly Reports, as such risk factors may be updated from time to time in Marqeta’s periodic filings with the SEC, available at </w:t>
      </w:r>
      <w:r>
        <w:rPr>
          <w:rFonts w:ascii="Open Sans;sans-serif" w:hAnsi="Open Sans;sans-serif"/>
          <w:b w:val="false"/>
          <w:i/>
          <w:color w:val="000000"/>
          <w:sz w:val="20"/>
        </w:rPr>
        <w:t>www.sec.gov</w:t>
      </w:r>
      <w:r>
        <w:rPr>
          <w:color w:val="000000"/>
        </w:rPr>
        <w:t xml:space="preserve"> </w:t>
      </w:r>
      <w:r>
        <w:rPr>
          <w:rFonts w:ascii="Open Sans;sans-serif" w:hAnsi="Open Sans;sans-serif"/>
          <w:b w:val="false"/>
          <w:color w:val="000000"/>
          <w:sz w:val="20"/>
        </w:rPr>
        <w:t xml:space="preserve">and Marqeta’s website at </w:t>
      </w:r>
      <w:r>
        <w:rPr>
          <w:rFonts w:ascii="Open Sans;sans-serif" w:hAnsi="Open Sans;sans-serif"/>
          <w:b w:val="false"/>
          <w:i/>
          <w:color w:val="000000"/>
          <w:sz w:val="20"/>
        </w:rPr>
        <w:t>http://investors.marqeta.com</w:t>
      </w:r>
      <w:r>
        <w:rPr>
          <w:rFonts w:ascii="Open Sans;sans-serif" w:hAnsi="Open Sans;sans-serif"/>
          <w:b w:val="false"/>
          <w:color w:val="000000"/>
          <w:sz w:val="20"/>
        </w:rPr>
        <w:t>.</w:t>
      </w:r>
    </w:p>
    <w:p>
      <w:pPr>
        <w:pStyle w:val="TextBody"/>
        <w:bidi w:val="0"/>
        <w:spacing w:lineRule="auto" w:line="288" w:before="60" w:after="283"/>
        <w:jc w:val="both"/>
        <w:rPr/>
      </w:pPr>
      <w:r>
        <w:rPr>
          <w:rFonts w:ascii="Open Sans;sans-serif" w:hAnsi="Open Sans;sans-serif"/>
          <w:b w:val="false"/>
          <w:color w:val="000000"/>
          <w:sz w:val="20"/>
        </w:rPr>
        <w:t>The forward-looking statements in this press release are based on information available to Marqeta as of the date hereof. Marqeta disclaims any obligation to update any forward-looking statements, except as required by law</w:t>
      </w:r>
      <w:r>
        <w:rPr>
          <w:rFonts w:ascii="Open Sans;sans-serif" w:hAnsi="Open Sans;sans-serif"/>
          <w:b w:val="false"/>
          <w:i/>
          <w:color w:val="000000"/>
          <w:sz w:val="20"/>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8110"/>
                <wp:effectExtent l="0" t="0" r="0" b="0"/>
                <wp:wrapNone/>
                <wp:docPr id="9" name="Frame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4</w:t>
                      </w:r>
                    </w:p>
                  </w:txbxContent>
                </v:textbox>
                <w10:wrap type="none"/>
              </v:rect>
            </w:pict>
          </mc:Fallback>
        </mc:AlternateContent>
      </w:r>
    </w:p>
    <w:p>
      <w:pPr>
        <w:pStyle w:val="TextBody"/>
        <w:bidi w:val="0"/>
        <w:spacing w:lineRule="auto" w:line="288" w:before="180" w:after="283"/>
        <w:jc w:val="both"/>
        <w:rPr>
          <w:rFonts w:ascii="Open Sans;sans-serif" w:hAnsi="Open Sans;sans-serif"/>
          <w:b/>
          <w:color w:val="000000"/>
          <w:sz w:val="20"/>
        </w:rPr>
      </w:pPr>
      <w:r>
        <w:rPr>
          <w:rFonts w:ascii="Open Sans;sans-serif" w:hAnsi="Open Sans;sans-serif"/>
          <w:b/>
          <w:color w:val="000000"/>
          <w:sz w:val="20"/>
        </w:rPr>
        <w:t>Disclosure Information</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Investors and others should note that Marqeta announces material financial information to its investors using its investor relations website, SEC filings, press releases, public conference calls and webcasts. Marqeta also uses social media to communicate with its customers and the public about Marqeta, its products and services, and other matters relating to its business and market. It is possible that the information Marqeta posts on social media could be deemed to be material information. Therefore, Marqeta encourages investors, the media, and others interested in Marqeta to review the information we post on social media channels including the Marqeta X feed (@Marqeta), the Marqeta Instagram page (@lifeatmarqeta), the Marqeta Facebook page, and the Marqeta LinkedIn page. These social media channels may be updated from time to time.</w:t>
      </w:r>
    </w:p>
    <w:p>
      <w:pPr>
        <w:pStyle w:val="TextBody"/>
        <w:bidi w:val="0"/>
        <w:spacing w:lineRule="auto" w:line="288" w:before="180" w:after="283"/>
        <w:jc w:val="left"/>
        <w:rPr>
          <w:rFonts w:ascii="Open Sans;sans-serif" w:hAnsi="Open Sans;sans-serif"/>
          <w:b/>
          <w:color w:val="000000"/>
          <w:sz w:val="20"/>
        </w:rPr>
      </w:pPr>
      <w:r>
        <w:rPr>
          <w:rFonts w:ascii="Open Sans;sans-serif" w:hAnsi="Open Sans;sans-serif"/>
          <w:b/>
          <w:color w:val="000000"/>
          <w:sz w:val="20"/>
        </w:rPr>
        <w:t>Use of Non-GAAP Financial Measures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"Information Regarding Non-GAAP Financial Measures".</w:t>
      </w:r>
    </w:p>
    <w:p>
      <w:pPr>
        <w:pStyle w:val="TextBody"/>
        <w:bidi w:val="0"/>
        <w:spacing w:lineRule="auto" w:line="288" w:before="180" w:after="283"/>
        <w:jc w:val="both"/>
        <w:rPr>
          <w:rFonts w:ascii="Open Sans;sans-serif" w:hAnsi="Open Sans;sans-serif"/>
          <w:b/>
          <w:color w:val="000000"/>
          <w:sz w:val="20"/>
        </w:rPr>
      </w:pPr>
      <w:r>
        <w:rPr>
          <w:rFonts w:ascii="Open Sans;sans-serif" w:hAnsi="Open Sans;sans-serif"/>
          <w:b/>
          <w:color w:val="000000"/>
          <w:sz w:val="20"/>
        </w:rPr>
        <w:t>About Marqeta, Inc.</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Marqeta makes it possible for companies to build and embed financial services into their branded experience—and unlock new ways to grow their business and delight users. The Marqeta platform puts businesses in control of building financial solutions, enabling them to turn real-time data into personalized, optimized solutions for everything from consumer loyalty to capital efficiency. With compliance and security built-in, Marqeta’s platform has been proven at scale, processing nearly $400 billion in annual payments volume in 2025. Marqeta is certified to operate in more than 40 countries worldwide and counting. Visit www.marqeta.com to learn more.</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Marqeta® is a registered trademark of Marqeta, Inc.</w:t>
      </w:r>
    </w:p>
    <w:p>
      <w:pPr>
        <w:pStyle w:val="TextBody"/>
        <w:bidi w:val="0"/>
        <w:spacing w:before="60" w:after="283"/>
        <w:jc w:val="both"/>
        <w:rPr/>
      </w:pPr>
      <w:r>
        <w:rPr/>
      </w:r>
    </w:p>
    <w:p>
      <w:pPr>
        <w:pStyle w:val="TextBody"/>
        <w:bidi w:val="0"/>
        <w:spacing w:lineRule="auto" w:line="288" w:before="60" w:after="283"/>
        <w:jc w:val="both"/>
        <w:rPr/>
      </w:pPr>
      <w:r>
        <w:rPr>
          <w:rFonts w:ascii="Open Sans;sans-serif" w:hAnsi="Open Sans;sans-serif"/>
          <w:b w:val="false"/>
          <w:color w:val="000000"/>
          <w:sz w:val="20"/>
        </w:rPr>
        <w:t xml:space="preserve">IR Contact: Marqeta Investor Relations, </w:t>
      </w:r>
      <w:r>
        <w:rPr>
          <w:rFonts w:ascii="Open Sans;sans-serif" w:hAnsi="Open Sans;sans-serif"/>
          <w:b w:val="false"/>
          <w:color w:val="0563C1"/>
          <w:sz w:val="20"/>
          <w:u w:val="single"/>
        </w:rPr>
        <w:t>IR@marqeta.com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8110"/>
                <wp:effectExtent l="0" t="0" r="0" b="0"/>
                <wp:wrapNone/>
                <wp:docPr id="10" name="Frame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5</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Operations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(in thousands, except per share amounts)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831"/>
        <w:gridCol w:w="1155"/>
        <w:gridCol w:w="1068"/>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5"/>
      </w:tblGrid>
      <w:tr>
        <w:trPr/>
        <w:tc>
          <w:tcPr>
            <w:tcW w:w="183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 June 30,</w:t>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Net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175,995 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150,392 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341,793 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289,465 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Costs of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86,725 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Gross Profit</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121,873 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104,061 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239,465 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202,740 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Operating Expenses: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Compensation and benefits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167,459 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Technology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Professional services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9,914 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Marketing and advertising</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Occupancy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operating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7,296 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Total Operating Expenses</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118,237 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113,289 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233,735 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230,506 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Income (Loss) from operations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(9,228)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(27,766)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income,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Income (Loss) before income tax expense</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8,072 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(8,466)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Income tax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Income (Loss)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(8,907)</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7"/>
              </w:rPr>
              <w:t xml:space="preserve">Net income (loss) per share attributable to Class A and Class B common stockholders </w:t>
            </w:r>
            <w:r>
              <w:rPr>
                <w:rFonts w:ascii="Open Sans;sans-serif" w:hAnsi="Open Sans;sans-serif"/>
                <w:b/>
                <w:color w:val="000000"/>
                <w:sz w:val="11"/>
              </w:rPr>
              <w:t>(1)</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Basic</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Diluted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7"/>
              </w:rPr>
              <w:t xml:space="preserve">Weighted-average shares used in computing net income (loss) per share attributable to Class A and Class B common stockholders </w:t>
            </w:r>
            <w:r>
              <w:rPr>
                <w:rFonts w:ascii="Open Sans;sans-serif" w:hAnsi="Open Sans;sans-serif"/>
                <w:b/>
                <w:color w:val="000000"/>
                <w:sz w:val="11"/>
              </w:rPr>
              <w:t>(1)</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Basic</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105,465 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120,315 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Diluted</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106,797 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115,379 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107,591 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120,315 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40"/>
        <w:jc w:val="left"/>
        <w:rPr/>
      </w:pPr>
      <w:r>
        <w:rPr>
          <w:rFonts w:ascii="Open Sans;sans-serif" w:hAnsi="Open Sans;sans-serif"/>
          <w:b w:val="false"/>
          <w:color w:val="000000"/>
          <w:sz w:val="12"/>
        </w:rPr>
        <w:t xml:space="preserve">(1) </w:t>
      </w:r>
      <w:r>
        <w:rPr>
          <w:rFonts w:ascii="Open Sans;sans-serif" w:hAnsi="Open Sans;sans-serif"/>
          <w:b w:val="false"/>
          <w:color w:val="000000"/>
          <w:sz w:val="16"/>
        </w:rPr>
        <w:t xml:space="preserve">Reflects the one-for-four reverse stock split that became effective on June 30, 2026. All historical share and per-share amounts have been retroactively adjusted to reflect the reverse stock split. As a result, weighted-average shares outstanding decreased by a factor of four, and net income (loss) per share increased by a factor of four for all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8110"/>
                <wp:effectExtent l="0" t="0" r="0" b="0"/>
                <wp:wrapNone/>
                <wp:docPr id="11" name="Frame1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6</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 xml:space="preserve">Marqeta, Inc. </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Balance Sheets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(in thousands)</w:t>
      </w:r>
    </w:p>
    <w:tbl>
      <w:tblPr>
        <w:tblW w:w="7854" w:type="dxa"/>
        <w:jc w:val="center"/>
        <w:tblInd w:w="0" w:type="dxa"/>
        <w:tblLayout w:type="fixed"/>
        <w:tblCellMar>
          <w:top w:w="28" w:type="dxa"/>
          <w:left w:w="28" w:type="dxa"/>
          <w:bottom w:w="28" w:type="dxa"/>
          <w:right w:w="28" w:type="dxa"/>
        </w:tblCellMar>
      </w:tblPr>
      <w:tblGrid>
        <w:gridCol w:w="1647"/>
        <w:gridCol w:w="1444"/>
        <w:gridCol w:w="1469"/>
        <w:gridCol w:w="226"/>
        <w:gridCol w:w="1126"/>
        <w:gridCol w:w="109"/>
        <w:gridCol w:w="109"/>
        <w:gridCol w:w="109"/>
        <w:gridCol w:w="109"/>
        <w:gridCol w:w="226"/>
        <w:gridCol w:w="1126"/>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Assets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Current assets:</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Cash and cash equivalents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691,418 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709,443 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Restricted cash</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260,553 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307,593 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Short-term investments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62,483 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Accounts receivable, net</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50,950 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41,422 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Network incentives receivable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61,059 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Settlements receivable, net</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Prepaid expenses and other current assets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38,395 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current assets</w:t>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1,102,110 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1,235,315 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Property and equipment, net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67,056 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59,910 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Operating lease right-of-use assets, net</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Intangible assets, net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51,388 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Goodwill</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154,706 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assets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Total assets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1,392,226 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1,525,033 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Liabilities and stockholders' equity</w:t>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Current liabilities:</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Accounts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Revenue share payable</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224,526 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18"/>
              </w:rPr>
            </w:pPr>
            <w:r>
              <w:rPr>
                <w:rFonts w:ascii="Open Sans;sans-serif" w:hAnsi="Open Sans;sans-serif"/>
                <w:b w:val="false"/>
                <w:color w:val="000000"/>
                <w:sz w:val="18"/>
              </w:rPr>
              <w:t>Funds payable and amounts due to customers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260,353 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306,891 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Accrued expenses and other current liabilities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178,526 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215,793 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current liabilities</w:t>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662,298 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749,057 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Operating lease liabilities, net of current portion</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liabilities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liabilities</w:t>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676,669 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763,076 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Stockholders' equity:</w:t>
            </w:r>
            <w:r>
              <w:rPr>
                <w:color w:val="000000"/>
              </w:rPr>
              <w:t xml:space="preserve"> </w:t>
            </w:r>
            <w:r>
              <w:rPr>
                <w:rFonts w:ascii="Open Sans;sans-serif" w:hAnsi="Open Sans;sans-serif"/>
                <w:b w:val="false"/>
                <w:color w:val="000000"/>
                <w:sz w:val="12"/>
              </w:rPr>
              <w:t>(1)</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Common stock</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Additional paid-in capital</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1,512,587 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1,572,270 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Accumulated other comprehensive (loss) income</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Accumulated deficit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(796,432)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(811,833)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stockholders’ equity</w:t>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715,557 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761,957 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Total liabilities and stockholders' equity</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1,392,226 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1,525,033 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pPr>
      <w:r>
        <w:rPr>
          <w:rFonts w:ascii="Open Sans;sans-serif" w:hAnsi="Open Sans;sans-serif"/>
          <w:b w:val="false"/>
          <w:color w:val="000000"/>
          <w:sz w:val="12"/>
        </w:rPr>
        <w:t xml:space="preserve">(1) </w:t>
      </w:r>
      <w:r>
        <w:rPr>
          <w:rFonts w:ascii="Open Sans;sans-serif" w:hAnsi="Open Sans;sans-serif"/>
          <w:b w:val="false"/>
          <w:color w:val="000000"/>
          <w:sz w:val="16"/>
        </w:rPr>
        <w:t>Reflects the one-for-four reverse stock split that became effective on June 30, 2026, which has been applied retrospectively to all periods presented. The reverse stock split did not change the par value per share of the Company’s common stock. As a result, the aggregate par value of outstanding common stock was reduced proportionately, with a corresponding increase to additional paid-in capital. Total stockholders’ equity remained unchanged.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8110"/>
                <wp:effectExtent l="0" t="0" r="0" b="0"/>
                <wp:wrapNone/>
                <wp:docPr id="12" name="Frame1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7</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Cash Flows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(in thousands)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2836"/>
        <w:gridCol w:w="2211"/>
        <w:gridCol w:w="2223"/>
        <w:gridCol w:w="226"/>
        <w:gridCol w:w="946"/>
        <w:gridCol w:w="109"/>
        <w:gridCol w:w="109"/>
        <w:gridCol w:w="109"/>
        <w:gridCol w:w="109"/>
        <w:gridCol w:w="226"/>
        <w:gridCol w:w="946"/>
        <w:gridCol w:w="155"/>
      </w:tblGrid>
      <w:tr>
        <w:trPr/>
        <w:tc>
          <w:tcPr>
            <w:tcW w:w="2836"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 June 30,</w:t>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Cash flows from operating activities: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(8,907)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Adjustments to reconcile net income (loss) to net cash (used in) provided by operating activities: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Share-based compensation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52,985 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Non-cash operating leases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Accretion of discount on short-term investments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Changes in operating assets and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Accounts receivable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(7,642)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Network incentives receivable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(18,309)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Settlements receivable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Prepaid expenses and other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Accounts payable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Revenue share payable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6,241 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Accrued expenses and other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(21,323)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Operating lease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cash provided by operating activities</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59,809 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22,534 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Cash flows from investing activities: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Maturities of short-term investments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90,918 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Capitalization of internal-use software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(13,598)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Purchases of property and equipment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Net cash provided by investing activities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75,719 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Cash flows from financing activities: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Repurchase of common stock</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(93,880)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(275,233)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Change in funds payable and amounts due to customers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Taxes paid related to net share settlement of restricted stock units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(15,887)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Payment of acquisition-related contingent consideration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Proceeds from shares issued in connection with employee stock purchase plan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Proceeds from exercise of stock options, including early exercised stock options, net of repurchase of early exercised unvested options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cash used in financing activities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(158,926)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(288,546)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Net decrease in cash, cash equivalents, and restricted cash</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(63,865)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(190,293)</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Cash, cash equivalents, and restricted cash- Beginning of period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1,017,931 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931,516 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Cash, cash equivalents, and restricted cash - End of period</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954,066 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741,223 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8110"/>
                <wp:effectExtent l="0" t="0" r="0" b="0"/>
                <wp:wrapNone/>
                <wp:docPr id="13" name="Frame1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8</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 xml:space="preserve">Financial and Operating Highlights </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(in thousands, except per share data or as noted)</w:t>
      </w:r>
    </w:p>
    <w:p>
      <w:pPr>
        <w:pStyle w:val="TextBody"/>
        <w:bidi w:val="0"/>
        <w:spacing w:lineRule="auto" w:line="288" w:before="0" w:after="300"/>
        <w:jc w:val="center"/>
        <w:rPr>
          <w:rFonts w:ascii="Open Sans;sans-serif" w:hAnsi="Open Sans;sans-serif"/>
          <w:b/>
          <w:color w:val="000000"/>
          <w:sz w:val="16"/>
        </w:rPr>
      </w:pPr>
      <w:r>
        <w:rPr>
          <w:rFonts w:ascii="Open Sans;sans-serif" w:hAnsi="Open Sans;sans-serif"/>
          <w:b/>
          <w:color w:val="000000"/>
          <w:sz w:val="16"/>
        </w:rPr>
        <w:t>(unaudited)</w:t>
      </w:r>
    </w:p>
    <w:tbl>
      <w:tblPr>
        <w:tblW w:w="12562" w:type="dxa"/>
        <w:jc w:val="left"/>
        <w:tblInd w:w="0" w:type="dxa"/>
        <w:tblLayout w:type="fixed"/>
        <w:tblCellMar>
          <w:top w:w="28" w:type="dxa"/>
          <w:left w:w="28" w:type="dxa"/>
          <w:bottom w:w="28" w:type="dxa"/>
          <w:right w:w="28" w:type="dxa"/>
        </w:tblCellMar>
      </w:tblPr>
      <w:tblGrid>
        <w:gridCol w:w="517"/>
        <w:gridCol w:w="454"/>
        <w:gridCol w:w="455"/>
        <w:gridCol w:w="109"/>
        <w:gridCol w:w="109"/>
        <w:gridCol w:w="109"/>
        <w:gridCol w:w="226"/>
        <w:gridCol w:w="1126"/>
        <w:gridCol w:w="271"/>
        <w:gridCol w:w="109"/>
        <w:gridCol w:w="109"/>
        <w:gridCol w:w="109"/>
        <w:gridCol w:w="226"/>
        <w:gridCol w:w="1126"/>
        <w:gridCol w:w="271"/>
        <w:gridCol w:w="109"/>
        <w:gridCol w:w="109"/>
        <w:gridCol w:w="109"/>
        <w:gridCol w:w="226"/>
        <w:gridCol w:w="1126"/>
        <w:gridCol w:w="271"/>
        <w:gridCol w:w="109"/>
        <w:gridCol w:w="109"/>
        <w:gridCol w:w="109"/>
        <w:gridCol w:w="226"/>
        <w:gridCol w:w="1126"/>
        <w:gridCol w:w="271"/>
        <w:gridCol w:w="109"/>
        <w:gridCol w:w="109"/>
        <w:gridCol w:w="109"/>
        <w:gridCol w:w="226"/>
        <w:gridCol w:w="1126"/>
        <w:gridCol w:w="271"/>
        <w:gridCol w:w="109"/>
        <w:gridCol w:w="109"/>
        <w:gridCol w:w="109"/>
        <w:gridCol w:w="109"/>
        <w:gridCol w:w="109"/>
        <w:gridCol w:w="246"/>
        <w:gridCol w:w="246"/>
        <w:gridCol w:w="349"/>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336" w:type="dxa"/>
            <w:gridSpan w:val="14"/>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Second Quarter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First Quarter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Fourth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Third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Second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over Year Change Q2'26 vs Q2'25</w:t>
            </w:r>
          </w:p>
        </w:tc>
      </w:tr>
      <w:tr>
        <w:trPr/>
        <w:tc>
          <w:tcPr>
            <w:tcW w:w="14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Operating performance: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175,995 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165,798 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172,113 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163,306 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150,392 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17%</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54,122 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48,206 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52,138 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48,749 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46,331 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17%</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121,873 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117,592 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119,975 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114,557 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104,061 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17%</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Open Sans;sans-serif" w:hAnsi="Open Sans;sans-serif"/>
                <w:b w:val="false"/>
                <w:i/>
                <w:color w:val="000000"/>
                <w:sz w:val="18"/>
              </w:rPr>
              <w:t>ppts</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78,262 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78,018 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88,089 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84,871 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81,409 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(4%)</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18,393 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18,090 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16,942 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14%</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9,696 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8,854 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8,160 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7,019 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46%</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5,620 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33%</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73%</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(36%)</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8,624 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3,352 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34%</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118,237 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115,498 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128,269 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124,927 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113,289 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4%</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(8,294)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(10,370)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(9,228)</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nm</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5,933 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6,557 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7,244 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8,787 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(50%)</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Income (Loss)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8,072 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8,027 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(1,737)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(3,126)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nm</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nm</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7,834 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(1,394)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(3,624)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nm</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 xml:space="preserve">Income (Loss) per share - basic </w:t>
            </w:r>
            <w:r>
              <w:rPr>
                <w:rFonts w:ascii="Open Sans;sans-serif" w:hAnsi="Open Sans;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(0.03)</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nm</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Income (Loss) per share - diluted</w:t>
            </w:r>
            <w:r>
              <w:rPr>
                <w:rFonts w:ascii="Open Sans;sans-serif" w:hAnsi="Open Sans;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nm</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TPV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120,423 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112,360 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108,694 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97,962 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91,386 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32%</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37,420 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33,338 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30,310 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28,509 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31%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20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18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18"/>
              </w:rPr>
            </w:pPr>
            <w:r>
              <w:rPr>
                <w:rFonts w:ascii="Open Sans;sans-serif" w:hAnsi="Open Sans;sans-serif"/>
                <w:b w:val="false"/>
                <w:i/>
                <w:color w:val="000000"/>
                <w:sz w:val="18"/>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8"/>
              </w:rPr>
            </w:pPr>
            <w:r>
              <w:rPr>
                <w:rFonts w:ascii="Open Sans;sans-serif" w:hAnsi="Open Sans;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i/>
                <w:color w:val="000000"/>
                <w:sz w:val="18"/>
              </w:rPr>
            </w:pPr>
            <w:r>
              <w:rPr>
                <w:rFonts w:ascii="Open Sans;sans-serif" w:hAnsi="Open Sans;sans-serif"/>
                <w:b w:val="false"/>
                <w:i/>
                <w:color w:val="000000"/>
                <w:sz w:val="18"/>
              </w:rPr>
              <w:t>2 ppts</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Financial condition: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691,418 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674,790 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709,443 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747,248 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732,722 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(6%)</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 xml:space="preserve">Restricted cash </w:t>
            </w:r>
            <w:r>
              <w:rPr>
                <w:rFonts w:ascii="Open Sans;sans-serif" w:hAnsi="Open Sans;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262,648 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281,292 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308,488 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235,413 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8,500 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nm</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9,478 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37,267 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62,483 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83,212 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88,865 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(89%)</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1,392,226 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1,476,713 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1,525,033 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1,488,430 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1,214,590 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15%</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676,669 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734,431 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763,076 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649,201 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371,157 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82%</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715,557 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742,282 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761,957 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839,229 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843,433 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(15%)</w:t>
            </w:r>
          </w:p>
        </w:tc>
      </w:tr>
    </w:tbl>
    <w:p>
      <w:pPr>
        <w:pStyle w:val="TextBody"/>
        <w:bidi w:val="0"/>
        <w:spacing w:lineRule="auto" w:line="288" w:before="40" w:after="283"/>
        <w:jc w:val="left"/>
        <w:rPr/>
      </w:pPr>
      <w:r>
        <w:rPr>
          <w:rFonts w:ascii="Open Sans;sans-serif" w:hAnsi="Open Sans;sans-serif"/>
          <w:b w:val="false"/>
          <w:color w:val="000000"/>
          <w:sz w:val="12"/>
        </w:rPr>
        <w:t xml:space="preserve">(1) </w:t>
      </w:r>
      <w:r>
        <w:rPr>
          <w:rFonts w:ascii="Open Sans;sans-serif" w:hAnsi="Open Sans;sans-serif"/>
          <w:b w:val="false"/>
          <w:color w:val="000000"/>
          <w:sz w:val="16"/>
        </w:rPr>
        <w:t xml:space="preserve">Restricted cash as of June 30, 2026, March 31, 2026, and December 31, 2025, consists primarily of customer funds held by TransactPay in segregated accounts in connection with its program management activities for card and e-money wallet programs amounting to $260.4 million, $280.3 million and $306.9 million, respectively. </w:t>
      </w:r>
    </w:p>
    <w:p>
      <w:pPr>
        <w:pStyle w:val="TextBody"/>
        <w:bidi w:val="0"/>
        <w:spacing w:lineRule="auto" w:line="288" w:before="40" w:after="283"/>
        <w:jc w:val="left"/>
        <w:rPr/>
      </w:pPr>
      <w:r>
        <w:rPr>
          <w:rFonts w:ascii="Open Sans;sans-serif" w:hAnsi="Open Sans;sans-serif"/>
          <w:b w:val="false"/>
          <w:color w:val="000000"/>
          <w:sz w:val="12"/>
        </w:rPr>
        <w:t>(2)</w:t>
      </w:r>
      <w:r>
        <w:rPr>
          <w:color w:val="000000"/>
        </w:rPr>
        <w:t xml:space="preserve"> </w:t>
      </w:r>
      <w:r>
        <w:rPr>
          <w:rFonts w:ascii="Open Sans;sans-serif" w:hAnsi="Open Sans;sans-serif"/>
          <w:b w:val="false"/>
          <w:color w:val="000000"/>
          <w:sz w:val="16"/>
        </w:rPr>
        <w:t xml:space="preserve">Reflects the one-for-four reverse stock split that was effective June 30, 2026, which has been applied retrospectively to all periods presented. </w:t>
      </w:r>
    </w:p>
    <w:p>
      <w:pPr>
        <w:pStyle w:val="TextBody"/>
        <w:bidi w:val="0"/>
        <w:spacing w:lineRule="auto" w:line="288" w:before="40" w:after="283"/>
        <w:jc w:val="left"/>
        <w:rPr>
          <w:rFonts w:ascii="Open Sans;sans-serif" w:hAnsi="Open Sans;sans-serif"/>
          <w:b w:val="false"/>
          <w:color w:val="000000"/>
          <w:sz w:val="16"/>
        </w:rPr>
      </w:pPr>
      <w:r>
        <w:rPr>
          <w:rFonts w:ascii="Open Sans;sans-serif" w:hAnsi="Open Sans;sans-serif"/>
          <w:b w:val="false"/>
          <w:color w:val="000000"/>
          <w:sz w:val="16"/>
        </w:rPr>
        <w:t>ppts = percentage points</w:t>
      </w:r>
    </w:p>
    <w:p>
      <w:pPr>
        <w:pStyle w:val="TextBody"/>
        <w:bidi w:val="0"/>
        <w:spacing w:lineRule="auto" w:line="288" w:before="40" w:after="283"/>
        <w:jc w:val="left"/>
        <w:rPr>
          <w:rFonts w:ascii="Open Sans;sans-serif" w:hAnsi="Open Sans;sans-serif"/>
          <w:b w:val="false"/>
          <w:color w:val="000000"/>
          <w:sz w:val="16"/>
        </w:rPr>
      </w:pPr>
      <w:r>
        <w:rPr>
          <w:rFonts w:ascii="Open Sans;sans-serif" w:hAnsi="Open Sans;sans-serif"/>
          <w:b w:val="false"/>
          <w:color w:val="000000"/>
          <w:sz w:val="16"/>
        </w:rPr>
        <w:t>nm - not meaningful</w:t>
      </w:r>
    </w:p>
    <w:p>
      <w:pPr>
        <w:pStyle w:val="TextBody"/>
        <w:bidi w:val="0"/>
        <w:spacing w:before="40" w:after="283"/>
        <w:jc w:val="left"/>
        <w:rPr/>
      </w:pPr>
      <w:r>
        <w:rPr/>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8110"/>
                <wp:effectExtent l="0" t="0" r="0" b="0"/>
                <wp:wrapNone/>
                <wp:docPr id="14" name="Frame13"/>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9</w:t>
                      </w:r>
                    </w:p>
                  </w:txbxContent>
                </v:textbox>
                <w10:wrap type="none"/>
              </v:rect>
            </w:pict>
          </mc:Fallback>
        </mc:AlternateConten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Reconciliation of GAAP to NON-GAAP Measures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(in thousands)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(unaudited)</w:t>
      </w:r>
    </w:p>
    <w:p>
      <w:pPr>
        <w:pStyle w:val="TextBody"/>
        <w:bidi w:val="0"/>
        <w:spacing w:lineRule="auto" w:line="288" w:before="300" w:after="283"/>
        <w:jc w:val="both"/>
        <w:rPr>
          <w:rFonts w:ascii="Open Sans;sans-serif" w:hAnsi="Open Sans;sans-serif"/>
          <w:b/>
          <w:i/>
          <w:color w:val="000000"/>
          <w:sz w:val="20"/>
        </w:rPr>
      </w:pPr>
      <w:r>
        <w:rPr>
          <w:rFonts w:ascii="Open Sans;sans-serif" w:hAnsi="Open Sans;sans-serif"/>
          <w:b/>
          <w:i/>
          <w:color w:val="000000"/>
          <w:sz w:val="20"/>
        </w:rPr>
        <w:t>Information Regarding Non-GAAP Measures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addition to the financial measures prepared in accordance with generally accepted accounting principles in the United States (“GAAP”), this press release contains certain non-GAAP financial measures. Marqeta considers Adjusted EBITDA, Adjusted EBITDA Growth, Adjusted EBITDA Margin, Adjusted EBITDA Margin based on Gross Profit, Net Income (Loss) Margin based on Gross Profit, and Adjusted operating expenses as supplemental measures of the Company’s performance that are not required by, nor presented in accordance with GAAP.</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define Adjusted EBITDA as net income (loss) adjusted, as applicable, to exclude depreciation and amortization; share-based compensation expense; payroll tax related to share-based compensation; restructuring and other one-time costs; non-recurring litigation expense; acquisition-related expenses which consist of due diligence costs, transaction costs and integration costs related to potential or successful acquisitions, and cash and non-cash postcombination compensation expenses; income tax expense (benefit); and other income (expense), net, which primarily consists of interest income from our short-term investments and cash deposits, and realized foreign currency gains and losses.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our annual employee bonus plans and performance-based restricted stock units.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Adjusted EBITDA Margin is calculated as Adjusted EBITDA divided by net revenue. Adjusted EBITDA Margin based on Gross Profit is calculated as Adjusted EBITDA divided by Gross Profit, and Net Income (Loss) Margin based on Gross Profit is calculated as Net Income (Loss) divided by Gross Profit. Adjusted EBITDA growth represents the year-over-year percentage change in Adjusted EBITDA. These measures are used by management and our board of directors to evaluate our operating efficiency.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define Adjusted operating expenses as total operating expenses adjusted, as applicable, to exclude depreciation and amortization; share-based compensation expense; payroll tax related to share-based compensation; restructuring and other one-time costs; non-recurring litigation expense; and acquisition-related expenses which consist of due diligence costs, transaction costs and integration costs related to potential or successful acquisitions, and cash and non-cash postcombination compensation expenses. We believe that Adjusted operating expenses is an important measure of operating performance because it allows management and our board of directors to evaluate and compare our core operating results, including our operating efficiencies, from period to period.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Adjusted EBITDA, Adjusted EBITDA Growth, Adjusted EBITDA Margin, Adjusted EBITDA Margin based on Gross Profit, Net Income (Loss) Margin based on Gross Profit, and Adjusted operating expenses should not be considered in isolation, or construed as an alternative to net loss, or any other performance measures derived in accordance with GAAP, or as an alternative to cash flow from operating activities or as a measure of the Company's liquidity. In addition, other companies may calculate Adjusted EBITDA differently than Marqeta does, which limits its usefulness in comparing Marqeta’s financial results with those of other companies.</w:t>
      </w:r>
    </w:p>
    <w:p>
      <w:pPr>
        <w:pStyle w:val="TextBody"/>
        <w:bidi w:val="0"/>
        <w:spacing w:before="12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8110"/>
                <wp:effectExtent l="0" t="0" r="0" b="0"/>
                <wp:wrapNone/>
                <wp:docPr id="15" name="Frame1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10</w:t>
                      </w:r>
                    </w:p>
                  </w:txbxContent>
                </v:textbox>
                <w10:wrap type="none"/>
              </v:rect>
            </w:pict>
          </mc:Fallback>
        </mc:AlternateContent>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The following table shows Marqeta's GAAP results reconciled to non-GAAP results included in this release:</w:t>
      </w:r>
    </w:p>
    <w:tbl>
      <w:tblPr>
        <w:tblW w:w="10205" w:type="dxa"/>
        <w:jc w:val="left"/>
        <w:tblInd w:w="0" w:type="dxa"/>
        <w:tblLayout w:type="fixed"/>
        <w:tblCellMar>
          <w:top w:w="28" w:type="dxa"/>
          <w:left w:w="28" w:type="dxa"/>
          <w:bottom w:w="28" w:type="dxa"/>
          <w:right w:w="28" w:type="dxa"/>
        </w:tblCellMar>
      </w:tblPr>
      <w:tblGrid>
        <w:gridCol w:w="1514"/>
        <w:gridCol w:w="872"/>
        <w:gridCol w:w="875"/>
        <w:gridCol w:w="226"/>
        <w:gridCol w:w="961"/>
        <w:gridCol w:w="286"/>
        <w:gridCol w:w="109"/>
        <w:gridCol w:w="109"/>
        <w:gridCol w:w="109"/>
        <w:gridCol w:w="226"/>
        <w:gridCol w:w="961"/>
        <w:gridCol w:w="286"/>
        <w:gridCol w:w="109"/>
        <w:gridCol w:w="109"/>
        <w:gridCol w:w="109"/>
        <w:gridCol w:w="226"/>
        <w:gridCol w:w="961"/>
        <w:gridCol w:w="286"/>
        <w:gridCol w:w="109"/>
        <w:gridCol w:w="109"/>
        <w:gridCol w:w="109"/>
        <w:gridCol w:w="226"/>
        <w:gridCol w:w="961"/>
        <w:gridCol w:w="357"/>
      </w:tblGrid>
      <w:tr>
        <w:trPr/>
        <w:tc>
          <w:tcPr>
            <w:tcW w:w="15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Six Months Ended June 30,</w:t>
            </w:r>
          </w:p>
        </w:tc>
      </w:tr>
      <w:tr>
        <w:trPr/>
        <w:tc>
          <w:tcPr>
            <w:tcW w:w="3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2025</w:t>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GAAP Net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175,995 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150,392 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341,793 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289,465 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GAAP Gross Profit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121,873 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104,061 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239,465 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202,740 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GAAP Net Income (Loss)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15,401 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(8,907)</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GAAP Net Income (Loss) Margin - % of Net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GAAP Net Income (Loss) Margin - % of Gross Profit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 xml:space="preserve">GAAP Total Operating Expenses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118,237 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113,289 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233,735 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230,506 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8"/>
              </w:rPr>
              <w:t>7,567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8"/>
              </w:rPr>
            </w:pPr>
            <w:r>
              <w:rPr>
                <w:rFonts w:ascii="Open Sans;sans-serif" w:hAnsi="Open Sans;sans-serif"/>
                <w:b/>
                <w:color w:val="000000"/>
                <w:sz w:val="18"/>
              </w:rPr>
              <w:t>(647)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8"/>
              </w:rPr>
              <w:t>15,401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000000"/>
                <w:sz w:val="18"/>
              </w:rPr>
            </w:pPr>
            <w:r>
              <w:rPr>
                <w:rFonts w:ascii="Open Sans;sans-serif" w:hAnsi="Open Sans;sans-serif"/>
                <w:b/>
                <w:color w:val="000000"/>
                <w:sz w:val="18"/>
              </w:rPr>
              <w:t>(8,907)</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Share-based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22,356 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27,070 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42,373 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52,985 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9,696 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6,653 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18,550 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11,984 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Restructuring and other one-time costs</w:t>
            </w:r>
            <w:r>
              <w:rPr>
                <w:rFonts w:ascii="Open Sans;sans-serif" w:hAnsi="Open Sans;sans-serif"/>
                <w:b w:val="false"/>
                <w:color w:val="000000"/>
                <w:sz w:val="12"/>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4,332 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Payroll tax expense related to share-based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1,567 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Acquisition-related expenses</w:t>
            </w:r>
            <w:r>
              <w:rPr>
                <w:rFonts w:ascii="Open Sans;sans-serif" w:hAnsi="Open Sans;sans-serif"/>
                <w:b w:val="false"/>
                <w:color w:val="000000"/>
                <w:sz w:val="12"/>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5,488 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(8,787)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(10,369)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(19,300)</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441 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Adjusted EBITDA</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8"/>
              </w:rPr>
              <w:t>37,420</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8"/>
              </w:rPr>
              <w:t>28,509</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8"/>
              </w:rPr>
              <w:t>70,757</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8"/>
              </w:rPr>
              <w:t>48,590</w:t>
            </w:r>
            <w:r>
              <w:rPr>
                <w:color w:val="000000"/>
              </w:rPr>
              <w:t>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18"/>
              </w:rPr>
            </w:pPr>
            <w:r>
              <w:rPr>
                <w:rFonts w:ascii="Open Sans;sans-serif" w:hAnsi="Open Sans;sans-serif"/>
                <w:b/>
                <w:i/>
                <w:color w:val="000000"/>
                <w:sz w:val="18"/>
              </w:rPr>
              <w:t>Adjusted EBITDA Margin - % of Net Revenue</w:t>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i/>
                <w:color w:val="000000"/>
                <w:sz w:val="18"/>
              </w:rPr>
            </w:pPr>
            <w:r>
              <w:rPr>
                <w:rFonts w:ascii="Open Sans;sans-serif" w:hAnsi="Open Sans;sans-serif"/>
                <w:b/>
                <w:i/>
                <w:color w:val="000000"/>
                <w:sz w:val="18"/>
              </w:rPr>
              <w:t>21</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18"/>
              </w:rPr>
            </w:pPr>
            <w:r>
              <w:rPr>
                <w:rFonts w:ascii="Open Sans;sans-serif" w:hAnsi="Open Sans;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i/>
                <w:color w:val="000000"/>
                <w:sz w:val="18"/>
              </w:rPr>
            </w:pPr>
            <w:r>
              <w:rPr>
                <w:rFonts w:ascii="Open Sans;sans-serif" w:hAnsi="Open Sans;sans-serif"/>
                <w:b/>
                <w:i/>
                <w:color w:val="000000"/>
                <w:sz w:val="18"/>
              </w:rPr>
              <w:t>19</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18"/>
              </w:rPr>
            </w:pPr>
            <w:r>
              <w:rPr>
                <w:rFonts w:ascii="Open Sans;sans-serif" w:hAnsi="Open Sans;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i/>
                <w:color w:val="000000"/>
                <w:sz w:val="18"/>
              </w:rPr>
            </w:pPr>
            <w:r>
              <w:rPr>
                <w:rFonts w:ascii="Open Sans;sans-serif" w:hAnsi="Open Sans;sans-serif"/>
                <w:b/>
                <w:i/>
                <w:color w:val="000000"/>
                <w:sz w:val="18"/>
              </w:rPr>
              <w:t>21</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18"/>
              </w:rPr>
            </w:pPr>
            <w:r>
              <w:rPr>
                <w:rFonts w:ascii="Open Sans;sans-serif" w:hAnsi="Open Sans;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i/>
                <w:color w:val="000000"/>
                <w:sz w:val="18"/>
              </w:rPr>
            </w:pPr>
            <w:r>
              <w:rPr>
                <w:rFonts w:ascii="Open Sans;sans-serif" w:hAnsi="Open Sans;sans-serif"/>
                <w:b/>
                <w:i/>
                <w:color w:val="000000"/>
                <w:sz w:val="18"/>
              </w:rPr>
              <w:t>17</w:t>
            </w:r>
          </w:p>
        </w:tc>
        <w:tc>
          <w:tcPr>
            <w:tcW w:w="3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18"/>
              </w:rPr>
            </w:pPr>
            <w:r>
              <w:rPr>
                <w:rFonts w:ascii="Open Sans;sans-serif" w:hAnsi="Open Sans;sans-serif"/>
                <w:b/>
                <w:i/>
                <w:color w:val="000000"/>
                <w:sz w:val="18"/>
              </w:rPr>
              <w:t>%</w:t>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18"/>
              </w:rPr>
            </w:pPr>
            <w:r>
              <w:rPr>
                <w:rFonts w:ascii="Open Sans;sans-serif" w:hAnsi="Open Sans;sans-serif"/>
                <w:b/>
                <w:i/>
                <w:color w:val="000000"/>
                <w:sz w:val="18"/>
              </w:rPr>
              <w:t>Adjusted EBITDA Margin - % of Gross Profit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i/>
                <w:color w:val="000000"/>
                <w:sz w:val="18"/>
              </w:rPr>
            </w:pPr>
            <w:r>
              <w:rPr>
                <w:rFonts w:ascii="Open Sans;sans-serif" w:hAnsi="Open Sans;sans-serif"/>
                <w:b/>
                <w:i/>
                <w:color w:val="000000"/>
                <w:sz w:val="18"/>
              </w:rPr>
              <w:t>31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18"/>
              </w:rPr>
            </w:pPr>
            <w:r>
              <w:rPr>
                <w:rFonts w:ascii="Open Sans;sans-serif" w:hAnsi="Open Sans;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i/>
                <w:color w:val="000000"/>
                <w:sz w:val="18"/>
              </w:rPr>
            </w:pPr>
            <w:r>
              <w:rPr>
                <w:rFonts w:ascii="Open Sans;sans-serif" w:hAnsi="Open Sans;sans-serif"/>
                <w:b/>
                <w:i/>
                <w:color w:val="000000"/>
                <w:sz w:val="18"/>
              </w:rPr>
              <w:t>27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18"/>
              </w:rPr>
            </w:pPr>
            <w:r>
              <w:rPr>
                <w:rFonts w:ascii="Open Sans;sans-serif" w:hAnsi="Open Sans;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i/>
                <w:color w:val="000000"/>
                <w:sz w:val="18"/>
              </w:rPr>
            </w:pPr>
            <w:r>
              <w:rPr>
                <w:rFonts w:ascii="Open Sans;sans-serif" w:hAnsi="Open Sans;sans-serif"/>
                <w:b/>
                <w:i/>
                <w:color w:val="000000"/>
                <w:sz w:val="18"/>
              </w:rPr>
              <w:t>30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18"/>
              </w:rPr>
            </w:pPr>
            <w:r>
              <w:rPr>
                <w:rFonts w:ascii="Open Sans;sans-serif" w:hAnsi="Open Sans;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i/>
                <w:color w:val="000000"/>
                <w:sz w:val="18"/>
              </w:rPr>
            </w:pPr>
            <w:r>
              <w:rPr>
                <w:rFonts w:ascii="Open Sans;sans-serif" w:hAnsi="Open Sans;sans-serif"/>
                <w:b/>
                <w:i/>
                <w:color w:val="000000"/>
                <w:sz w:val="18"/>
              </w:rPr>
              <w:t>24</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18"/>
              </w:rPr>
            </w:pPr>
            <w:r>
              <w:rPr>
                <w:rFonts w:ascii="Open Sans;sans-serif" w:hAnsi="Open Sans;sans-serif"/>
                <w:b/>
                <w:i/>
                <w:color w:val="000000"/>
                <w:sz w:val="18"/>
              </w:rPr>
              <w:t>%</w:t>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GAAP Total Operating Expenses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8"/>
              </w:rPr>
              <w:t>118,237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8"/>
              </w:rPr>
              <w:t>113,289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8"/>
              </w:rPr>
              <w:t>233,735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8"/>
              </w:rPr>
              <w:t>230,506</w:t>
            </w: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Share-based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(22,356)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(27,070)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(42,373)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(52,985)</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(9,696)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(6,653)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(18,550)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(11,984)</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Restructuring and other one-time costs</w:t>
            </w:r>
            <w:r>
              <w:rPr>
                <w:rFonts w:ascii="Open Sans;sans-serif" w:hAnsi="Open Sans;sans-serif"/>
                <w:b w:val="false"/>
                <w:color w:val="000000"/>
                <w:sz w:val="12"/>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(708)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(1,974)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(1,549)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(4,332)</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Payroll tax expense related to share-based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(791)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(1,567)</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Acquisition-related expenses</w:t>
            </w:r>
            <w:r>
              <w:rPr>
                <w:rFonts w:ascii="Open Sans;sans-serif" w:hAnsi="Open Sans;sans-serif"/>
                <w:b w:val="false"/>
                <w:color w:val="000000"/>
                <w:sz w:val="12"/>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(380)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(1,249)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(1,091)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(5,488)</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1"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Adjusted Operating Expenses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8"/>
              </w:rPr>
              <w:t>84,453</w:t>
            </w:r>
            <w:r>
              <w:rPr>
                <w:color w:val="000000"/>
              </w:rPr>
              <w:t>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8"/>
              </w:rPr>
              <w:t>75,552</w:t>
            </w:r>
            <w:r>
              <w:rPr>
                <w:color w:val="000000"/>
              </w:rPr>
              <w:t>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8"/>
              </w:rPr>
              <w:t>168,708</w:t>
            </w:r>
            <w:r>
              <w:rPr>
                <w:color w:val="000000"/>
              </w:rPr>
              <w:t>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8"/>
              </w:rPr>
              <w:t>154,150</w:t>
            </w:r>
            <w:r>
              <w:rPr>
                <w:color w:val="000000"/>
              </w:rPr>
              <w:t> </w:t>
            </w:r>
          </w:p>
        </w:tc>
        <w:tc>
          <w:tcPr>
            <w:tcW w:w="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(1) Restructuring and other one-time costs include the costs related to the CEO transition and one-time retention bonuses provided to other key employees. These bonuses have service requirements and are expensed over the requisite service period.</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(2) Acquisition-related expenses, including transaction costs, integration costs, and cash and non-cash postcombination compensation expenses, are excluded from Adjusted EBITDA. These expenses are specific to a discrete transaction and do not reflect our ongoing core operations or the recurring expenses required to sustain and operate our business.</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A reconciliation of Adjusted EBITDA Growth to the comparable GAAP measure for the third quarter and full year of 2026 is not available due to the challenges and impracticability with estimating some of the items as such items cannot be reasonably predicted and could be significant. Because of those challenges, reconciliations of such forward-looking non-GAAP financial measures are not available without unreasonable effort.</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8110"/>
                <wp:effectExtent l="0" t="0" r="0" b="0"/>
                <wp:wrapNone/>
                <wp:docPr id="16" name="Frame1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i/>
                          <w:color w:val="000000"/>
                          <w:sz w:val="16"/>
                        </w:rPr>
                      </w:pPr>
                      <w:r>
                        <w:rPr>
                          <w:rFonts w:ascii="Open Sans;sans-serif" w:hAnsi="Open Sans;sans-serif"/>
                          <w:b/>
                          <w:i/>
                          <w:color w:val="000000"/>
                          <w:sz w:val="16"/>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5150</Words>
  <Characters>28985</Characters>
  <CharactersWithSpaces>33475</CharactersWithSpaces>
  <Paragraphs>1079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