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6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-228600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4"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-570230</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19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-616585</wp:posOffset>
            </wp:positionV>
            <wp:extent cx="57785" cy="6299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920"/>
                    </a:xfrm>
                    <a:prstGeom prst="rect">
                      <a:avLst/>
                    </a:prstGeom>
                    <a:noFill/>
                  </pic:spPr>
                </pic:pic>
              </a:graphicData>
            </a:graphic>
          </wp:anchor>
        </w:drawing>
        <w:drawing>
          <wp:anchor simplePos="0" relativeHeight="251657728" behindDoc="1" locked="0" layoutInCell="0" allowOverlap="1">
            <wp:simplePos x="0" y="0"/>
            <wp:positionH relativeFrom="column">
              <wp:posOffset>3949065</wp:posOffset>
            </wp:positionH>
            <wp:positionV relativeFrom="paragraph">
              <wp:posOffset>-616585</wp:posOffset>
            </wp:positionV>
            <wp:extent cx="57785" cy="629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92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730250</wp:posOffset>
            </wp:positionV>
            <wp:extent cx="6995795" cy="4973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795" cy="4973320"/>
                    </a:xfrm>
                    <a:prstGeom prst="rect">
                      <a:avLst/>
                    </a:prstGeom>
                    <a:noFill/>
                  </pic:spPr>
                </pic:pic>
              </a:graphicData>
            </a:graphic>
          </wp:anchor>
        </w:drawing>
      </w:r>
    </w:p>
    <w:p>
      <w:pPr>
        <w:spacing w:after="0" w:line="1157" w:lineRule="exact"/>
        <w:rPr>
          <w:sz w:val="24"/>
          <w:szCs w:val="24"/>
          <w:color w:val="auto"/>
        </w:rPr>
      </w:pPr>
    </w:p>
    <w:p>
      <w:pPr>
        <w:sectPr>
          <w:pgSz w:w="11900" w:h="16838" w:orient="portrait"/>
          <w:cols w:equalWidth="0" w:num="2">
            <w:col w:w="2280" w:space="34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44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Atkinson Najuma</w:t>
              </w:r>
            </w:hyperlink>
          </w:p>
        </w:tc>
        <w:tc>
          <w:tcPr>
            <w:tcW w:w="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Marqeta,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MQ</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bottom w:val="single" w:sz="8" w:color="0000EE"/>
            </w:tcBorders>
          </w:tcPr>
          <w:p>
            <w:pPr>
              <w:spacing w:after="0"/>
              <w:rPr>
                <w:sz w:val="5"/>
                <w:szCs w:val="5"/>
                <w:color w:val="auto"/>
              </w:rPr>
            </w:pPr>
          </w:p>
        </w:tc>
        <w:tc>
          <w:tcPr>
            <w:tcW w:w="268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440" w:type="dxa"/>
            <w:vAlign w:val="bottom"/>
            <w:tcBorders>
              <w:bottom w:val="single" w:sz="8" w:color="0000EE"/>
            </w:tcBorders>
            <w:gridSpan w:val="2"/>
            <w:vMerge w:val="continue"/>
          </w:tcPr>
          <w:p>
            <w:pPr>
              <w:spacing w:after="0"/>
              <w:rPr>
                <w:sz w:val="5"/>
                <w:szCs w:val="5"/>
                <w:color w:val="auto"/>
              </w:rPr>
            </w:pPr>
          </w:p>
        </w:tc>
        <w:tc>
          <w:tcPr>
            <w:tcW w:w="98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68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440" w:type="dxa"/>
            <w:vAlign w:val="bottom"/>
            <w:gridSpan w:val="2"/>
          </w:tcPr>
          <w:p>
            <w:pPr>
              <w:spacing w:after="0"/>
              <w:rPr>
                <w:sz w:val="6"/>
                <w:szCs w:val="6"/>
                <w:color w:val="auto"/>
              </w:rPr>
            </w:pPr>
          </w:p>
        </w:tc>
        <w:tc>
          <w:tcPr>
            <w:tcW w:w="98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68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0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40" w:type="dxa"/>
            <w:vAlign w:val="bottom"/>
            <w:tcBorders>
              <w:top w:val="single" w:sz="8" w:color="EEEEEE"/>
            </w:tcBorders>
          </w:tcPr>
          <w:p>
            <w:pPr>
              <w:spacing w:after="0" w:line="20" w:lineRule="exact"/>
              <w:rPr>
                <w:sz w:val="1"/>
                <w:szCs w:val="1"/>
                <w:color w:val="auto"/>
              </w:rPr>
            </w:pPr>
          </w:p>
        </w:tc>
        <w:tc>
          <w:tcPr>
            <w:tcW w:w="400" w:type="dxa"/>
            <w:vAlign w:val="bottom"/>
            <w:tcBorders>
              <w:top w:val="single" w:sz="8" w:color="EEEEEE"/>
            </w:tcBorders>
          </w:tcPr>
          <w:p>
            <w:pPr>
              <w:spacing w:after="0" w:line="20" w:lineRule="exact"/>
              <w:rPr>
                <w:sz w:val="1"/>
                <w:szCs w:val="1"/>
                <w:color w:val="auto"/>
              </w:rPr>
            </w:pPr>
          </w:p>
        </w:tc>
        <w:tc>
          <w:tcPr>
            <w:tcW w:w="98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line="149"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4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vMerge w:val="restart"/>
          </w:tcPr>
          <w:p>
            <w:pPr>
              <w:ind w:left="18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vMerge w:val="continue"/>
          </w:tcPr>
          <w:p>
            <w:pPr>
              <w:spacing w:after="0"/>
              <w:rPr>
                <w:sz w:val="7"/>
                <w:szCs w:val="7"/>
                <w:color w:val="auto"/>
              </w:rPr>
            </w:pPr>
          </w:p>
        </w:tc>
        <w:tc>
          <w:tcPr>
            <w:tcW w:w="138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6"/>
                <w:szCs w:val="16"/>
                <w:color w:val="0000FF"/>
              </w:rPr>
              <w:t>06/10/2026</w:t>
            </w:r>
          </w:p>
        </w:tc>
        <w:tc>
          <w:tcPr>
            <w:tcW w:w="268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color w:val="0000FF"/>
              </w:rPr>
              <w:t>180 GRAND AVENUE</w:t>
            </w:r>
          </w:p>
        </w:tc>
        <w:tc>
          <w:tcPr>
            <w:tcW w:w="122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268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0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rPr>
              <w:t>6TH FLOOR</w:t>
            </w: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80" w:type="dxa"/>
            <w:vAlign w:val="bottom"/>
            <w:tcBorders>
              <w:bottom w:val="single" w:sz="8" w:color="2C2C2C"/>
            </w:tcBorders>
          </w:tcPr>
          <w:p>
            <w:pPr>
              <w:spacing w:after="0"/>
              <w:rPr>
                <w:sz w:val="11"/>
                <w:szCs w:val="11"/>
                <w:color w:val="auto"/>
              </w:rPr>
            </w:pPr>
          </w:p>
        </w:tc>
        <w:tc>
          <w:tcPr>
            <w:tcW w:w="268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4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OAKLAND</w:t>
            </w:r>
          </w:p>
        </w:tc>
        <w:tc>
          <w:tcPr>
            <w:tcW w:w="1000" w:type="dxa"/>
            <w:vAlign w:val="bottom"/>
          </w:tcPr>
          <w:p>
            <w:pPr>
              <w:ind w:left="20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94612</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2"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40"/>
              <w:spacing w:after="0"/>
              <w:rPr>
                <w:sz w:val="20"/>
                <w:szCs w:val="20"/>
                <w:color w:val="auto"/>
              </w:rPr>
            </w:pPr>
            <w:r>
              <w:rPr>
                <w:rFonts w:ascii="Arial" w:cs="Arial" w:eastAsia="Arial" w:hAnsi="Arial"/>
                <w:sz w:val="11"/>
                <w:szCs w:val="11"/>
                <w:b w:val="1"/>
                <w:bCs w:val="1"/>
                <w:color w:val="auto"/>
              </w:rPr>
              <w:t>2. Transaction</w:t>
            </w: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gridSpan w:val="2"/>
          </w:tcPr>
          <w:p>
            <w:pPr>
              <w:ind w:left="84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ind w:left="1"/>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jc w:val="center"/>
              <w:ind w:left="695"/>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40" w:type="dxa"/>
            <w:vAlign w:val="bottom"/>
            <w:gridSpan w:val="3"/>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5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0"/>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40" w:type="dxa"/>
            <w:vAlign w:val="bottom"/>
            <w:tcBorders>
              <w:bottom w:val="single" w:sz="8" w:color="2C2C2C"/>
            </w:tcBorders>
            <w:gridSpan w:val="3"/>
          </w:tcPr>
          <w:p>
            <w:pPr>
              <w:jc w:val="center"/>
              <w:ind w:left="695"/>
              <w:spacing w:after="0"/>
              <w:rPr>
                <w:sz w:val="20"/>
                <w:szCs w:val="20"/>
                <w:color w:val="auto"/>
              </w:rPr>
            </w:pPr>
            <w:r>
              <w:rPr>
                <w:rFonts w:ascii="Times New Roman" w:cs="Times New Roman" w:eastAsia="Times New Roman" w:hAnsi="Times New Roman"/>
                <w:sz w:val="16"/>
                <w:szCs w:val="16"/>
                <w:color w:val="0000FF"/>
              </w:rPr>
              <w:t>06/10/2026</w:t>
            </w:r>
          </w:p>
        </w:tc>
        <w:tc>
          <w:tcPr>
            <w:tcW w:w="5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6"/>
                <w:szCs w:val="16"/>
                <w:color w:val="0000FF"/>
              </w:rPr>
              <w:t>36,297</w:t>
            </w:r>
          </w:p>
        </w:tc>
        <w:tc>
          <w:tcPr>
            <w:tcW w:w="64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520" w:type="dxa"/>
            <w:vAlign w:val="bottom"/>
            <w:tcBorders>
              <w:bottom w:val="single" w:sz="8" w:color="2C2C2C"/>
            </w:tcBorders>
          </w:tcPr>
          <w:p>
            <w:pPr>
              <w:jc w:val="right"/>
              <w:spacing w:after="0" w:line="304" w:lineRule="exact"/>
              <w:rPr>
                <w:sz w:val="20"/>
                <w:szCs w:val="20"/>
                <w:color w:val="auto"/>
              </w:rPr>
            </w:pPr>
            <w:r>
              <w:rPr>
                <w:rFonts w:ascii="Arial" w:cs="Arial" w:eastAsia="Arial" w:hAnsi="Arial"/>
                <w:sz w:val="32"/>
                <w:szCs w:val="32"/>
                <w:color w:val="000000"/>
                <w:vertAlign w:val="subscript"/>
              </w:rPr>
              <w:t>$</w:t>
            </w:r>
            <w:r>
              <w:rPr>
                <w:rFonts w:ascii="Times New Roman" w:cs="Times New Roman" w:eastAsia="Times New Roman" w:hAnsi="Times New Roman"/>
                <w:sz w:val="32"/>
                <w:szCs w:val="32"/>
                <w:color w:val="0000FF"/>
                <w:vertAlign w:val="subscript"/>
              </w:rPr>
              <w:t>0</w:t>
            </w: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220"/>
              <w:spacing w:after="0"/>
              <w:rPr>
                <w:sz w:val="20"/>
                <w:szCs w:val="20"/>
                <w:color w:val="auto"/>
              </w:rPr>
            </w:pPr>
            <w:r>
              <w:rPr>
                <w:rFonts w:ascii="Times New Roman" w:cs="Times New Roman" w:eastAsia="Times New Roman" w:hAnsi="Times New Roman"/>
                <w:sz w:val="16"/>
                <w:szCs w:val="16"/>
                <w:color w:val="0000FF"/>
              </w:rPr>
              <w:t>189,306.218</w:t>
            </w:r>
          </w:p>
        </w:tc>
        <w:tc>
          <w:tcPr>
            <w:tcW w:w="3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4.</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Transaction</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(Instr.</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w w:val="98"/>
              </w:rPr>
              <w:t>Securities</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8)</w:t>
            </w: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Disposed of</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4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2"/>
          </w:tcPr>
          <w:p>
            <w:pPr>
              <w:ind w:left="100"/>
              <w:spacing w:after="0"/>
              <w:rPr>
                <w:sz w:val="20"/>
                <w:szCs w:val="20"/>
                <w:color w:val="auto"/>
              </w:rPr>
            </w:pPr>
            <w:r>
              <w:rPr>
                <w:rFonts w:ascii="Arial" w:cs="Arial" w:eastAsia="Arial" w:hAnsi="Arial"/>
                <w:sz w:val="11"/>
                <w:szCs w:val="11"/>
                <w:b w:val="1"/>
                <w:bCs w:val="1"/>
                <w:color w:val="auto"/>
              </w:rPr>
              <w:t>(D) (Instr.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Pr>
          <w:p>
            <w:pPr>
              <w:spacing w:after="0"/>
              <w:rPr>
                <w:sz w:val="5"/>
                <w:szCs w:val="5"/>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1"/>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Code  V</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vMerge w:val="restart"/>
          </w:tcPr>
          <w:p>
            <w:pPr>
              <w:jc w:val="center"/>
              <w:ind w:right="32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4"/>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(3)</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36,297</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06/10/2026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50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36,297</w:t>
            </w: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62"/>
              <w:spacing w:after="0" w:line="140"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80" w:type="dxa"/>
            <w:vAlign w:val="bottom"/>
            <w:gridSpan w:val="2"/>
            <w:vMerge w:val="restart"/>
          </w:tcPr>
          <w:p>
            <w:pPr>
              <w:jc w:val="right"/>
              <w:ind w:right="304"/>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1"/>
                <w:szCs w:val="11"/>
                <w:color w:val="008000"/>
                <w:w w:val="93"/>
              </w:rPr>
              <w:t>(4)</w:t>
            </w:r>
          </w:p>
        </w:tc>
        <w:tc>
          <w:tcPr>
            <w:tcW w:w="640" w:type="dxa"/>
            <w:vAlign w:val="bottom"/>
          </w:tcPr>
          <w:p>
            <w:pPr>
              <w:jc w:val="center"/>
              <w:ind w:right="19"/>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52,219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80"/>
              <w:spacing w:after="0" w:line="140" w:lineRule="exact"/>
              <w:rPr>
                <w:sz w:val="20"/>
                <w:szCs w:val="20"/>
                <w:color w:val="auto"/>
              </w:rPr>
            </w:pPr>
            <w:r>
              <w:rPr>
                <w:rFonts w:ascii="Times New Roman" w:cs="Times New Roman" w:eastAsia="Times New Roman" w:hAnsi="Times New Roman"/>
                <w:sz w:val="13"/>
                <w:szCs w:val="13"/>
                <w:color w:val="0000FF"/>
              </w:rPr>
              <w:t>06/10/2026</w:t>
            </w:r>
          </w:p>
        </w:tc>
        <w:tc>
          <w:tcPr>
            <w:tcW w:w="1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40" w:type="dxa"/>
            <w:vAlign w:val="bottom"/>
          </w:tcPr>
          <w:p>
            <w:pPr>
              <w:jc w:val="center"/>
              <w:ind w:right="323"/>
              <w:spacing w:after="0" w:line="140" w:lineRule="exact"/>
              <w:rPr>
                <w:sz w:val="20"/>
                <w:szCs w:val="20"/>
                <w:color w:val="auto"/>
              </w:rPr>
            </w:pPr>
            <w:r>
              <w:rPr>
                <w:rFonts w:ascii="Times New Roman" w:cs="Times New Roman" w:eastAsia="Times New Roman" w:hAnsi="Times New Roman"/>
                <w:sz w:val="13"/>
                <w:szCs w:val="13"/>
                <w:color w:val="0000FF"/>
                <w:w w:val="84"/>
              </w:rPr>
              <w:t>A</w:t>
            </w:r>
          </w:p>
        </w:tc>
        <w:tc>
          <w:tcPr>
            <w:tcW w:w="5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0000FF"/>
              </w:rPr>
              <w:t>52,219</w:t>
            </w:r>
          </w:p>
        </w:tc>
        <w:tc>
          <w:tcPr>
            <w:tcW w:w="5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jc w:val="right"/>
              <w:ind w:right="223"/>
              <w:spacing w:after="0" w:line="140" w:lineRule="exact"/>
              <w:rPr>
                <w:sz w:val="20"/>
                <w:szCs w:val="20"/>
                <w:color w:val="auto"/>
              </w:rPr>
            </w:pPr>
            <w:r>
              <w:rPr>
                <w:rFonts w:ascii="Times New Roman" w:cs="Times New Roman" w:eastAsia="Times New Roman" w:hAnsi="Times New Roman"/>
                <w:sz w:val="13"/>
                <w:szCs w:val="13"/>
                <w:color w:val="0000FF"/>
              </w:rPr>
              <w:t>52,219</w:t>
            </w:r>
          </w:p>
        </w:tc>
        <w:tc>
          <w:tcPr>
            <w:tcW w:w="6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jc w:val="center"/>
              <w:ind w:right="39"/>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-2163445</wp:posOffset>
            </wp:positionV>
            <wp:extent cx="28575" cy="2169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6916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exempt from Section 16(b) of the Securities Exchange Act of 1934 (the "Act") pursuant to Rule 16b-6(b) promulgated under the Act.</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is convertible into one share of Class A Common Stock.</w:t>
      </w:r>
    </w:p>
    <w:p>
      <w:pPr>
        <w:spacing w:after="0" w:line="4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granted on June 12, 2025, the date of the Issuer's 2025 Annual Meeting of Stockholders, that vested in full on June 10, 2026, the date of the Issuer's 2026 Annual Meeting of Stockholders.</w:t>
      </w:r>
    </w:p>
    <w:p>
      <w:pPr>
        <w:spacing w:after="0" w:line="40" w:lineRule="exact"/>
        <w:rPr>
          <w:rFonts w:ascii="Times New Roman" w:cs="Times New Roman" w:eastAsia="Times New Roman" w:hAnsi="Times New Roman"/>
          <w:sz w:val="13"/>
          <w:szCs w:val="13"/>
          <w:color w:val="008000"/>
        </w:rPr>
      </w:pPr>
    </w:p>
    <w:p>
      <w:pPr>
        <w:ind w:left="40" w:right="50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of the shares vest in full on the earlier of (i) June 10, 2027 or (ii) the Issuer's next annual meeting of stockholders; provided, however, that all vesting will cease if the Reporting Person ceases to provide services to the Issuer, unless the Issuer's Board of Directors determines otherwise prior to the cessation of such services.</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7" w:lineRule="exact"/>
        <w:rPr>
          <w:sz w:val="20"/>
          <w:szCs w:val="20"/>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Tracy Foard, Attorney-in-</w:t>
            </w:r>
          </w:p>
        </w:tc>
        <w:tc>
          <w:tcPr>
            <w:tcW w:w="740" w:type="dxa"/>
            <w:vAlign w:val="bottom"/>
            <w:vMerge w:val="restart"/>
          </w:tcPr>
          <w:p>
            <w:pPr>
              <w:spacing w:after="0"/>
              <w:rPr>
                <w:sz w:val="20"/>
                <w:szCs w:val="20"/>
                <w:color w:val="auto"/>
              </w:rPr>
            </w:pPr>
            <w:r>
              <w:rPr>
                <w:rFonts w:ascii="Times New Roman" w:cs="Times New Roman" w:eastAsia="Times New Roman" w:hAnsi="Times New Roman"/>
                <w:sz w:val="16"/>
                <w:szCs w:val="16"/>
                <w:color w:val="0000FF"/>
                <w:w w:val="98"/>
              </w:rPr>
              <w:t>06/11/2026</w:t>
            </w:r>
          </w:p>
        </w:tc>
        <w:tc>
          <w:tcPr>
            <w:tcW w:w="0" w:type="dxa"/>
            <w:vAlign w:val="bottom"/>
          </w:tcPr>
          <w:p>
            <w:pPr>
              <w:spacing w:after="0"/>
              <w:rPr>
                <w:sz w:val="1"/>
                <w:szCs w:val="1"/>
                <w:color w:val="auto"/>
              </w:rPr>
            </w:pPr>
          </w:p>
        </w:tc>
      </w:tr>
      <w:tr>
        <w:trPr>
          <w:trHeight w:val="87"/>
        </w:trPr>
        <w:tc>
          <w:tcPr>
            <w:tcW w:w="190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16"/>
                <w:szCs w:val="16"/>
                <w:color w:val="0000FF"/>
              </w:rPr>
              <w:t>Fact</w:t>
            </w:r>
          </w:p>
        </w:tc>
        <w:tc>
          <w:tcPr>
            <w:tcW w:w="30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00" w:type="dxa"/>
            <w:vAlign w:val="bottom"/>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40" w:right="3720"/>
        <w:spacing w:after="0" w:line="331" w:lineRule="auto"/>
        <w:tabs>
          <w:tab w:leader="none" w:pos="17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2895" TargetMode="External"/><Relationship Id="rId14" Type="http://schemas.openxmlformats.org/officeDocument/2006/relationships/hyperlink" Target="http://www.sec.gov/cgi-bin/browse-edgar?action=getcompany&amp;CIK=00015225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2026-06-11T16:27:09Z</dcterms:created>
  <dcterms:modified xsi:type="dcterms:W3CDTF">2026-06-11T16:27:09Z</dcterms:modified>
</cp:coreProperties>
</file>