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2692.xml.htm"/>
      <w:bookmarkStart w:id="1" w:name="kswkform4_17895926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Gibbons Eugenia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497,863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497,863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497,863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(Rule of 40)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87,858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(1/3rd) of the restricted stock units vest on September 1, 2027, and an additional one-twelfth (1/12th) of the restricted stock units vest on each December 1, March 1, June 1, and September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shares which may be issued at target under the performance stock unit over a period of time following achievement of certain gross profit and adjusted EBITDA targets as set forth in the PSU agreement, subject to the Reporting Person's continued service to the Issuer as of each vesting date. At maximum achievement, 200% of the shares would vest.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12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3926</Characters>
  <CharactersWithSpaces>4576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