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6998970" cy="449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449580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8"/>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vMerge w:val="restart"/>
          </w:tcPr>
          <w:p>
            <w:pPr>
              <w:spacing w:after="0" w:line="228" w:lineRule="exact"/>
              <w:rPr>
                <w:rFonts w:ascii="Times New Roman" w:cs="Times New Roman" w:eastAsia="Times New Roman" w:hAnsi="Times New Roman"/>
                <w:sz w:val="20"/>
                <w:szCs w:val="20"/>
                <w:color w:val="0000EE"/>
                <w:w w:val="96"/>
              </w:rPr>
            </w:pPr>
            <w:hyperlink r:id="rId13">
              <w:r>
                <w:rPr>
                  <w:rFonts w:ascii="Times New Roman" w:cs="Times New Roman" w:eastAsia="Times New Roman" w:hAnsi="Times New Roman"/>
                  <w:sz w:val="20"/>
                  <w:szCs w:val="20"/>
                  <w:color w:val="0000EE"/>
                  <w:w w:val="96"/>
                </w:rPr>
                <w:t>Strozek Lukasz</w:t>
              </w:r>
            </w:hyperlink>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7"/>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Marqeta,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MQ</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ind w:left="160"/>
              <w:spacing w:after="0" w:line="116"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20" w:type="dxa"/>
            <w:vAlign w:val="bottom"/>
            <w:gridSpan w:val="4"/>
          </w:tcPr>
          <w:p>
            <w:pPr>
              <w:ind w:left="160"/>
              <w:spacing w:after="0" w:line="116"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6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560" w:type="dxa"/>
            <w:vAlign w:val="bottom"/>
            <w:tcBorders>
              <w:top w:val="single" w:sz="8" w:color="EEEEEE"/>
            </w:tcBorders>
          </w:tcPr>
          <w:p>
            <w:pPr>
              <w:spacing w:after="0"/>
              <w:rPr>
                <w:sz w:val="12"/>
                <w:szCs w:val="12"/>
                <w:color w:val="auto"/>
              </w:rPr>
            </w:pPr>
          </w:p>
        </w:tc>
        <w:tc>
          <w:tcPr>
            <w:tcW w:w="1200" w:type="dxa"/>
            <w:vAlign w:val="bottom"/>
            <w:tcBorders>
              <w:top w:val="single" w:sz="8" w:color="EEEEEE"/>
              <w:bottom w:val="single" w:sz="8" w:color="EEEEEE"/>
            </w:tcBorders>
            <w:gridSpan w:val="2"/>
            <w:vMerge w:val="restart"/>
          </w:tcPr>
          <w:p>
            <w:pPr>
              <w:spacing w:after="0"/>
              <w:rPr>
                <w:sz w:val="20"/>
                <w:szCs w:val="20"/>
                <w:color w:val="auto"/>
              </w:rPr>
            </w:pPr>
            <w:r>
              <w:rPr>
                <w:rFonts w:ascii="Arial" w:cs="Arial" w:eastAsia="Arial" w:hAnsi="Arial"/>
                <w:sz w:val="12"/>
                <w:szCs w:val="12"/>
                <w:color w:val="auto"/>
              </w:rPr>
              <w:t>(First)</w:t>
            </w:r>
          </w:p>
        </w:tc>
        <w:tc>
          <w:tcPr>
            <w:tcW w:w="11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(Middle)</w:t>
            </w:r>
          </w:p>
        </w:tc>
        <w:tc>
          <w:tcPr>
            <w:tcW w:w="1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ind w:left="160"/>
              <w:spacing w:after="0" w:line="114"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ind w:left="160"/>
              <w:spacing w:after="0" w:line="114"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60" w:type="dxa"/>
            <w:vAlign w:val="bottom"/>
            <w:gridSpan w:val="4"/>
            <w:vMerge w:val="restart"/>
          </w:tcPr>
          <w:p>
            <w:pPr>
              <w:ind w:left="400"/>
              <w:spacing w:after="0"/>
              <w:rPr>
                <w:sz w:val="20"/>
                <w:szCs w:val="20"/>
                <w:color w:val="auto"/>
              </w:rPr>
            </w:pPr>
            <w:r>
              <w:rPr>
                <w:rFonts w:ascii="Times New Roman" w:cs="Times New Roman" w:eastAsia="Times New Roman" w:hAnsi="Times New Roman"/>
                <w:sz w:val="16"/>
                <w:szCs w:val="16"/>
                <w:color w:val="0000FF"/>
              </w:rPr>
              <w:t>Chief Technology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80" w:type="dxa"/>
            <w:vAlign w:val="bottom"/>
            <w:gridSpan w:val="8"/>
            <w:vMerge w:val="continue"/>
          </w:tcPr>
          <w:p>
            <w:pPr>
              <w:spacing w:after="0"/>
              <w:rPr>
                <w:sz w:val="7"/>
                <w:szCs w:val="7"/>
                <w:color w:val="auto"/>
              </w:rPr>
            </w:pPr>
          </w:p>
        </w:tc>
        <w:tc>
          <w:tcPr>
            <w:tcW w:w="6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06/15/2026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6TH FLOOR</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060" w:type="dxa"/>
            <w:vAlign w:val="bottom"/>
            <w:tcBorders>
              <w:bottom w:val="single" w:sz="8" w:color="808080"/>
            </w:tcBorders>
            <w:gridSpan w:val="2"/>
          </w:tcPr>
          <w:p>
            <w:pPr>
              <w:spacing w:after="0"/>
              <w:rPr>
                <w:sz w:val="17"/>
                <w:szCs w:val="17"/>
                <w:color w:val="auto"/>
              </w:rPr>
            </w:pPr>
          </w:p>
        </w:tc>
        <w:tc>
          <w:tcPr>
            <w:tcW w:w="440" w:type="dxa"/>
            <w:vAlign w:val="bottom"/>
            <w:tcBorders>
              <w:bottom w:val="single" w:sz="8" w:color="808080"/>
            </w:tcBorders>
            <w:gridSpan w:val="3"/>
          </w:tcPr>
          <w:p>
            <w:pPr>
              <w:spacing w:after="0"/>
              <w:rPr>
                <w:sz w:val="17"/>
                <w:szCs w:val="17"/>
                <w:color w:val="auto"/>
              </w:rPr>
            </w:pPr>
          </w:p>
        </w:tc>
        <w:tc>
          <w:tcPr>
            <w:tcW w:w="1960" w:type="dxa"/>
            <w:vAlign w:val="bottom"/>
            <w:tcBorders>
              <w:bottom w:val="single" w:sz="8" w:color="808080"/>
            </w:tcBorders>
            <w:gridSpan w:val="3"/>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20" w:type="dxa"/>
            <w:vAlign w:val="bottom"/>
            <w:tcBorders>
              <w:bottom w:val="single" w:sz="8" w:color="808080"/>
            </w:tcBorders>
          </w:tcPr>
          <w:p>
            <w:pPr>
              <w:spacing w:after="0"/>
              <w:rPr>
                <w:sz w:val="17"/>
                <w:szCs w:val="17"/>
                <w:color w:val="auto"/>
              </w:rPr>
            </w:pPr>
          </w:p>
        </w:tc>
        <w:tc>
          <w:tcPr>
            <w:tcW w:w="2860" w:type="dxa"/>
            <w:vAlign w:val="bottom"/>
            <w:tcBorders>
              <w:bottom w:val="single" w:sz="8" w:color="808080"/>
            </w:tcBorders>
            <w:gridSpan w:val="5"/>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2C2C2C"/>
            </w:tcBorders>
            <w:gridSpan w:val="9"/>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6"/>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OAKLAND</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CA</w:t>
            </w:r>
          </w:p>
        </w:tc>
        <w:tc>
          <w:tcPr>
            <w:tcW w:w="96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94612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56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440" w:type="dxa"/>
            <w:vAlign w:val="bottom"/>
            <w:tcBorders>
              <w:bottom w:val="single" w:sz="8" w:color="2C2C2C"/>
            </w:tcBorders>
            <w:gridSpan w:val="3"/>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7"/>
          </w:tcPr>
          <w:p>
            <w:pPr>
              <w:ind w:left="8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2A. Deemed</w:t>
            </w:r>
          </w:p>
        </w:tc>
        <w:tc>
          <w:tcPr>
            <w:tcW w:w="28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8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6"/>
          </w:tcPr>
          <w:p>
            <w:pPr>
              <w:ind w:left="840"/>
              <w:spacing w:after="0" w:line="124" w:lineRule="exact"/>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gridSpan w:val="4"/>
          </w:tcPr>
          <w:p>
            <w:pPr>
              <w:spacing w:after="0"/>
              <w:rPr>
                <w:sz w:val="6"/>
                <w:szCs w:val="6"/>
                <w:color w:val="auto"/>
              </w:rPr>
            </w:pPr>
          </w:p>
        </w:tc>
        <w:tc>
          <w:tcPr>
            <w:tcW w:w="1060" w:type="dxa"/>
            <w:vAlign w:val="bottom"/>
            <w:tcBorders>
              <w:bottom w:val="single" w:sz="8" w:color="2C2C2C"/>
            </w:tcBorders>
            <w:gridSpan w:val="2"/>
          </w:tcPr>
          <w:p>
            <w:pPr>
              <w:spacing w:after="0"/>
              <w:rPr>
                <w:sz w:val="6"/>
                <w:szCs w:val="6"/>
                <w:color w:val="auto"/>
              </w:rPr>
            </w:pPr>
          </w:p>
        </w:tc>
        <w:tc>
          <w:tcPr>
            <w:tcW w:w="440" w:type="dxa"/>
            <w:vAlign w:val="bottom"/>
            <w:tcBorders>
              <w:bottom w:val="single" w:sz="8" w:color="2C2C2C"/>
            </w:tcBorders>
            <w:gridSpan w:val="3"/>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5"/>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38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jc w:val="center"/>
              <w:ind w:right="5"/>
              <w:spacing w:after="0" w:line="124"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482,536</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 Units</w:t>
            </w:r>
          </w:p>
        </w:tc>
        <w:tc>
          <w:tcPr>
            <w:tcW w:w="5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58"/>
              <w:spacing w:after="0" w:line="137" w:lineRule="exact"/>
              <w:rPr>
                <w:sz w:val="20"/>
                <w:szCs w:val="20"/>
                <w:color w:val="auto"/>
              </w:rPr>
            </w:pPr>
            <w:r>
              <w:rPr>
                <w:rFonts w:ascii="Times New Roman" w:cs="Times New Roman" w:eastAsia="Times New Roman" w:hAnsi="Times New Roman"/>
                <w:sz w:val="12"/>
                <w:szCs w:val="12"/>
                <w:color w:val="0000FF"/>
              </w:rPr>
              <w:t>06/15/2026</w:t>
            </w: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tcPr>
          <w:p>
            <w:pPr>
              <w:jc w:val="right"/>
              <w:ind w:right="3"/>
              <w:spacing w:after="0" w:line="137" w:lineRule="exact"/>
              <w:rPr>
                <w:sz w:val="20"/>
                <w:szCs w:val="20"/>
                <w:color w:val="auto"/>
              </w:rPr>
            </w:pPr>
            <w:r>
              <w:rPr>
                <w:rFonts w:ascii="Times New Roman" w:cs="Times New Roman" w:eastAsia="Times New Roman" w:hAnsi="Times New Roman"/>
                <w:sz w:val="12"/>
                <w:szCs w:val="12"/>
                <w:color w:val="0000FF"/>
              </w:rPr>
              <w:t>482,536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tcPr>
          <w:p>
            <w:pPr>
              <w:jc w:val="right"/>
              <w:ind w:right="204"/>
              <w:spacing w:after="0" w:line="137" w:lineRule="exact"/>
              <w:rPr>
                <w:sz w:val="20"/>
                <w:szCs w:val="20"/>
                <w:color w:val="auto"/>
              </w:rPr>
            </w:pPr>
            <w:r>
              <w:rPr>
                <w:rFonts w:ascii="Times New Roman" w:cs="Times New Roman" w:eastAsia="Times New Roman" w:hAnsi="Times New Roman"/>
                <w:sz w:val="12"/>
                <w:szCs w:val="12"/>
                <w:color w:val="0000FF"/>
              </w:rPr>
              <w:t>482,536</w:t>
            </w:r>
          </w:p>
        </w:tc>
        <w:tc>
          <w:tcPr>
            <w:tcW w:w="600" w:type="dxa"/>
            <w:vAlign w:val="bottom"/>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(Rule of 40)</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(4)</w:t>
            </w:r>
          </w:p>
        </w:tc>
        <w:tc>
          <w:tcPr>
            <w:tcW w:w="62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(4)</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1,930,156</w:t>
            </w: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vMerge w:val="restart"/>
          </w:tcPr>
          <w:p>
            <w:pPr>
              <w:jc w:val="right"/>
              <w:ind w:right="158"/>
              <w:spacing w:after="0" w:line="137" w:lineRule="exact"/>
              <w:rPr>
                <w:sz w:val="20"/>
                <w:szCs w:val="20"/>
                <w:color w:val="auto"/>
              </w:rPr>
            </w:pPr>
            <w:r>
              <w:rPr>
                <w:rFonts w:ascii="Times New Roman" w:cs="Times New Roman" w:eastAsia="Times New Roman" w:hAnsi="Times New Roman"/>
                <w:sz w:val="12"/>
                <w:szCs w:val="12"/>
                <w:color w:val="0000FF"/>
              </w:rPr>
              <w:t>06/15/2026</w:t>
            </w: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00" w:type="dxa"/>
            <w:vAlign w:val="bottom"/>
            <w:vMerge w:val="restart"/>
          </w:tcPr>
          <w:p>
            <w:pPr>
              <w:jc w:val="right"/>
              <w:spacing w:after="0" w:line="137" w:lineRule="exact"/>
              <w:rPr>
                <w:sz w:val="20"/>
                <w:szCs w:val="20"/>
                <w:color w:val="auto"/>
              </w:rPr>
            </w:pPr>
            <w:r>
              <w:rPr>
                <w:rFonts w:ascii="Times New Roman" w:cs="Times New Roman" w:eastAsia="Times New Roman" w:hAnsi="Times New Roman"/>
                <w:sz w:val="12"/>
                <w:szCs w:val="12"/>
                <w:color w:val="0000FF"/>
              </w:rPr>
              <w:t>1,930,156</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5"/>
                <w:szCs w:val="5"/>
                <w:color w:val="auto"/>
              </w:rPr>
            </w:pPr>
          </w:p>
        </w:tc>
        <w:tc>
          <w:tcPr>
            <w:tcW w:w="66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gridSpan w:val="2"/>
            <w:vMerge w:val="restart"/>
          </w:tcPr>
          <w:p>
            <w:pPr>
              <w:jc w:val="right"/>
              <w:ind w:right="144"/>
              <w:spacing w:after="0" w:line="137" w:lineRule="exact"/>
              <w:rPr>
                <w:sz w:val="20"/>
                <w:szCs w:val="20"/>
                <w:color w:val="auto"/>
              </w:rPr>
            </w:pPr>
            <w:r>
              <w:rPr>
                <w:rFonts w:ascii="Times New Roman" w:cs="Times New Roman" w:eastAsia="Times New Roman" w:hAnsi="Times New Roman"/>
                <w:sz w:val="12"/>
                <w:szCs w:val="12"/>
                <w:color w:val="0000FF"/>
              </w:rPr>
              <w:t>1,930,156</w:t>
            </w:r>
          </w:p>
        </w:tc>
        <w:tc>
          <w:tcPr>
            <w:tcW w:w="600" w:type="dxa"/>
            <w:vAlign w:val="bottom"/>
            <w:vMerge w:val="restart"/>
          </w:tcPr>
          <w:p>
            <w:pPr>
              <w:ind w:left="30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5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-1955800</wp:posOffset>
            </wp:positionV>
            <wp:extent cx="28575" cy="196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615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performance stock unit is convertible into one share of Class A Common Stock.</w:t>
      </w:r>
    </w:p>
    <w:p>
      <w:pPr>
        <w:spacing w:after="0" w:line="47" w:lineRule="exact"/>
        <w:rPr>
          <w:rFonts w:ascii="Times New Roman" w:cs="Times New Roman" w:eastAsia="Times New Roman" w:hAnsi="Times New Roman"/>
          <w:sz w:val="12"/>
          <w:szCs w:val="12"/>
          <w:color w:val="008000"/>
        </w:rPr>
      </w:pPr>
    </w:p>
    <w:p>
      <w:pPr>
        <w:ind w:left="40" w:right="16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which may be issued at target under the performance stock unit ("PSU") over a period of time following achievement of certain gross profit and adjusted EBITDA targets as set forth in the PSU agreement, subject to the Reporting Person's continued service to the Issuer as of each vesting date. At maximum achievement, 200% of the shares would vest.</w:t>
      </w:r>
    </w:p>
    <w:p>
      <w:pPr>
        <w:spacing w:after="0" w:line="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is convertible into one share of Class A Common Stock.</w:t>
      </w:r>
    </w:p>
    <w:p>
      <w:pPr>
        <w:spacing w:after="0" w:line="47" w:lineRule="exact"/>
        <w:rPr>
          <w:rFonts w:ascii="Times New Roman" w:cs="Times New Roman" w:eastAsia="Times New Roman" w:hAnsi="Times New Roman"/>
          <w:sz w:val="12"/>
          <w:szCs w:val="12"/>
          <w:color w:val="008000"/>
        </w:rPr>
      </w:pPr>
    </w:p>
    <w:p>
      <w:pPr>
        <w:ind w:left="40" w:right="28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One-third (1/3rd) of the restricted stock units vest on June 1, 2027, and an additional one-twelfth (1/12th) of the restricted stock units vest on each September 1, December 1, March 1 and June 1 thereafter until fully vested, subject to the Reporting Person's continued service with the Issuer as of each vesting date.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Tracy Foard, Attorney-in-Fact 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-5715</wp:posOffset>
            </wp:positionV>
            <wp:extent cx="18669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3"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34816"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2026-07-02T15:33:00Z</dcterms:created>
  <dcterms:modified xsi:type="dcterms:W3CDTF">2026-07-02T15:33:00Z</dcterms:modified>
</cp:coreProperties>
</file>