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79137688.xml.htm"/>
      <w:bookmarkStart w:id="1" w:name="kswkform4_177913768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Cummings Martha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180 GRAND AVENUE</w:t>
                  </w:r>
                </w:p>
              </w:tc>
            </w:tr>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OAKLAND</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94612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Marqeta, Inc.</w:t>
              </w:r>
            </w:hyperlink>
            <w:r>
              <w:rPr/>
              <w:t xml:space="preserve"> [ </w:t>
            </w:r>
            <w:r>
              <w:rPr>
                <w:rFonts w:ascii="Times;serif" w:hAnsi="Times;serif"/>
                <w:color w:val="0000FF"/>
                <w:sz w:val="24"/>
                <w:shd w:fill="FFFFFF" w:val="clear"/>
              </w:rPr>
              <w:t>MQ</w:t>
            </w:r>
            <w:r>
              <w:rPr/>
              <w:t xml:space="preserve"> ] </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05/15/2026</w:t>
            </w:r>
            <w:r>
              <w:rPr/>
              <w:t xml:space="preserve"> </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3"/>
        <w:gridCol w:w="902"/>
        <w:gridCol w:w="772"/>
        <w:gridCol w:w="599"/>
        <w:gridCol w:w="347"/>
        <w:gridCol w:w="841"/>
        <w:gridCol w:w="451"/>
        <w:gridCol w:w="881"/>
        <w:gridCol w:w="1156"/>
        <w:gridCol w:w="993"/>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05/15/2026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2,853</w:t>
            </w:r>
          </w:p>
        </w:tc>
        <w:tc>
          <w:tcPr>
            <w:tcW w:w="4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3.8489</w:t>
            </w:r>
            <w:r>
              <w:rPr>
                <w:rFonts w:ascii="Times;serif" w:hAnsi="Times;serif"/>
                <w:color w:val="008000"/>
                <w:position w:val="7"/>
                <w:sz w:val="16"/>
                <w:sz w:val="20"/>
                <w:shd w:fill="FFFFFF" w:val="clear"/>
              </w:rPr>
              <w:t>(1)</w:t>
            </w:r>
            <w:r>
              <w:rPr/>
              <w:t xml:space="preserve"> </w:t>
            </w:r>
          </w:p>
        </w:tc>
        <w:tc>
          <w:tcPr>
            <w:tcW w:w="11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30,410</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These shares were sold in multiple transactions at prices ranging from $3.80 to $3.90, inclusive. The Reporting Person undertakes to provide to the Issuer, any security holder of the Issuer, or the staff of the Securities and Exchange Commission, upon request, full information regarding the number of shares sold at each separate price within the ranges set forth in this footnote to this Form 4.</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Tracy Foard,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863056" TargetMode="External"/><Relationship Id="rId5" Type="http://schemas.openxmlformats.org/officeDocument/2006/relationships/hyperlink" Target="http://www.sec.gov/cgi-bin/browse-edgar?action=getcompany&amp;CIK=000152254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636</Words>
  <Characters>3424</Characters>
  <CharactersWithSpaces>3999</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