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3027787.xml.htm"/>
      <w:bookmarkStart w:id="1" w:name="kswkform4_178302778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Graf R. Mark</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180 GRAND AVENUE</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OAKLAND</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94612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Marqeta, Inc.</w:t>
              </w:r>
            </w:hyperlink>
            <w:r>
              <w:rPr/>
              <w:t xml:space="preserve"> [ </w:t>
            </w:r>
            <w:r>
              <w:rPr>
                <w:rFonts w:ascii="Times;serif" w:hAnsi="Times;serif"/>
                <w:color w:val="0000FF"/>
                <w:sz w:val="24"/>
                <w:shd w:fill="FFFFFF" w:val="clear"/>
              </w:rPr>
              <w:t>MQ</w:t>
            </w:r>
            <w:r>
              <w:rPr/>
              <w:t xml:space="preserve"> ] </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06/30/2026</w:t>
            </w:r>
            <w:r>
              <w:rPr/>
              <w:t xml:space="preserve"> </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518"/>
        <w:gridCol w:w="904"/>
        <w:gridCol w:w="773"/>
        <w:gridCol w:w="601"/>
        <w:gridCol w:w="354"/>
        <w:gridCol w:w="823"/>
        <w:gridCol w:w="468"/>
        <w:gridCol w:w="631"/>
        <w:gridCol w:w="1187"/>
        <w:gridCol w:w="1015"/>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51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51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51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6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15,522</w:t>
            </w:r>
            <w:r>
              <w:rPr>
                <w:rFonts w:ascii="Times;serif" w:hAnsi="Times;serif"/>
                <w:color w:val="008000"/>
                <w:position w:val="7"/>
                <w:sz w:val="16"/>
                <w:sz w:val="20"/>
                <w:shd w:fill="FFFFFF" w:val="clear"/>
              </w:rPr>
              <w:t>(1)</w:t>
            </w:r>
            <w:r>
              <w:rPr/>
              <w:t xml:space="preserve"> </w:t>
            </w:r>
          </w:p>
        </w:tc>
        <w:tc>
          <w:tcPr>
            <w:tcW w:w="10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068"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400"/>
        <w:gridCol w:w="401"/>
        <w:gridCol w:w="906"/>
        <w:gridCol w:w="801"/>
        <w:gridCol w:w="891"/>
        <w:gridCol w:w="861"/>
        <w:gridCol w:w="801"/>
        <w:gridCol w:w="936"/>
        <w:gridCol w:w="831"/>
        <w:gridCol w:w="846"/>
      </w:tblGrid>
      <w:tr>
        <w:trPr>
          <w:tblHeader w:val="true"/>
        </w:trPr>
        <w:tc>
          <w:tcPr>
            <w:tcW w:w="12068"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7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6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13,054</w:t>
            </w:r>
            <w:r>
              <w:rPr>
                <w:rFonts w:ascii="Times;serif" w:hAnsi="Times;serif"/>
                <w:color w:val="008000"/>
                <w:position w:val="7"/>
                <w:sz w:val="16"/>
                <w:sz w:val="20"/>
                <w:shd w:fill="FFFFFF" w:val="clear"/>
              </w:rPr>
              <w:t>(4)</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13,054</w:t>
            </w:r>
            <w:r>
              <w:rPr>
                <w:rFonts w:ascii="Times;serif" w:hAnsi="Times;serif"/>
                <w:color w:val="008000"/>
                <w:position w:val="7"/>
                <w:sz w:val="16"/>
                <w:sz w:val="20"/>
                <w:shd w:fill="FFFFFF" w:val="clear"/>
              </w:rPr>
              <w:t>(4)</w:t>
            </w:r>
            <w:r>
              <w:rPr/>
              <w:t xml:space="preserve"> </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12,894</w:t>
            </w:r>
            <w:r>
              <w:rPr>
                <w:rFonts w:ascii="Times;serif" w:hAnsi="Times;serif"/>
                <w:color w:val="008000"/>
                <w:position w:val="7"/>
                <w:sz w:val="16"/>
                <w:sz w:val="20"/>
                <w:shd w:fill="FFFFFF" w:val="clear"/>
              </w:rPr>
              <w:t>(4)</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12,894</w:t>
            </w:r>
            <w:r>
              <w:rPr>
                <w:rFonts w:ascii="Times;serif" w:hAnsi="Times;serif"/>
                <w:color w:val="008000"/>
                <w:position w:val="7"/>
                <w:sz w:val="16"/>
                <w:sz w:val="20"/>
                <w:shd w:fill="FFFFFF" w:val="clear"/>
              </w:rPr>
              <w:t>(4)</w:t>
            </w:r>
            <w:r>
              <w:rPr/>
              <w:t xml:space="preserve"> </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number of shares beneficially owned reflects the 1-for-4 reverse stock split effected June 30, 2026 (the "Reverse Stock Split"). Cash was paid in lieu of any fractional shares resulting from the Reverse Stock Split.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restricted stock unit is convertible into one share of Class A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This RSU grant, originally granted June 10, 2026 for 13,054 RSUs (post Reverse Stock Split), will vest in full on the earlier of (i) June 10, 2027 or (ii) the Issuer's next annual meeting of stockholders; provided, however, that all vesting will cease if the Reporting Person ceases to provide services to the Issuer, unless the Issuer's Board of Directors determines otherwise prior to the cessation of such services.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number of shares subject to RSUs reflects the Reverse Stock Split.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This RSU grant, originally granted on July 19, 2024 for 19,342 RSUs (post Reverse Stock Split), of which 6,448 RSUs have vested, vest as to one-third (1/3rd) of the RSUs on each of July 19, 2026 and July 19, 2027, subject to the Reporting Person's continued service with the Issuer as of each vesting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Tracy Foard,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94757" TargetMode="External"/><Relationship Id="rId5" Type="http://schemas.openxmlformats.org/officeDocument/2006/relationships/hyperlink" Target="http://www.sec.gov/cgi-bin/browse-edgar?action=getcompany&amp;CIK=000152254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771</Words>
  <Characters>4066</Characters>
  <CharactersWithSpaces>4769</CharactersWithSpaces>
  <Paragraphs>111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