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6993890" cy="4772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772025"/>
                    </a:xfrm>
                    <a:prstGeom prst="rect">
                      <a:avLst/>
                    </a:prstGeom>
                    <a:noFill/>
                  </pic:spPr>
                </pic:pic>
              </a:graphicData>
            </a:graphic>
          </wp:anchor>
        </w:drawing>
      </w:r>
    </w:p>
    <w:p>
      <w:pPr>
        <w:spacing w:after="0" w:line="1178"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Atkinson Najuma</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Marqeta,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MQ</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2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180 GRAND AVENUE</w:t>
            </w:r>
          </w:p>
        </w:tc>
        <w:tc>
          <w:tcPr>
            <w:tcW w:w="11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6TH FLOOR</w:t>
            </w: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26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OAKLAND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94612</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1"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1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jc w:val="right"/>
              <w:ind w:right="283"/>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2"/>
              </w:rPr>
              <w:t>Amount</w:t>
            </w:r>
          </w:p>
        </w:tc>
        <w:tc>
          <w:tcPr>
            <w:tcW w:w="780" w:type="dxa"/>
            <w:vAlign w:val="bottom"/>
            <w:gridSpan w:val="2"/>
          </w:tcPr>
          <w:p>
            <w:pPr>
              <w:ind w:left="360"/>
              <w:spacing w:after="0" w:line="129"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58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44,604</w:t>
            </w:r>
            <w:r>
              <w:rPr>
                <w:rFonts w:ascii="Times New Roman" w:cs="Times New Roman" w:eastAsia="Times New Roman" w:hAnsi="Times New Roman"/>
                <w:sz w:val="21"/>
                <w:szCs w:val="21"/>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5"/>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5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12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Underlying Derivative</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Security (Instr. 3 and</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 or</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2"/>
              </w:rPr>
              <w:t>Date</w:t>
            </w:r>
          </w:p>
        </w:tc>
        <w:tc>
          <w:tcPr>
            <w:tcW w:w="40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Number 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(3)</w:t>
            </w:r>
          </w:p>
        </w:tc>
        <w:tc>
          <w:tcPr>
            <w:tcW w:w="320" w:type="dxa"/>
            <w:vAlign w:val="bottom"/>
          </w:tcPr>
          <w:p>
            <w:pPr>
              <w:spacing w:after="0"/>
              <w:rPr>
                <w:sz w:val="15"/>
                <w:szCs w:val="15"/>
                <w:color w:val="auto"/>
              </w:rPr>
            </w:pPr>
          </w:p>
        </w:tc>
        <w:tc>
          <w:tcPr>
            <w:tcW w:w="50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color w:val="008000"/>
              </w:rPr>
              <w:t>(3)</w:t>
            </w:r>
          </w:p>
        </w:tc>
        <w:tc>
          <w:tcPr>
            <w:tcW w:w="5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13,054</w:t>
            </w:r>
            <w:r>
              <w:rPr>
                <w:rFonts w:ascii="Times New Roman" w:cs="Times New Roman" w:eastAsia="Times New Roman" w:hAnsi="Times New Roman"/>
                <w:sz w:val="21"/>
                <w:szCs w:val="21"/>
                <w:color w:val="008000"/>
                <w:vertAlign w:val="superscript"/>
              </w:rPr>
              <w:t>(4)</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13,054</w:t>
            </w:r>
            <w:r>
              <w:rPr>
                <w:rFonts w:ascii="Times New Roman" w:cs="Times New Roman" w:eastAsia="Times New Roman" w:hAnsi="Times New Roman"/>
                <w:sz w:val="21"/>
                <w:szCs w:val="21"/>
                <w:color w:val="008000"/>
                <w:vertAlign w:val="superscript"/>
              </w:rPr>
              <w:t>(4)</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58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-1923415</wp:posOffset>
            </wp:positionV>
            <wp:extent cx="29210" cy="1929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913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400" w:firstLine="2"/>
        <w:spacing w:after="0" w:line="254"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shares beneficially owned reflects the 1-for-4 reverse stock split effected June 30, 2026 (the "Reverse Stock Split"). Cash was paid in lieu of any fractional shares resulting from the Reverse Stock Split.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is convertible into one share of Class A Common Stock.</w:t>
      </w:r>
    </w:p>
    <w:p>
      <w:pPr>
        <w:spacing w:after="0" w:line="43" w:lineRule="exact"/>
        <w:rPr>
          <w:rFonts w:ascii="Times New Roman" w:cs="Times New Roman" w:eastAsia="Times New Roman" w:hAnsi="Times New Roman"/>
          <w:sz w:val="13"/>
          <w:szCs w:val="13"/>
          <w:color w:val="008000"/>
        </w:rPr>
      </w:pPr>
    </w:p>
    <w:p>
      <w:pPr>
        <w:ind w:left="40" w:right="360" w:firstLine="2"/>
        <w:spacing w:after="0" w:line="290" w:lineRule="auto"/>
        <w:tabs>
          <w:tab w:leader="none" w:pos="16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RSU grant, originally granted on June 10, 2026 for 13,054 RSUs (post Reverse Stock Split), will vest in full on the earlier of (i) June 10, 2027 or (ii) the Issuer's next annual meeting of stockholders; provided, however, that all vesting will cease if the Reporting Person ceases to provide services to the Issuer, unless the Issuer's Board of Directors determines otherwise prior to the cessation of such services.</w:t>
      </w:r>
    </w:p>
    <w:p>
      <w:pPr>
        <w:spacing w:after="0" w:line="1" w:lineRule="exact"/>
        <w:rPr>
          <w:rFonts w:ascii="Times New Roman" w:cs="Times New Roman" w:eastAsia="Times New Roman" w:hAnsi="Times New Roman"/>
          <w:sz w:val="12"/>
          <w:szCs w:val="12"/>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shares subject to RSUs reflects the Reverse Stock Split.</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 Tracy Foard, Attorney-in-</w:t>
            </w: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5"/>
              </w:rPr>
              <w:t>07/02/2026</w:t>
            </w:r>
          </w:p>
        </w:tc>
        <w:tc>
          <w:tcPr>
            <w:tcW w:w="0" w:type="dxa"/>
            <w:vAlign w:val="bottom"/>
          </w:tcPr>
          <w:p>
            <w:pPr>
              <w:spacing w:after="0"/>
              <w:rPr>
                <w:sz w:val="1"/>
                <w:szCs w:val="1"/>
                <w:color w:val="auto"/>
              </w:rPr>
            </w:pPr>
          </w:p>
        </w:tc>
      </w:tr>
      <w:tr>
        <w:trPr>
          <w:trHeight w:val="88"/>
        </w:trPr>
        <w:tc>
          <w:tcPr>
            <w:tcW w:w="300" w:type="dxa"/>
            <w:vAlign w:val="bottom"/>
            <w:tcBorders>
              <w:top w:val="single" w:sz="8" w:color="auto"/>
              <w:bottom w:val="single" w:sz="8" w:color="auto"/>
            </w:tcBorders>
            <w:vMerge w:val="restart"/>
          </w:tcPr>
          <w:p>
            <w:pPr>
              <w:ind w:left="20"/>
              <w:spacing w:after="0" w:line="186" w:lineRule="exact"/>
              <w:rPr>
                <w:sz w:val="20"/>
                <w:szCs w:val="20"/>
                <w:color w:val="auto"/>
              </w:rPr>
            </w:pPr>
            <w:r>
              <w:rPr>
                <w:rFonts w:ascii="Times New Roman" w:cs="Times New Roman" w:eastAsia="Times New Roman" w:hAnsi="Times New Roman"/>
                <w:sz w:val="17"/>
                <w:szCs w:val="17"/>
                <w:color w:val="0000FF"/>
                <w:w w:val="88"/>
              </w:rPr>
              <w:t>Fact</w:t>
            </w:r>
          </w:p>
        </w:tc>
        <w:tc>
          <w:tcPr>
            <w:tcW w:w="1640" w:type="dxa"/>
            <w:vAlign w:val="bottom"/>
            <w:tcBorders>
              <w:top w:val="single" w:sz="8" w:color="auto"/>
              <w:bottom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300" w:type="dxa"/>
            <w:vAlign w:val="bottom"/>
            <w:tcBorders>
              <w:bottom w:val="single" w:sz="8" w:color="auto"/>
            </w:tcBorders>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2895" TargetMode="External"/><Relationship Id="rId14" Type="http://schemas.openxmlformats.org/officeDocument/2006/relationships/hyperlink" Target="http://www.sec.gov/cgi-bin/browse-edgar?action=getcompany&amp;CIK=0001522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2026-07-02T16:50:19Z</dcterms:created>
  <dcterms:modified xsi:type="dcterms:W3CDTF">2026-07-02T16:50:19Z</dcterms:modified>
</cp:coreProperties>
</file>