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973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973320"/>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72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CHOKSHI ALPESH</w:t>
              </w:r>
            </w:hyperlink>
          </w:p>
        </w:tc>
        <w:tc>
          <w:tcPr>
            <w:tcW w:w="7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Marqeta,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MQ</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bottom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720" w:type="dxa"/>
            <w:vAlign w:val="bottom"/>
            <w:tcBorders>
              <w:bottom w:val="single" w:sz="8" w:color="0000EE"/>
            </w:tcBorders>
            <w:gridSpan w:val="2"/>
            <w:vMerge w:val="continue"/>
          </w:tcPr>
          <w:p>
            <w:pPr>
              <w:spacing w:after="0"/>
              <w:rPr>
                <w:sz w:val="5"/>
                <w:szCs w:val="5"/>
                <w:color w:val="auto"/>
              </w:rPr>
            </w:pPr>
          </w:p>
        </w:tc>
        <w:tc>
          <w:tcPr>
            <w:tcW w:w="70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720" w:type="dxa"/>
            <w:vAlign w:val="bottom"/>
            <w:gridSpan w:val="2"/>
          </w:tcPr>
          <w:p>
            <w:pPr>
              <w:spacing w:after="0"/>
              <w:rPr>
                <w:sz w:val="6"/>
                <w:szCs w:val="6"/>
                <w:color w:val="auto"/>
              </w:rPr>
            </w:pPr>
          </w:p>
        </w:tc>
        <w:tc>
          <w:tcPr>
            <w:tcW w:w="70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line="149"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vMerge w:val="restart"/>
          </w:tcPr>
          <w:p>
            <w:pPr>
              <w:ind w:left="18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0000FF"/>
              </w:rPr>
              <w:t>06/10/2026</w:t>
            </w:r>
          </w:p>
        </w:tc>
        <w:tc>
          <w:tcPr>
            <w:tcW w:w="26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180 GRAND AVENUE</w:t>
            </w:r>
          </w:p>
        </w:tc>
        <w:tc>
          <w:tcPr>
            <w:tcW w:w="12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6TH FLOOR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OAKLAND</w:t>
            </w:r>
          </w:p>
        </w:tc>
        <w:tc>
          <w:tcPr>
            <w:tcW w:w="10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94612</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2"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06/10/2026</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36,297</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right"/>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6"/>
                <w:szCs w:val="16"/>
                <w:color w:val="0000FF"/>
              </w:rPr>
              <w:t>61,890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vMerge w:val="restart"/>
          </w:tcPr>
          <w:p>
            <w:pPr>
              <w:jc w:val="center"/>
              <w:ind w:right="32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36,297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36,297</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52,219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3"/>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52,219</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52,219</w:t>
            </w: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-2163445</wp:posOffset>
            </wp:positionV>
            <wp:extent cx="28575" cy="2169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91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exempt from Section 16(b) of the Securities Exchange Act of 1934 (the "Act") pursuant to Rule 16b-6(b) promulgated under the Act.</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is convertible into one share of Class A Common Stock.</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granted on June 12, 2025, the date of the Issuer's 2025 Annual Meeting of Stockholders, that vested in full on June 10, 2026, the date of the Issuer's 2026 Annual Meeting of Stockholders.</w:t>
      </w:r>
    </w:p>
    <w:p>
      <w:pPr>
        <w:spacing w:after="0" w:line="40" w:lineRule="exact"/>
        <w:rPr>
          <w:rFonts w:ascii="Times New Roman" w:cs="Times New Roman" w:eastAsia="Times New Roman" w:hAnsi="Times New Roman"/>
          <w:sz w:val="13"/>
          <w:szCs w:val="13"/>
          <w:color w:val="008000"/>
        </w:rPr>
      </w:pPr>
    </w:p>
    <w:p>
      <w:pPr>
        <w:ind w:left="40" w:right="50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shares vest in full on the earlier of (i) June 10, 2027 or (ii) the Issuer's next annual meeting of stockholders; provided, however, that all vesting will cease if the Reporting Person ceases to provide services to the Issuer, unless the Issuer's Board of Directors determines otherwise prior to the cessation of such services.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Tracy Foard,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06/11/2026</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0000FF"/>
              </w:rPr>
              <w:t>Fact</w:t>
            </w:r>
          </w:p>
        </w:tc>
        <w:tc>
          <w:tcPr>
            <w:tcW w:w="3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0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3326" TargetMode="External"/><Relationship Id="rId14" Type="http://schemas.openxmlformats.org/officeDocument/2006/relationships/hyperlink" Target="http://www.sec.gov/cgi-bin/browse-edgar?action=getcompany&amp;CIK=0001522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2026-06-11T16:25:33Z</dcterms:created>
  <dcterms:modified xsi:type="dcterms:W3CDTF">2026-06-11T16:25:33Z</dcterms:modified>
</cp:coreProperties>
</file>