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53340</wp:posOffset>
            </wp:positionV>
            <wp:extent cx="1979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50165</wp:posOffset>
            </wp:positionV>
            <wp:extent cx="1979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200" w:right="1680" w:hanging="3174"/>
        <w:spacing w:after="0" w:line="391" w:lineRule="auto"/>
        <w:tabs>
          <w:tab w:leader="none" w:pos="3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ind w:left="40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001-40465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71755</wp:posOffset>
            </wp:positionV>
            <wp:extent cx="1979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57785</wp:posOffset>
            </wp:positionV>
            <wp:extent cx="1979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40" w:type="dxa"/>
            <w:vAlign w:val="bottom"/>
            <w:gridSpan w:val="3"/>
          </w:tcPr>
          <w:p>
            <w:pPr>
              <w:jc w:val="center"/>
              <w:ind w:left="624"/>
              <w:spacing w:after="0"/>
              <w:rPr>
                <w:sz w:val="20"/>
                <w:szCs w:val="20"/>
                <w:color w:val="auto"/>
              </w:rPr>
            </w:pPr>
            <w:r>
              <w:rPr>
                <w:rFonts w:ascii="Arial" w:cs="Arial" w:eastAsia="Arial" w:hAnsi="Arial"/>
                <w:sz w:val="18"/>
                <w:szCs w:val="18"/>
                <w:b w:val="1"/>
                <w:bCs w:val="1"/>
                <w:color w:val="auto"/>
              </w:rPr>
              <w:t>Delaware</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jc w:val="right"/>
              <w:ind w:right="2243"/>
              <w:spacing w:after="0"/>
              <w:rPr>
                <w:sz w:val="20"/>
                <w:szCs w:val="20"/>
                <w:color w:val="auto"/>
              </w:rPr>
            </w:pPr>
            <w:r>
              <w:rPr>
                <w:rFonts w:ascii="Arial" w:cs="Arial" w:eastAsia="Arial" w:hAnsi="Arial"/>
                <w:sz w:val="18"/>
                <w:szCs w:val="18"/>
                <w:b w:val="1"/>
                <w:bCs w:val="1"/>
                <w:color w:val="auto"/>
              </w:rPr>
              <w:t>27-4306690</w:t>
            </w:r>
          </w:p>
        </w:tc>
      </w:tr>
      <w:tr>
        <w:trPr>
          <w:trHeight w:val="191"/>
        </w:trPr>
        <w:tc>
          <w:tcPr>
            <w:tcW w:w="4940" w:type="dxa"/>
            <w:vAlign w:val="bottom"/>
            <w:gridSpan w:val="3"/>
          </w:tcPr>
          <w:p>
            <w:pPr>
              <w:jc w:val="center"/>
              <w:ind w:left="624"/>
              <w:spacing w:after="0"/>
              <w:rPr>
                <w:sz w:val="20"/>
                <w:szCs w:val="20"/>
                <w:color w:val="auto"/>
              </w:rPr>
            </w:pPr>
            <w:r>
              <w:rPr>
                <w:rFonts w:ascii="Arial" w:cs="Arial" w:eastAsia="Arial" w:hAnsi="Arial"/>
                <w:sz w:val="14"/>
                <w:szCs w:val="14"/>
                <w:color w:val="auto"/>
              </w:rPr>
              <w:t>(State or other jurisdiction of incorporation or organization)</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60" w:type="dxa"/>
            <w:vAlign w:val="bottom"/>
          </w:tcPr>
          <w:p>
            <w:pPr>
              <w:jc w:val="center"/>
              <w:ind w:right="1483"/>
              <w:spacing w:after="0"/>
              <w:rPr>
                <w:sz w:val="20"/>
                <w:szCs w:val="20"/>
                <w:color w:val="auto"/>
              </w:rPr>
            </w:pPr>
            <w:r>
              <w:rPr>
                <w:rFonts w:ascii="Arial" w:cs="Arial" w:eastAsia="Arial" w:hAnsi="Arial"/>
                <w:sz w:val="14"/>
                <w:szCs w:val="14"/>
                <w:color w:val="auto"/>
              </w:rPr>
              <w:t>(I.R.S. Employer Identification Number)</w:t>
            </w:r>
          </w:p>
        </w:tc>
      </w:tr>
      <w:tr>
        <w:trPr>
          <w:trHeight w:val="282"/>
        </w:trPr>
        <w:tc>
          <w:tcPr>
            <w:tcW w:w="4940" w:type="dxa"/>
            <w:vAlign w:val="bottom"/>
            <w:gridSpan w:val="3"/>
          </w:tcPr>
          <w:p>
            <w:pPr>
              <w:jc w:val="center"/>
              <w:ind w:left="604"/>
              <w:spacing w:after="0"/>
              <w:rPr>
                <w:sz w:val="20"/>
                <w:szCs w:val="20"/>
                <w:color w:val="auto"/>
              </w:rPr>
            </w:pPr>
            <w:r>
              <w:rPr>
                <w:rFonts w:ascii="Arial" w:cs="Arial" w:eastAsia="Arial" w:hAnsi="Arial"/>
                <w:sz w:val="18"/>
                <w:szCs w:val="18"/>
                <w:b w:val="1"/>
                <w:bCs w:val="1"/>
                <w:color w:val="auto"/>
                <w:w w:val="99"/>
              </w:rPr>
              <w:t>180 Grand Avenue, 6th Floor, Oakland, California</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jc w:val="right"/>
              <w:ind w:right="2483"/>
              <w:spacing w:after="0"/>
              <w:rPr>
                <w:sz w:val="20"/>
                <w:szCs w:val="20"/>
                <w:color w:val="auto"/>
              </w:rPr>
            </w:pPr>
            <w:r>
              <w:rPr>
                <w:rFonts w:ascii="Arial" w:cs="Arial" w:eastAsia="Arial" w:hAnsi="Arial"/>
                <w:sz w:val="18"/>
                <w:szCs w:val="18"/>
                <w:b w:val="1"/>
                <w:bCs w:val="1"/>
                <w:color w:val="auto"/>
              </w:rPr>
              <w:t>94612</w:t>
            </w:r>
          </w:p>
        </w:tc>
      </w:tr>
      <w:tr>
        <w:trPr>
          <w:trHeight w:val="190"/>
        </w:trPr>
        <w:tc>
          <w:tcPr>
            <w:tcW w:w="4940" w:type="dxa"/>
            <w:vAlign w:val="bottom"/>
            <w:gridSpan w:val="3"/>
          </w:tcPr>
          <w:p>
            <w:pPr>
              <w:jc w:val="center"/>
              <w:ind w:left="604"/>
              <w:spacing w:after="0"/>
              <w:rPr>
                <w:sz w:val="20"/>
                <w:szCs w:val="20"/>
                <w:color w:val="auto"/>
              </w:rPr>
            </w:pPr>
            <w:r>
              <w:rPr>
                <w:rFonts w:ascii="Arial" w:cs="Arial" w:eastAsia="Arial" w:hAnsi="Arial"/>
                <w:sz w:val="14"/>
                <w:szCs w:val="14"/>
                <w:color w:val="auto"/>
              </w:rPr>
              <w:t>(Address of principal executive offices)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60" w:type="dxa"/>
            <w:vAlign w:val="bottom"/>
          </w:tcPr>
          <w:p>
            <w:pPr>
              <w:jc w:val="center"/>
              <w:ind w:right="1463"/>
              <w:spacing w:after="0"/>
              <w:rPr>
                <w:sz w:val="20"/>
                <w:szCs w:val="20"/>
                <w:color w:val="auto"/>
              </w:rPr>
            </w:pPr>
            <w:r>
              <w:rPr>
                <w:rFonts w:ascii="Arial" w:cs="Arial" w:eastAsia="Arial" w:hAnsi="Arial"/>
                <w:sz w:val="14"/>
                <w:szCs w:val="14"/>
                <w:color w:val="auto"/>
              </w:rPr>
              <w:t>(Zip Code)</w:t>
            </w:r>
          </w:p>
        </w:tc>
      </w:tr>
      <w:tr>
        <w:trPr>
          <w:trHeight w:val="538"/>
        </w:trPr>
        <w:tc>
          <w:tcPr>
            <w:tcW w:w="4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(888) 462-7738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77"/>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66"/>
        </w:trPr>
        <w:tc>
          <w:tcPr>
            <w:tcW w:w="40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60" w:type="dxa"/>
            <w:vAlign w:val="bottom"/>
          </w:tcPr>
          <w:p>
            <w:pPr>
              <w:spacing w:after="0"/>
              <w:rPr>
                <w:sz w:val="5"/>
                <w:szCs w:val="5"/>
                <w:color w:val="auto"/>
              </w:rPr>
            </w:pPr>
          </w:p>
        </w:tc>
      </w:tr>
      <w:tr>
        <w:trPr>
          <w:trHeight w:val="265"/>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09"/>
        </w:trPr>
        <w:tc>
          <w:tcPr>
            <w:tcW w:w="4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center"/>
              <w:ind w:right="703"/>
              <w:spacing w:after="0"/>
              <w:rPr>
                <w:sz w:val="20"/>
                <w:szCs w:val="20"/>
                <w:color w:val="auto"/>
              </w:rPr>
            </w:pPr>
            <w:r>
              <w:rPr>
                <w:rFonts w:ascii="Arial" w:cs="Arial" w:eastAsia="Arial" w:hAnsi="Arial"/>
                <w:sz w:val="14"/>
                <w:szCs w:val="14"/>
                <w:color w:val="auto"/>
              </w:rPr>
              <w:t>Name of each exchange on which registered</w:t>
            </w:r>
          </w:p>
        </w:tc>
      </w:tr>
      <w:tr>
        <w:trPr>
          <w:trHeight w:val="183"/>
        </w:trPr>
        <w:tc>
          <w:tcPr>
            <w:tcW w:w="4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2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7"/>
              </w:rPr>
              <w:t>MQ</w:t>
            </w:r>
          </w:p>
        </w:tc>
        <w:tc>
          <w:tcPr>
            <w:tcW w:w="4060" w:type="dxa"/>
            <w:vAlign w:val="bottom"/>
          </w:tcPr>
          <w:p>
            <w:pPr>
              <w:jc w:val="center"/>
              <w:ind w:right="703"/>
              <w:spacing w:after="0"/>
              <w:rPr>
                <w:sz w:val="20"/>
                <w:szCs w:val="20"/>
                <w:color w:val="auto"/>
              </w:rPr>
            </w:pPr>
            <w:r>
              <w:rPr>
                <w:rFonts w:ascii="Arial" w:cs="Arial" w:eastAsia="Arial" w:hAnsi="Arial"/>
                <w:sz w:val="14"/>
                <w:szCs w:val="14"/>
                <w:b w:val="1"/>
                <w:bCs w:val="1"/>
                <w:color w:val="auto"/>
              </w:rPr>
              <w:t>The Nasdaq Stock Market LLC</w:t>
            </w:r>
          </w:p>
        </w:tc>
      </w:tr>
      <w:tr>
        <w:trPr>
          <w:trHeight w:val="190"/>
        </w:trPr>
        <w:tc>
          <w:tcPr>
            <w:tcW w:w="4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60" w:type="dxa"/>
            <w:vAlign w:val="bottom"/>
          </w:tcPr>
          <w:p>
            <w:pPr>
              <w:jc w:val="center"/>
              <w:ind w:right="703"/>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206"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64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6" w:lineRule="exact"/>
        <w:rPr>
          <w:sz w:val="24"/>
          <w:szCs w:val="24"/>
          <w:color w:val="auto"/>
        </w:rPr>
      </w:pPr>
    </w:p>
    <w:p>
      <w:pPr>
        <w:jc w:val="both"/>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As of August 6, 2021, there were 84,450,540 shares of the registrant's Class A common stock, par value $0.0001 per share, outstanding and 454,948,067 shares of the registrant's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10"/>
          </w:tcPr>
          <w:p>
            <w:pPr>
              <w:ind w:left="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gridSpan w:val="11"/>
            <w:vMerge w:val="restart"/>
          </w:tcPr>
          <w:p>
            <w:pPr>
              <w:ind w:left="7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 Financial Information</w:t>
              </w:r>
            </w:hyperlink>
          </w:p>
        </w:tc>
        <w:tc>
          <w:tcPr>
            <w:tcW w:w="1080" w:type="dxa"/>
            <w:vAlign w:val="bottom"/>
            <w:gridSpan w:val="7"/>
          </w:tcPr>
          <w:p>
            <w:pPr>
              <w:ind w:left="3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360" w:type="dxa"/>
            <w:vAlign w:val="bottom"/>
            <w:gridSpan w:val="11"/>
            <w:vMerge w:val="continue"/>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60" w:type="dxa"/>
            <w:vAlign w:val="bottom"/>
          </w:tcPr>
          <w:p>
            <w:pPr>
              <w:jc w:val="cente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360" w:type="dxa"/>
            <w:vAlign w:val="bottom"/>
            <w:gridSpan w:val="2"/>
          </w:tcPr>
          <w:p>
            <w:pPr>
              <w:spacing w:after="0"/>
              <w:rPr>
                <w:sz w:val="16"/>
                <w:szCs w:val="16"/>
                <w:color w:val="auto"/>
              </w:rPr>
            </w:pPr>
          </w:p>
        </w:tc>
        <w:tc>
          <w:tcPr>
            <w:tcW w:w="3800" w:type="dxa"/>
            <w:vAlign w:val="bottom"/>
            <w:gridSpan w:val="10"/>
          </w:tcPr>
          <w:p>
            <w:pPr>
              <w:spacing w:after="0" w:line="189" w:lineRule="exact"/>
              <w:rPr>
                <w:rFonts w:ascii="Arial" w:cs="Arial" w:eastAsia="Arial" w:hAnsi="Arial"/>
                <w:sz w:val="18"/>
                <w:szCs w:val="18"/>
                <w:color w:val="0000FF"/>
                <w:w w:val="99"/>
              </w:rPr>
            </w:pPr>
            <w:r>
              <w:rPr>
                <w:rFonts w:ascii="Arial" w:cs="Arial" w:eastAsia="Arial" w:hAnsi="Arial"/>
                <w:sz w:val="18"/>
                <w:szCs w:val="18"/>
                <w:color w:val="0000FF"/>
                <w:w w:val="99"/>
              </w:rPr>
              <w:t xml:space="preserve">Condensed Consolidated </w:t>
            </w:r>
            <w:hyperlink w:anchor="page4">
              <w:r>
                <w:rPr>
                  <w:rFonts w:ascii="Arial" w:cs="Arial" w:eastAsia="Arial" w:hAnsi="Arial"/>
                  <w:sz w:val="18"/>
                  <w:szCs w:val="18"/>
                  <w:color w:val="0000FF"/>
                  <w:w w:val="99"/>
                </w:rPr>
                <w:t>Financial Statements:</w:t>
              </w:r>
            </w:hyperlink>
          </w:p>
        </w:tc>
        <w:tc>
          <w:tcPr>
            <w:tcW w:w="5100" w:type="dxa"/>
            <w:vAlign w:val="bottom"/>
            <w:gridSpan w:val="9"/>
          </w:tcPr>
          <w:p>
            <w:pPr>
              <w:spacing w:after="0"/>
              <w:rPr>
                <w:sz w:val="16"/>
                <w:szCs w:val="16"/>
                <w:color w:val="auto"/>
              </w:rPr>
            </w:pPr>
          </w:p>
        </w:tc>
        <w:tc>
          <w:tcPr>
            <w:tcW w:w="660" w:type="dxa"/>
            <w:vAlign w:val="bottom"/>
            <w:gridSpan w:val="5"/>
          </w:tcPr>
          <w:p>
            <w:pPr>
              <w:jc w:val="center"/>
              <w:ind w:left="39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5100" w:type="dxa"/>
            <w:vAlign w:val="bottom"/>
            <w:gridSpan w:val="9"/>
          </w:tcPr>
          <w:p>
            <w:pPr>
              <w:spacing w:after="0"/>
              <w:rPr>
                <w:sz w:val="18"/>
                <w:szCs w:val="18"/>
                <w:color w:val="auto"/>
              </w:rPr>
            </w:pPr>
          </w:p>
        </w:tc>
        <w:tc>
          <w:tcPr>
            <w:tcW w:w="660" w:type="dxa"/>
            <w:vAlign w:val="bottom"/>
            <w:gridSpan w:val="5"/>
          </w:tcPr>
          <w:p>
            <w:pPr>
              <w:jc w:val="center"/>
              <w:ind w:left="39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w:t>
              </w:r>
            </w:hyperlink>
          </w:p>
        </w:tc>
        <w:tc>
          <w:tcPr>
            <w:tcW w:w="660" w:type="dxa"/>
            <w:vAlign w:val="bottom"/>
            <w:gridSpan w:val="5"/>
          </w:tcPr>
          <w:p>
            <w:pPr>
              <w:jc w:val="center"/>
              <w:ind w:left="39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20" w:type="dxa"/>
            <w:vAlign w:val="bottom"/>
            <w:gridSpan w:val="16"/>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Comprehensive Loss</w:t>
              </w:r>
            </w:hyperlink>
          </w:p>
        </w:tc>
        <w:tc>
          <w:tcPr>
            <w:tcW w:w="3980" w:type="dxa"/>
            <w:vAlign w:val="bottom"/>
            <w:gridSpan w:val="3"/>
          </w:tcPr>
          <w:p>
            <w:pPr>
              <w:spacing w:after="0"/>
              <w:rPr>
                <w:sz w:val="18"/>
                <w:szCs w:val="18"/>
                <w:color w:val="auto"/>
              </w:rPr>
            </w:pPr>
          </w:p>
        </w:tc>
        <w:tc>
          <w:tcPr>
            <w:tcW w:w="660" w:type="dxa"/>
            <w:vAlign w:val="bottom"/>
            <w:gridSpan w:val="5"/>
          </w:tcPr>
          <w:p>
            <w:pPr>
              <w:jc w:val="center"/>
              <w:ind w:left="39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0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Redeemable Convertible Preferred Stock and Stockholders' Equity</w:t>
              </w:r>
            </w:hyperlink>
          </w:p>
        </w:tc>
        <w:tc>
          <w:tcPr>
            <w:tcW w:w="660" w:type="dxa"/>
            <w:vAlign w:val="bottom"/>
            <w:gridSpan w:val="5"/>
          </w:tcPr>
          <w:p>
            <w:pPr>
              <w:jc w:val="center"/>
              <w:ind w:left="39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w:anchor="page6">
              <w:r>
                <w:rPr>
                  <w:rFonts w:ascii="Arial" w:cs="Arial" w:eastAsia="Arial" w:hAnsi="Arial"/>
                  <w:sz w:val="18"/>
                  <w:szCs w:val="18"/>
                  <w:color w:val="0000FF"/>
                  <w:w w:val="96"/>
                </w:rPr>
                <w:t>(Deficit)</w:t>
              </w:r>
            </w:hyperlink>
          </w:p>
        </w:tc>
        <w:tc>
          <w:tcPr>
            <w:tcW w:w="7920" w:type="dxa"/>
            <w:vAlign w:val="bottom"/>
            <w:tcBorders>
              <w:top w:val="single" w:sz="8" w:color="0000FF"/>
            </w:tcBorders>
            <w:gridSpan w:val="17"/>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0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660" w:type="dxa"/>
            <w:vAlign w:val="bottom"/>
            <w:gridSpan w:val="5"/>
          </w:tcPr>
          <w:p>
            <w:pPr>
              <w:jc w:val="center"/>
              <w:ind w:left="39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0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660" w:type="dxa"/>
            <w:vAlign w:val="bottom"/>
            <w:gridSpan w:val="5"/>
          </w:tcPr>
          <w:p>
            <w:pPr>
              <w:jc w:val="center"/>
              <w:ind w:left="390"/>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8</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620" w:type="dxa"/>
            <w:vAlign w:val="bottom"/>
            <w:gridSpan w:val="2"/>
          </w:tcPr>
          <w:p>
            <w:pPr>
              <w:jc w:val="center"/>
              <w:ind w:right="60"/>
              <w:spacing w:after="0"/>
              <w:rPr>
                <w:rFonts w:ascii="Arial" w:cs="Arial" w:eastAsia="Arial" w:hAnsi="Arial"/>
                <w:sz w:val="18"/>
                <w:szCs w:val="18"/>
                <w:color w:val="0000FF"/>
              </w:rPr>
            </w:pPr>
            <w:hyperlink w:anchor="page28">
              <w:r>
                <w:rPr>
                  <w:rFonts w:ascii="Arial" w:cs="Arial" w:eastAsia="Arial" w:hAnsi="Arial"/>
                  <w:sz w:val="18"/>
                  <w:szCs w:val="18"/>
                  <w:color w:val="0000FF"/>
                </w:rPr>
                <w:t>Item 2.</w:t>
              </w:r>
            </w:hyperlink>
          </w:p>
        </w:tc>
        <w:tc>
          <w:tcPr>
            <w:tcW w:w="300" w:type="dxa"/>
            <w:vAlign w:val="bottom"/>
          </w:tcPr>
          <w:p>
            <w:pPr>
              <w:spacing w:after="0"/>
              <w:rPr>
                <w:sz w:val="18"/>
                <w:szCs w:val="18"/>
                <w:color w:val="auto"/>
              </w:rPr>
            </w:pPr>
          </w:p>
        </w:tc>
        <w:tc>
          <w:tcPr>
            <w:tcW w:w="890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780" w:type="dxa"/>
            <w:vAlign w:val="bottom"/>
            <w:gridSpan w:val="6"/>
          </w:tcPr>
          <w:p>
            <w:pPr>
              <w:jc w:val="center"/>
              <w:ind w:left="250"/>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26</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0" w:type="dxa"/>
            <w:vAlign w:val="bottom"/>
          </w:tcPr>
          <w:p>
            <w:pPr>
              <w:jc w:val="cente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6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184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320" w:type="dxa"/>
            <w:vAlign w:val="bottom"/>
            <w:gridSpan w:val="4"/>
          </w:tcPr>
          <w:p>
            <w:pPr>
              <w:jc w:val="center"/>
              <w:ind w:right="120"/>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43</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0" w:type="dxa"/>
            <w:vAlign w:val="bottom"/>
          </w:tcPr>
          <w:p>
            <w:pPr>
              <w:jc w:val="center"/>
              <w:spacing w:after="0"/>
              <w:rPr>
                <w:rFonts w:ascii="Arial" w:cs="Arial" w:eastAsia="Arial" w:hAnsi="Arial"/>
                <w:sz w:val="18"/>
                <w:szCs w:val="18"/>
                <w:color w:val="0000FF"/>
              </w:rPr>
            </w:pPr>
            <w:hyperlink w:anchor="page46">
              <w:r>
                <w:rPr>
                  <w:rFonts w:ascii="Arial" w:cs="Arial" w:eastAsia="Arial" w:hAnsi="Arial"/>
                  <w:sz w:val="18"/>
                  <w:szCs w:val="18"/>
                  <w:color w:val="0000FF"/>
                </w:rPr>
                <w:t>Item 4.</w:t>
              </w:r>
            </w:hyperlink>
          </w:p>
        </w:tc>
        <w:tc>
          <w:tcPr>
            <w:tcW w:w="360" w:type="dxa"/>
            <w:vAlign w:val="bottom"/>
            <w:gridSpan w:val="2"/>
          </w:tcPr>
          <w:p>
            <w:pPr>
              <w:spacing w:after="0"/>
              <w:rPr>
                <w:sz w:val="18"/>
                <w:szCs w:val="18"/>
                <w:color w:val="auto"/>
              </w:rPr>
            </w:pPr>
          </w:p>
        </w:tc>
        <w:tc>
          <w:tcPr>
            <w:tcW w:w="4700" w:type="dxa"/>
            <w:vAlign w:val="bottom"/>
            <w:gridSpan w:val="1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4200" w:type="dxa"/>
            <w:vAlign w:val="bottom"/>
            <w:gridSpan w:val="5"/>
          </w:tcPr>
          <w:p>
            <w:pPr>
              <w:spacing w:after="0"/>
              <w:rPr>
                <w:sz w:val="18"/>
                <w:szCs w:val="18"/>
                <w:color w:val="auto"/>
              </w:rPr>
            </w:pPr>
          </w:p>
        </w:tc>
        <w:tc>
          <w:tcPr>
            <w:tcW w:w="460" w:type="dxa"/>
            <w:vAlign w:val="bottom"/>
            <w:gridSpan w:val="2"/>
          </w:tcPr>
          <w:p>
            <w:pPr>
              <w:spacing w:after="0"/>
              <w:rPr>
                <w:sz w:val="18"/>
                <w:szCs w:val="18"/>
                <w:color w:val="auto"/>
              </w:rPr>
            </w:pPr>
          </w:p>
        </w:tc>
        <w:tc>
          <w:tcPr>
            <w:tcW w:w="320" w:type="dxa"/>
            <w:vAlign w:val="bottom"/>
            <w:gridSpan w:val="4"/>
          </w:tcPr>
          <w:p>
            <w:pPr>
              <w:jc w:val="center"/>
              <w:ind w:right="120"/>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44</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80" w:type="dxa"/>
            <w:vAlign w:val="bottom"/>
            <w:gridSpan w:val="10"/>
          </w:tcPr>
          <w:p>
            <w:pPr>
              <w:ind w:left="60"/>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Part II - Other Information</w:t>
              </w:r>
            </w:hyperlink>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20" w:type="dxa"/>
            <w:vAlign w:val="bottom"/>
            <w:gridSpan w:val="3"/>
          </w:tcPr>
          <w:p>
            <w:pPr>
              <w:jc w:val="center"/>
              <w:ind w:right="36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Item 1.</w:t>
              </w:r>
            </w:hyperlink>
          </w:p>
        </w:tc>
        <w:tc>
          <w:tcPr>
            <w:tcW w:w="8900" w:type="dxa"/>
            <w:vAlign w:val="bottom"/>
            <w:gridSpan w:val="19"/>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780" w:type="dxa"/>
            <w:vAlign w:val="bottom"/>
            <w:gridSpan w:val="6"/>
          </w:tcPr>
          <w:p>
            <w:pPr>
              <w:jc w:val="center"/>
              <w:ind w:left="250"/>
              <w:spacing w:after="0" w:line="189"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45</w:t>
              </w:r>
            </w:hyperlink>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20" w:type="dxa"/>
            <w:vAlign w:val="bottom"/>
            <w:gridSpan w:val="2"/>
          </w:tcPr>
          <w:p>
            <w:pPr>
              <w:jc w:val="cente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Item 1A.</w:t>
              </w:r>
            </w:hyperlink>
          </w:p>
        </w:tc>
        <w:tc>
          <w:tcPr>
            <w:tcW w:w="300" w:type="dxa"/>
            <w:vAlign w:val="bottom"/>
          </w:tcPr>
          <w:p>
            <w:pPr>
              <w:spacing w:after="0"/>
              <w:rPr>
                <w:sz w:val="18"/>
                <w:szCs w:val="18"/>
                <w:color w:val="auto"/>
              </w:rPr>
            </w:pPr>
          </w:p>
        </w:tc>
        <w:tc>
          <w:tcPr>
            <w:tcW w:w="1000" w:type="dxa"/>
            <w:vAlign w:val="bottom"/>
            <w:tcBorders>
              <w:top w:val="single" w:sz="8" w:color="0000FF"/>
            </w:tcBorders>
            <w:gridSpan w:val="3"/>
          </w:tcPr>
          <w:p>
            <w:pPr>
              <w:spacing w:after="0"/>
              <w:rPr>
                <w:rFonts w:ascii="Arial" w:cs="Arial" w:eastAsia="Arial" w:hAnsi="Arial"/>
                <w:sz w:val="18"/>
                <w:szCs w:val="18"/>
                <w:color w:val="0000FF"/>
                <w:w w:val="97"/>
              </w:rPr>
            </w:pPr>
            <w:hyperlink w:anchor="page48">
              <w:r>
                <w:rPr>
                  <w:rFonts w:ascii="Arial" w:cs="Arial" w:eastAsia="Arial" w:hAnsi="Arial"/>
                  <w:sz w:val="18"/>
                  <w:szCs w:val="18"/>
                  <w:color w:val="0000FF"/>
                  <w:w w:val="97"/>
                </w:rPr>
                <w:t>Risk Factors</w:t>
              </w:r>
            </w:hyperlink>
          </w:p>
        </w:tc>
        <w:tc>
          <w:tcPr>
            <w:tcW w:w="480" w:type="dxa"/>
            <w:vAlign w:val="bottom"/>
            <w:tcBorders>
              <w:top w:val="single" w:sz="8" w:color="0000FF"/>
            </w:tcBorders>
            <w:gridSpan w:val="2"/>
          </w:tcPr>
          <w:p>
            <w:pPr>
              <w:spacing w:after="0"/>
              <w:rPr>
                <w:sz w:val="18"/>
                <w:szCs w:val="18"/>
                <w:color w:val="auto"/>
              </w:rPr>
            </w:pPr>
          </w:p>
        </w:tc>
        <w:tc>
          <w:tcPr>
            <w:tcW w:w="7420" w:type="dxa"/>
            <w:vAlign w:val="bottom"/>
            <w:gridSpan w:val="14"/>
          </w:tcPr>
          <w:p>
            <w:pPr>
              <w:spacing w:after="0"/>
              <w:rPr>
                <w:sz w:val="18"/>
                <w:szCs w:val="18"/>
                <w:color w:val="auto"/>
              </w:rPr>
            </w:pPr>
          </w:p>
        </w:tc>
        <w:tc>
          <w:tcPr>
            <w:tcW w:w="460" w:type="dxa"/>
            <w:vAlign w:val="bottom"/>
            <w:gridSpan w:val="2"/>
          </w:tcPr>
          <w:p>
            <w:pPr>
              <w:spacing w:after="0"/>
              <w:rPr>
                <w:sz w:val="18"/>
                <w:szCs w:val="18"/>
                <w:color w:val="auto"/>
              </w:rPr>
            </w:pPr>
          </w:p>
        </w:tc>
        <w:tc>
          <w:tcPr>
            <w:tcW w:w="320" w:type="dxa"/>
            <w:vAlign w:val="bottom"/>
            <w:gridSpan w:val="4"/>
          </w:tcPr>
          <w:p>
            <w:pPr>
              <w:jc w:val="center"/>
              <w:ind w:right="120"/>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45</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0" w:type="dxa"/>
            <w:vAlign w:val="bottom"/>
          </w:tcPr>
          <w:p>
            <w:pPr>
              <w:jc w:val="center"/>
              <w:spacing w:after="0"/>
              <w:rPr>
                <w:rFonts w:ascii="Arial" w:cs="Arial" w:eastAsia="Arial" w:hAnsi="Arial"/>
                <w:sz w:val="18"/>
                <w:szCs w:val="18"/>
                <w:color w:val="0000FF"/>
              </w:rPr>
            </w:pPr>
            <w:hyperlink w:anchor="page84">
              <w:r>
                <w:rPr>
                  <w:rFonts w:ascii="Arial" w:cs="Arial" w:eastAsia="Arial" w:hAnsi="Arial"/>
                  <w:sz w:val="18"/>
                  <w:szCs w:val="18"/>
                  <w:color w:val="0000FF"/>
                </w:rPr>
                <w:t>Item 2.</w:t>
              </w:r>
            </w:hyperlink>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00" w:type="dxa"/>
            <w:vAlign w:val="bottom"/>
            <w:gridSpan w:val="19"/>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Unregistered Sales of Equity Securities and Use of Proceeds</w:t>
              </w:r>
            </w:hyperlink>
          </w:p>
        </w:tc>
        <w:tc>
          <w:tcPr>
            <w:tcW w:w="780" w:type="dxa"/>
            <w:vAlign w:val="bottom"/>
            <w:gridSpan w:val="6"/>
          </w:tcPr>
          <w:p>
            <w:pPr>
              <w:jc w:val="center"/>
              <w:ind w:left="250"/>
              <w:spacing w:after="0"/>
              <w:rPr>
                <w:rFonts w:ascii="Arial" w:cs="Arial" w:eastAsia="Arial" w:hAnsi="Arial"/>
                <w:sz w:val="18"/>
                <w:szCs w:val="18"/>
                <w:color w:val="0000FF"/>
                <w:w w:val="99"/>
              </w:rPr>
            </w:pPr>
            <w:hyperlink w:anchor="page84">
              <w:r>
                <w:rPr>
                  <w:rFonts w:ascii="Arial" w:cs="Arial" w:eastAsia="Arial" w:hAnsi="Arial"/>
                  <w:sz w:val="18"/>
                  <w:szCs w:val="18"/>
                  <w:color w:val="0000FF"/>
                  <w:w w:val="99"/>
                </w:rPr>
                <w:t>82</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0" w:type="dxa"/>
            <w:vAlign w:val="bottom"/>
          </w:tcPr>
          <w:p>
            <w:pPr>
              <w:jc w:val="center"/>
              <w:spacing w:after="0"/>
              <w:rPr>
                <w:rFonts w:ascii="Arial" w:cs="Arial" w:eastAsia="Arial" w:hAnsi="Arial"/>
                <w:sz w:val="18"/>
                <w:szCs w:val="18"/>
                <w:color w:val="0000FF"/>
              </w:rPr>
            </w:pPr>
            <w:hyperlink w:anchor="page85">
              <w:r>
                <w:rPr>
                  <w:rFonts w:ascii="Arial" w:cs="Arial" w:eastAsia="Arial" w:hAnsi="Arial"/>
                  <w:sz w:val="18"/>
                  <w:szCs w:val="18"/>
                  <w:color w:val="0000FF"/>
                </w:rPr>
                <w:t>Item 3.</w:t>
              </w:r>
            </w:hyperlink>
          </w:p>
        </w:tc>
        <w:tc>
          <w:tcPr>
            <w:tcW w:w="360" w:type="dxa"/>
            <w:vAlign w:val="bottom"/>
            <w:gridSpan w:val="2"/>
          </w:tcPr>
          <w:p>
            <w:pPr>
              <w:spacing w:after="0"/>
              <w:rPr>
                <w:sz w:val="18"/>
                <w:szCs w:val="18"/>
                <w:color w:val="auto"/>
              </w:rPr>
            </w:pPr>
          </w:p>
        </w:tc>
        <w:tc>
          <w:tcPr>
            <w:tcW w:w="4840" w:type="dxa"/>
            <w:vAlign w:val="bottom"/>
            <w:gridSpan w:val="15"/>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Defaults Upon Senior Securities</w:t>
              </w:r>
            </w:hyperlink>
          </w:p>
        </w:tc>
        <w:tc>
          <w:tcPr>
            <w:tcW w:w="4060" w:type="dxa"/>
            <w:vAlign w:val="bottom"/>
            <w:gridSpan w:val="4"/>
          </w:tcPr>
          <w:p>
            <w:pPr>
              <w:spacing w:after="0"/>
              <w:rPr>
                <w:sz w:val="18"/>
                <w:szCs w:val="18"/>
                <w:color w:val="auto"/>
              </w:rPr>
            </w:pPr>
          </w:p>
        </w:tc>
        <w:tc>
          <w:tcPr>
            <w:tcW w:w="460" w:type="dxa"/>
            <w:vAlign w:val="bottom"/>
            <w:gridSpan w:val="2"/>
          </w:tcPr>
          <w:p>
            <w:pPr>
              <w:spacing w:after="0"/>
              <w:rPr>
                <w:sz w:val="18"/>
                <w:szCs w:val="18"/>
                <w:color w:val="auto"/>
              </w:rPr>
            </w:pPr>
          </w:p>
        </w:tc>
        <w:tc>
          <w:tcPr>
            <w:tcW w:w="320" w:type="dxa"/>
            <w:vAlign w:val="bottom"/>
            <w:gridSpan w:val="4"/>
          </w:tcPr>
          <w:p>
            <w:pPr>
              <w:jc w:val="center"/>
              <w:ind w:right="120"/>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83</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0" w:type="dxa"/>
            <w:vAlign w:val="bottom"/>
          </w:tcPr>
          <w:p>
            <w:pPr>
              <w:jc w:val="center"/>
              <w:spacing w:after="0"/>
              <w:rPr>
                <w:rFonts w:ascii="Arial" w:cs="Arial" w:eastAsia="Arial" w:hAnsi="Arial"/>
                <w:sz w:val="18"/>
                <w:szCs w:val="18"/>
                <w:color w:val="0000FF"/>
              </w:rPr>
            </w:pPr>
            <w:hyperlink w:anchor="page86">
              <w:r>
                <w:rPr>
                  <w:rFonts w:ascii="Arial" w:cs="Arial" w:eastAsia="Arial" w:hAnsi="Arial"/>
                  <w:sz w:val="18"/>
                  <w:szCs w:val="18"/>
                  <w:color w:val="0000FF"/>
                </w:rPr>
                <w:t>Item 4.</w:t>
              </w:r>
            </w:hyperlink>
          </w:p>
        </w:tc>
        <w:tc>
          <w:tcPr>
            <w:tcW w:w="360" w:type="dxa"/>
            <w:vAlign w:val="bottom"/>
            <w:gridSpan w:val="2"/>
          </w:tcPr>
          <w:p>
            <w:pPr>
              <w:spacing w:after="0"/>
              <w:rPr>
                <w:sz w:val="18"/>
                <w:szCs w:val="18"/>
                <w:color w:val="auto"/>
              </w:rPr>
            </w:pPr>
          </w:p>
        </w:tc>
        <w:tc>
          <w:tcPr>
            <w:tcW w:w="2540" w:type="dxa"/>
            <w:vAlign w:val="bottom"/>
            <w:gridSpan w:val="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Mine Safety Disclosures</w:t>
              </w:r>
            </w:hyperlink>
          </w:p>
        </w:tc>
        <w:tc>
          <w:tcPr>
            <w:tcW w:w="6360" w:type="dxa"/>
            <w:vAlign w:val="bottom"/>
            <w:gridSpan w:val="11"/>
          </w:tcPr>
          <w:p>
            <w:pPr>
              <w:spacing w:after="0"/>
              <w:rPr>
                <w:sz w:val="18"/>
                <w:szCs w:val="18"/>
                <w:color w:val="auto"/>
              </w:rPr>
            </w:pPr>
          </w:p>
        </w:tc>
        <w:tc>
          <w:tcPr>
            <w:tcW w:w="460" w:type="dxa"/>
            <w:vAlign w:val="bottom"/>
            <w:gridSpan w:val="2"/>
          </w:tcPr>
          <w:p>
            <w:pPr>
              <w:spacing w:after="0"/>
              <w:rPr>
                <w:sz w:val="18"/>
                <w:szCs w:val="18"/>
                <w:color w:val="auto"/>
              </w:rPr>
            </w:pPr>
          </w:p>
        </w:tc>
        <w:tc>
          <w:tcPr>
            <w:tcW w:w="320" w:type="dxa"/>
            <w:vAlign w:val="bottom"/>
            <w:gridSpan w:val="4"/>
          </w:tcPr>
          <w:p>
            <w:pPr>
              <w:jc w:val="center"/>
              <w:ind w:right="120"/>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83</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980" w:type="dxa"/>
            <w:vAlign w:val="bottom"/>
            <w:gridSpan w:val="1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0" w:type="dxa"/>
            <w:vAlign w:val="bottom"/>
          </w:tcPr>
          <w:p>
            <w:pPr>
              <w:jc w:val="center"/>
              <w:spacing w:after="0"/>
              <w:rPr>
                <w:rFonts w:ascii="Arial" w:cs="Arial" w:eastAsia="Arial" w:hAnsi="Arial"/>
                <w:sz w:val="18"/>
                <w:szCs w:val="18"/>
                <w:color w:val="0000FF"/>
              </w:rPr>
            </w:pPr>
            <w:hyperlink w:anchor="page86">
              <w:r>
                <w:rPr>
                  <w:rFonts w:ascii="Arial" w:cs="Arial" w:eastAsia="Arial" w:hAnsi="Arial"/>
                  <w:sz w:val="18"/>
                  <w:szCs w:val="18"/>
                  <w:color w:val="0000FF"/>
                </w:rPr>
                <w:t>Item 5.</w:t>
              </w:r>
            </w:hyperlink>
          </w:p>
        </w:tc>
        <w:tc>
          <w:tcPr>
            <w:tcW w:w="360" w:type="dxa"/>
            <w:vAlign w:val="bottom"/>
            <w:gridSpan w:val="2"/>
          </w:tcPr>
          <w:p>
            <w:pPr>
              <w:spacing w:after="0"/>
              <w:rPr>
                <w:sz w:val="18"/>
                <w:szCs w:val="18"/>
                <w:color w:val="auto"/>
              </w:rPr>
            </w:pPr>
          </w:p>
        </w:tc>
        <w:tc>
          <w:tcPr>
            <w:tcW w:w="1400" w:type="dxa"/>
            <w:vAlign w:val="bottom"/>
            <w:gridSpan w:val="4"/>
          </w:tcPr>
          <w:p>
            <w:pPr>
              <w:spacing w:after="0"/>
              <w:rPr>
                <w:rFonts w:ascii="Arial" w:cs="Arial" w:eastAsia="Arial" w:hAnsi="Arial"/>
                <w:sz w:val="18"/>
                <w:szCs w:val="18"/>
                <w:color w:val="0000FF"/>
                <w:w w:val="98"/>
              </w:rPr>
            </w:pPr>
            <w:hyperlink w:anchor="page86">
              <w:r>
                <w:rPr>
                  <w:rFonts w:ascii="Arial" w:cs="Arial" w:eastAsia="Arial" w:hAnsi="Arial"/>
                  <w:sz w:val="18"/>
                  <w:szCs w:val="18"/>
                  <w:color w:val="0000FF"/>
                  <w:w w:val="98"/>
                </w:rPr>
                <w:t>Other Information</w:t>
              </w:r>
            </w:hyperlink>
          </w:p>
        </w:tc>
        <w:tc>
          <w:tcPr>
            <w:tcW w:w="520" w:type="dxa"/>
            <w:vAlign w:val="bottom"/>
            <w:gridSpan w:val="2"/>
          </w:tcPr>
          <w:p>
            <w:pPr>
              <w:spacing w:after="0"/>
              <w:rPr>
                <w:sz w:val="18"/>
                <w:szCs w:val="18"/>
                <w:color w:val="auto"/>
              </w:rPr>
            </w:pPr>
          </w:p>
        </w:tc>
        <w:tc>
          <w:tcPr>
            <w:tcW w:w="6980" w:type="dxa"/>
            <w:vAlign w:val="bottom"/>
            <w:gridSpan w:val="13"/>
          </w:tcPr>
          <w:p>
            <w:pPr>
              <w:spacing w:after="0"/>
              <w:rPr>
                <w:sz w:val="18"/>
                <w:szCs w:val="18"/>
                <w:color w:val="auto"/>
              </w:rPr>
            </w:pPr>
          </w:p>
        </w:tc>
        <w:tc>
          <w:tcPr>
            <w:tcW w:w="460" w:type="dxa"/>
            <w:vAlign w:val="bottom"/>
            <w:gridSpan w:val="2"/>
          </w:tcPr>
          <w:p>
            <w:pPr>
              <w:spacing w:after="0"/>
              <w:rPr>
                <w:sz w:val="18"/>
                <w:szCs w:val="18"/>
                <w:color w:val="auto"/>
              </w:rPr>
            </w:pPr>
          </w:p>
        </w:tc>
        <w:tc>
          <w:tcPr>
            <w:tcW w:w="320" w:type="dxa"/>
            <w:vAlign w:val="bottom"/>
            <w:gridSpan w:val="4"/>
          </w:tcPr>
          <w:p>
            <w:pPr>
              <w:jc w:val="center"/>
              <w:ind w:right="120"/>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83</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500" w:type="dxa"/>
            <w:vAlign w:val="bottom"/>
            <w:gridSpan w:val="1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0" w:type="dxa"/>
            <w:vAlign w:val="bottom"/>
          </w:tcPr>
          <w:p>
            <w:pPr>
              <w:jc w:val="center"/>
              <w:spacing w:after="0"/>
              <w:rPr>
                <w:rFonts w:ascii="Arial" w:cs="Arial" w:eastAsia="Arial" w:hAnsi="Arial"/>
                <w:sz w:val="18"/>
                <w:szCs w:val="18"/>
                <w:color w:val="0000FF"/>
              </w:rPr>
            </w:pPr>
            <w:hyperlink w:anchor="page86">
              <w:r>
                <w:rPr>
                  <w:rFonts w:ascii="Arial" w:cs="Arial" w:eastAsia="Arial" w:hAnsi="Arial"/>
                  <w:sz w:val="18"/>
                  <w:szCs w:val="18"/>
                  <w:color w:val="0000FF"/>
                </w:rPr>
                <w:t>Item 6.</w:t>
              </w:r>
            </w:hyperlink>
          </w:p>
        </w:tc>
        <w:tc>
          <w:tcPr>
            <w:tcW w:w="360" w:type="dxa"/>
            <w:vAlign w:val="bottom"/>
            <w:gridSpan w:val="2"/>
          </w:tcPr>
          <w:p>
            <w:pPr>
              <w:spacing w:after="0"/>
              <w:rPr>
                <w:sz w:val="18"/>
                <w:szCs w:val="18"/>
                <w:color w:val="auto"/>
              </w:rPr>
            </w:pPr>
          </w:p>
        </w:tc>
        <w:tc>
          <w:tcPr>
            <w:tcW w:w="1400" w:type="dxa"/>
            <w:vAlign w:val="bottom"/>
            <w:gridSpan w:val="4"/>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Exhibits</w:t>
              </w:r>
            </w:hyperlink>
          </w:p>
        </w:tc>
        <w:tc>
          <w:tcPr>
            <w:tcW w:w="7500" w:type="dxa"/>
            <w:vAlign w:val="bottom"/>
            <w:gridSpan w:val="15"/>
          </w:tcPr>
          <w:p>
            <w:pPr>
              <w:spacing w:after="0"/>
              <w:rPr>
                <w:sz w:val="18"/>
                <w:szCs w:val="18"/>
                <w:color w:val="auto"/>
              </w:rPr>
            </w:pPr>
          </w:p>
        </w:tc>
        <w:tc>
          <w:tcPr>
            <w:tcW w:w="460" w:type="dxa"/>
            <w:vAlign w:val="bottom"/>
            <w:gridSpan w:val="2"/>
          </w:tcPr>
          <w:p>
            <w:pPr>
              <w:spacing w:after="0"/>
              <w:rPr>
                <w:sz w:val="18"/>
                <w:szCs w:val="18"/>
                <w:color w:val="auto"/>
              </w:rPr>
            </w:pPr>
          </w:p>
        </w:tc>
        <w:tc>
          <w:tcPr>
            <w:tcW w:w="320" w:type="dxa"/>
            <w:vAlign w:val="bottom"/>
            <w:gridSpan w:val="4"/>
          </w:tcPr>
          <w:p>
            <w:pPr>
              <w:jc w:val="center"/>
              <w:ind w:right="120"/>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84</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4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00" w:type="dxa"/>
            <w:vAlign w:val="bottom"/>
            <w:gridSpan w:val="19"/>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Signatures</w:t>
              </w:r>
            </w:hyperlink>
          </w:p>
        </w:tc>
        <w:tc>
          <w:tcPr>
            <w:tcW w:w="780" w:type="dxa"/>
            <w:vAlign w:val="bottom"/>
            <w:gridSpan w:val="6"/>
          </w:tcPr>
          <w:p>
            <w:pPr>
              <w:jc w:val="center"/>
              <w:ind w:left="250"/>
              <w:spacing w:after="0"/>
              <w:rPr>
                <w:rFonts w:ascii="Arial" w:cs="Arial" w:eastAsia="Arial" w:hAnsi="Arial"/>
                <w:sz w:val="18"/>
                <w:szCs w:val="18"/>
                <w:color w:val="0000FF"/>
                <w:w w:val="99"/>
              </w:rPr>
            </w:pPr>
            <w:hyperlink w:anchor="page88">
              <w:r>
                <w:rPr>
                  <w:rFonts w:ascii="Arial" w:cs="Arial" w:eastAsia="Arial" w:hAnsi="Arial"/>
                  <w:sz w:val="18"/>
                  <w:szCs w:val="18"/>
                  <w:color w:val="0000FF"/>
                  <w:w w:val="99"/>
                </w:rPr>
                <w:t>86</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8"/>
        </w:trPr>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5" w:lineRule="exact"/>
        <w:rPr>
          <w:sz w:val="20"/>
          <w:szCs w:val="20"/>
          <w:color w:val="auto"/>
        </w:rPr>
      </w:pPr>
    </w:p>
    <w:p>
      <w:pPr>
        <w:ind w:left="66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uncertainties related to the global COVID-19 pandemic on U.S. and global economies, our business, results of operations, financial condition, demand for our Platform, sales cycles and Customer retention;</w:t>
      </w:r>
    </w:p>
    <w:p>
      <w:pPr>
        <w:spacing w:after="0" w:line="1" w:lineRule="exact"/>
        <w:rPr>
          <w:rFonts w:ascii="Arial" w:cs="Arial" w:eastAsia="Arial" w:hAnsi="Arial"/>
          <w:sz w:val="18"/>
          <w:szCs w:val="18"/>
          <w:i w:val="1"/>
          <w:iCs w:val="1"/>
          <w:color w:val="auto"/>
        </w:rPr>
      </w:pPr>
    </w:p>
    <w:p>
      <w:pPr>
        <w:ind w:left="660" w:right="2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net revenue, costs of revenue and operating expenses and our ability to achieve and maintain future profitability;</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enhance our Platform and develop and expand its capabilities;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further attract, retain, diversify, and expand our Customer base;</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as to live events returning throughout the second half of 2021, including Money20/20;</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our relationships with our Issuing Banks and Card Networks;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expand internationally;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with existing and new competitors in existing and new markets and offerings;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and protect our brand;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laws and regulations;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remediate our material weakness in our internal control over financial reporting; 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expenses associated with being a public company.</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Quarterly Report on Form 10-Q. 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4"/>
                <w:szCs w:val="14"/>
                <w:color w:val="auto"/>
              </w:rPr>
            </w:pPr>
          </w:p>
        </w:tc>
        <w:tc>
          <w:tcPr>
            <w:tcW w:w="1300" w:type="dxa"/>
            <w:vAlign w:val="bottom"/>
          </w:tcPr>
          <w:p>
            <w:pPr>
              <w:jc w:val="right"/>
              <w:ind w:right="164"/>
              <w:spacing w:after="0"/>
              <w:rPr>
                <w:sz w:val="20"/>
                <w:szCs w:val="20"/>
                <w:color w:val="auto"/>
              </w:rPr>
            </w:pPr>
            <w:r>
              <w:rPr>
                <w:rFonts w:ascii="Arial" w:cs="Arial" w:eastAsia="Arial" w:hAnsi="Arial"/>
                <w:sz w:val="15"/>
                <w:szCs w:val="15"/>
                <w:b w:val="1"/>
                <w:bCs w:val="1"/>
                <w:color w:val="auto"/>
              </w:rPr>
              <w:t>December 31,</w:t>
            </w:r>
          </w:p>
        </w:tc>
      </w:tr>
      <w:tr>
        <w:trPr>
          <w:trHeight w:val="202"/>
        </w:trPr>
        <w:tc>
          <w:tcPr>
            <w:tcW w:w="8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2020</w:t>
            </w: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8"/>
        </w:trPr>
        <w:tc>
          <w:tcPr>
            <w:tcW w:w="82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1,579,287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220,433</w:t>
            </w:r>
          </w:p>
        </w:tc>
      </w:tr>
      <w:tr>
        <w:trPr>
          <w:trHeight w:val="198"/>
        </w:trPr>
        <w:tc>
          <w:tcPr>
            <w:tcW w:w="822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7,800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7,800</w:t>
            </w:r>
          </w:p>
        </w:tc>
      </w:tr>
      <w:tr>
        <w:trPr>
          <w:trHeight w:val="233"/>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Marketable securities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105,053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149,903</w:t>
            </w:r>
          </w:p>
        </w:tc>
      </w:tr>
      <w:tr>
        <w:trPr>
          <w:trHeight w:val="198"/>
        </w:trPr>
        <w:tc>
          <w:tcPr>
            <w:tcW w:w="822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5,931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8,420</w:t>
            </w:r>
          </w:p>
        </w:tc>
      </w:tr>
      <w:tr>
        <w:trPr>
          <w:trHeight w:val="207"/>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Settlements receivable, net</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12,867</w:t>
            </w:r>
          </w:p>
        </w:tc>
      </w:tr>
      <w:tr>
        <w:trPr>
          <w:trHeight w:val="226"/>
        </w:trPr>
        <w:tc>
          <w:tcPr>
            <w:tcW w:w="8220" w:type="dxa"/>
            <w:vAlign w:val="bottom"/>
          </w:tcPr>
          <w:p>
            <w:pPr>
              <w:ind w:left="140"/>
              <w:spacing w:after="0"/>
              <w:rPr>
                <w:sz w:val="20"/>
                <w:szCs w:val="20"/>
                <w:color w:val="auto"/>
              </w:rPr>
            </w:pPr>
            <w:r>
              <w:rPr>
                <w:rFonts w:ascii="Arial" w:cs="Arial" w:eastAsia="Arial" w:hAnsi="Arial"/>
                <w:sz w:val="15"/>
                <w:szCs w:val="15"/>
                <w:color w:val="auto"/>
              </w:rPr>
              <w:t>Network incentives receivable</w:t>
            </w:r>
          </w:p>
        </w:tc>
        <w:tc>
          <w:tcPr>
            <w:tcW w:w="260" w:type="dxa"/>
            <w:vAlign w:val="bottom"/>
          </w:tcPr>
          <w:p>
            <w:pPr>
              <w:spacing w:after="0"/>
              <w:rPr>
                <w:sz w:val="19"/>
                <w:szCs w:val="19"/>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37,437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20,022</w:t>
            </w:r>
          </w:p>
        </w:tc>
      </w:tr>
      <w:tr>
        <w:trPr>
          <w:trHeight w:val="203"/>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11,179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11,461</w:t>
            </w:r>
          </w:p>
        </w:tc>
      </w:tr>
      <w:tr>
        <w:trPr>
          <w:trHeight w:val="196"/>
        </w:trPr>
        <w:tc>
          <w:tcPr>
            <w:tcW w:w="822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1,756,285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430,906</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9,477</w:t>
            </w:r>
          </w:p>
        </w:tc>
      </w:tr>
      <w:tr>
        <w:trPr>
          <w:trHeight w:val="198"/>
        </w:trPr>
        <w:tc>
          <w:tcPr>
            <w:tcW w:w="8220" w:type="dxa"/>
            <w:vAlign w:val="bottom"/>
          </w:tcPr>
          <w:p>
            <w:pPr>
              <w:ind w:left="20"/>
              <w:spacing w:after="0"/>
              <w:rPr>
                <w:sz w:val="20"/>
                <w:szCs w:val="20"/>
                <w:color w:val="auto"/>
              </w:rPr>
            </w:pPr>
            <w:r>
              <w:rPr>
                <w:rFonts w:ascii="Arial" w:cs="Arial" w:eastAsia="Arial" w:hAnsi="Arial"/>
                <w:sz w:val="15"/>
                <w:szCs w:val="15"/>
                <w:color w:val="auto"/>
              </w:rPr>
              <w:t>Operating lease right-of-use assets, net</w:t>
            </w: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12,353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13,411</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1,582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3,886</w:t>
            </w:r>
          </w:p>
        </w:tc>
      </w:tr>
      <w:tr>
        <w:trPr>
          <w:trHeight w:val="200"/>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1,780,324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457,680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822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redeemable convertible preferred stock, and stockholders’ equity (deficit)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9"/>
        </w:trPr>
        <w:tc>
          <w:tcPr>
            <w:tcW w:w="822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2,362</w:t>
            </w:r>
          </w:p>
        </w:tc>
      </w:tr>
      <w:tr>
        <w:trPr>
          <w:trHeight w:val="199"/>
        </w:trPr>
        <w:tc>
          <w:tcPr>
            <w:tcW w:w="8220" w:type="dxa"/>
            <w:vAlign w:val="bottom"/>
          </w:tcPr>
          <w:p>
            <w:pPr>
              <w:ind w:left="140"/>
              <w:spacing w:after="0"/>
              <w:rPr>
                <w:sz w:val="20"/>
                <w:szCs w:val="20"/>
                <w:color w:val="auto"/>
              </w:rPr>
            </w:pPr>
            <w:r>
              <w:rPr>
                <w:rFonts w:ascii="Arial" w:cs="Arial" w:eastAsia="Arial" w:hAnsi="Arial"/>
                <w:sz w:val="15"/>
                <w:szCs w:val="15"/>
                <w:color w:val="auto"/>
              </w:rPr>
              <w:t>Revenue share payable</w:t>
            </w: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78,191</w:t>
            </w:r>
          </w:p>
        </w:tc>
      </w:tr>
      <w:tr>
        <w:trPr>
          <w:trHeight w:val="203"/>
        </w:trPr>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87,323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60,545</w:t>
            </w:r>
          </w:p>
        </w:tc>
      </w:tr>
      <w:tr>
        <w:trPr>
          <w:trHeight w:val="196"/>
        </w:trPr>
        <w:tc>
          <w:tcPr>
            <w:tcW w:w="822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171,639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141,098</w:t>
            </w:r>
          </w:p>
        </w:tc>
      </w:tr>
      <w:tr>
        <w:trPr>
          <w:trHeight w:val="206"/>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Redeemable convertible preferred stock warrant liabilities</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2,517</w:t>
            </w:r>
          </w:p>
        </w:tc>
      </w:tr>
      <w:tr>
        <w:trPr>
          <w:trHeight w:val="198"/>
        </w:trPr>
        <w:tc>
          <w:tcPr>
            <w:tcW w:w="822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13,984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15,449</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8,715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10,452</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194,338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169,516</w:t>
            </w: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 (Note 7)</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9"/>
        </w:trPr>
        <w:tc>
          <w:tcPr>
            <w:tcW w:w="8220" w:type="dxa"/>
            <w:vAlign w:val="bottom"/>
          </w:tcPr>
          <w:p>
            <w:pPr>
              <w:ind w:left="20"/>
              <w:spacing w:after="0"/>
              <w:rPr>
                <w:sz w:val="20"/>
                <w:szCs w:val="20"/>
                <w:color w:val="auto"/>
              </w:rPr>
            </w:pPr>
            <w:r>
              <w:rPr>
                <w:rFonts w:ascii="Arial" w:cs="Arial" w:eastAsia="Arial" w:hAnsi="Arial"/>
                <w:sz w:val="15"/>
                <w:szCs w:val="15"/>
                <w:color w:val="auto"/>
              </w:rPr>
              <w:t>Redeemable convertible preferred stock, $0.0001 par value; zero and 352,047,950 shares authorized; zero and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75"/>
        </w:trPr>
        <w:tc>
          <w:tcPr>
            <w:tcW w:w="8220" w:type="dxa"/>
            <w:vAlign w:val="bottom"/>
          </w:tcPr>
          <w:p>
            <w:pPr>
              <w:ind w:left="20"/>
              <w:spacing w:after="0"/>
              <w:rPr>
                <w:sz w:val="20"/>
                <w:szCs w:val="20"/>
                <w:color w:val="auto"/>
              </w:rPr>
            </w:pPr>
            <w:r>
              <w:rPr>
                <w:rFonts w:ascii="Arial" w:cs="Arial" w:eastAsia="Arial" w:hAnsi="Arial"/>
                <w:sz w:val="15"/>
                <w:szCs w:val="15"/>
                <w:color w:val="auto"/>
              </w:rPr>
              <w:t>351,844,340 shares issued and outstanding; aggregate liquidation preference of zero and $552,868 as of June 30, 2021</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2"/>
        </w:trPr>
        <w:tc>
          <w:tcPr>
            <w:tcW w:w="8220" w:type="dxa"/>
            <w:vAlign w:val="bottom"/>
          </w:tcPr>
          <w:p>
            <w:pPr>
              <w:ind w:left="20"/>
              <w:spacing w:after="0"/>
              <w:rPr>
                <w:sz w:val="20"/>
                <w:szCs w:val="20"/>
                <w:color w:val="auto"/>
              </w:rPr>
            </w:pPr>
            <w:r>
              <w:rPr>
                <w:rFonts w:ascii="Arial" w:cs="Arial" w:eastAsia="Arial" w:hAnsi="Arial"/>
                <w:sz w:val="15"/>
                <w:szCs w:val="15"/>
                <w:color w:val="auto"/>
              </w:rPr>
              <w:t>and December 31, 2020, respectively</w:t>
            </w:r>
          </w:p>
        </w:tc>
        <w:tc>
          <w:tcPr>
            <w:tcW w:w="2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501,881</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 (deficit):</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9"/>
        </w:trPr>
        <w:tc>
          <w:tcPr>
            <w:tcW w:w="8220" w:type="dxa"/>
            <w:vAlign w:val="bottom"/>
          </w:tcPr>
          <w:p>
            <w:pPr>
              <w:ind w:left="20"/>
              <w:spacing w:after="0"/>
              <w:rPr>
                <w:sz w:val="20"/>
                <w:szCs w:val="20"/>
                <w:color w:val="auto"/>
              </w:rPr>
            </w:pPr>
            <w:r>
              <w:rPr>
                <w:rFonts w:ascii="Arial" w:cs="Arial" w:eastAsia="Arial" w:hAnsi="Arial"/>
                <w:sz w:val="15"/>
                <w:szCs w:val="15"/>
                <w:color w:val="auto"/>
              </w:rPr>
              <w:t>Preferred stock, $0.0001 par value; 100,000,000 and zero shares authorized, no shares issued and outstanding as of</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8220" w:type="dxa"/>
            <w:vAlign w:val="bottom"/>
          </w:tcPr>
          <w:p>
            <w:pPr>
              <w:ind w:left="20"/>
              <w:spacing w:after="0"/>
              <w:rPr>
                <w:sz w:val="20"/>
                <w:szCs w:val="20"/>
                <w:color w:val="auto"/>
              </w:rPr>
            </w:pPr>
            <w:r>
              <w:rPr>
                <w:rFonts w:ascii="Arial" w:cs="Arial" w:eastAsia="Arial" w:hAnsi="Arial"/>
                <w:sz w:val="15"/>
                <w:szCs w:val="15"/>
                <w:color w:val="auto"/>
              </w:rPr>
              <w:t>June 30, 2021 and December 31, 2020, respectively</w:t>
            </w:r>
          </w:p>
        </w:tc>
        <w:tc>
          <w:tcPr>
            <w:tcW w:w="2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$0.0001 par value: 1,500,000,000 and zero Class A shares authorized, 65,947,205 and zero shares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75"/>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issued and outstanding as of June 30, 2021 and December 31, 2020, respectively. 600,000,000 and 545,000,000 Class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5"/>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 shares authorized, 472,936,246 and 130,312,838 shares issued and outstanding as of June 30, 2021 and</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06"/>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2020, respectively</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98"/>
        </w:trPr>
        <w:tc>
          <w:tcPr>
            <w:tcW w:w="822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1,920,936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39,769</w:t>
            </w:r>
          </w:p>
        </w:tc>
      </w:tr>
      <w:tr>
        <w:trPr>
          <w:trHeight w:val="206"/>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income (loss)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19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deficit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(334,916)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(253,524)</w:t>
            </w: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stockholders’ equity (deficit)</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1,585,986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(213,717)</w:t>
            </w:r>
          </w:p>
        </w:tc>
      </w:tr>
      <w:tr>
        <w:trPr>
          <w:trHeight w:val="200"/>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Total liabilities, redeemable convertible preferred stock and stockholders’ equity (deficit)</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1,780,324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457,680</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78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117,790</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Costs of revenue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71,611</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46,179</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benefits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50,883</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Professional services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4,825</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Occupancy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Marketing and advertising</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67,989</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(21,810)</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(21,610)</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(68,554)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(81,392)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Arial" w:cs="Arial" w:eastAsia="Arial" w:hAnsi="Arial"/>
                <w:sz w:val="16"/>
                <w:szCs w:val="16"/>
                <w:color w:val="auto"/>
              </w:rPr>
              <w:t>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940" w:type="dxa"/>
            <w:vAlign w:val="bottom"/>
            <w:vMerge w:val="continue"/>
          </w:tcPr>
          <w:p>
            <w:pPr>
              <w:spacing w:after="0"/>
              <w:rPr>
                <w:sz w:val="10"/>
                <w:szCs w:val="10"/>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10"/>
                <w:szCs w:val="10"/>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0"/>
                <w:szCs w:val="10"/>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10"/>
                <w:szCs w:val="10"/>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79"/>
        </w:trPr>
        <w:tc>
          <w:tcPr>
            <w:tcW w:w="4940" w:type="dxa"/>
            <w:vAlign w:val="bottom"/>
          </w:tcPr>
          <w:p>
            <w:pPr>
              <w:ind w:left="20"/>
              <w:spacing w:after="0" w:line="174" w:lineRule="exact"/>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4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Weighted-average shares used in computing net loss per share</w:t>
            </w: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attributable to common stockholders, basic and diluted</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234,669,664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120,051,635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183,784,697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119,265,816</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9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4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unrealized gain (loss) on marketable securities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288</w:t>
            </w: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80" w:type="dxa"/>
            <w:vAlign w:val="bottom"/>
          </w:tcPr>
          <w:p>
            <w:pPr>
              <w:spacing w:after="0"/>
              <w:rPr>
                <w:sz w:val="16"/>
                <w:szCs w:val="16"/>
                <w:color w:val="auto"/>
              </w:rPr>
            </w:pPr>
          </w:p>
        </w:tc>
        <w:tc>
          <w:tcPr>
            <w:tcW w:w="1940" w:type="dxa"/>
            <w:vAlign w:val="bottom"/>
            <w:tcBorders>
              <w:right w:val="single" w:sz="8" w:color="auto"/>
            </w:tcBorders>
            <w:gridSpan w:val="4"/>
            <w:vMerge w:val="restart"/>
          </w:tcPr>
          <w:p>
            <w:pPr>
              <w:jc w:val="right"/>
              <w:ind w:right="16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1940" w:type="dxa"/>
            <w:vAlign w:val="bottom"/>
            <w:tcBorders>
              <w:right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1940" w:type="dxa"/>
            <w:vAlign w:val="bottom"/>
            <w:tcBorders>
              <w:right w:val="single" w:sz="8" w:color="auto"/>
            </w:tcBorders>
            <w:gridSpan w:val="4"/>
          </w:tcPr>
          <w:p>
            <w:pPr>
              <w:jc w:val="right"/>
              <w:ind w:right="420"/>
              <w:spacing w:after="0" w:line="144"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2"/>
                <w:szCs w:val="12"/>
                <w:color w:val="auto"/>
              </w:rPr>
            </w:pPr>
          </w:p>
        </w:tc>
        <w:tc>
          <w:tcPr>
            <w:tcW w:w="1400" w:type="dxa"/>
            <w:vAlign w:val="bottom"/>
            <w:gridSpan w:val="3"/>
          </w:tcPr>
          <w:p>
            <w:pPr>
              <w:jc w:val="right"/>
              <w:ind w:right="4"/>
              <w:spacing w:after="0" w:line="144" w:lineRule="exact"/>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40"/>
        </w:trPr>
        <w:tc>
          <w:tcPr>
            <w:tcW w:w="33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100" w:type="dxa"/>
            <w:vAlign w:val="bottom"/>
            <w:gridSpan w:val="3"/>
            <w:vMerge w:val="restart"/>
          </w:tcPr>
          <w:p>
            <w:pPr>
              <w:ind w:left="40"/>
              <w:spacing w:after="0" w:line="122" w:lineRule="exact"/>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vMerge w:val="restart"/>
          </w:tcPr>
          <w:p>
            <w:pPr>
              <w:ind w:left="40"/>
              <w:spacing w:after="0" w:line="122"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3"/>
                <w:szCs w:val="3"/>
                <w:color w:val="auto"/>
              </w:rPr>
            </w:pPr>
          </w:p>
        </w:tc>
        <w:tc>
          <w:tcPr>
            <w:tcW w:w="800" w:type="dxa"/>
            <w:vAlign w:val="bottom"/>
            <w:vMerge w:val="restart"/>
          </w:tcPr>
          <w:p>
            <w:pPr>
              <w:jc w:val="center"/>
              <w:ind w:right="21"/>
              <w:spacing w:after="0" w:line="12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61"/>
        </w:trPr>
        <w:tc>
          <w:tcPr>
            <w:tcW w:w="3380" w:type="dxa"/>
            <w:vAlign w:val="bottom"/>
          </w:tcPr>
          <w:p>
            <w:pPr>
              <w:spacing w:after="0"/>
              <w:rPr>
                <w:sz w:val="5"/>
                <w:szCs w:val="5"/>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5"/>
                <w:szCs w:val="5"/>
                <w:color w:val="auto"/>
              </w:rPr>
            </w:pPr>
          </w:p>
        </w:tc>
        <w:tc>
          <w:tcPr>
            <w:tcW w:w="680" w:type="dxa"/>
            <w:vAlign w:val="bottom"/>
            <w:tcBorders>
              <w:right w:val="single" w:sz="8" w:color="auto"/>
            </w:tcBorders>
            <w:vMerge w:val="restart"/>
          </w:tcPr>
          <w:p>
            <w:pPr>
              <w:jc w:val="right"/>
              <w:ind w:right="10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5"/>
                <w:szCs w:val="5"/>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1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351,844,340</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5"/>
              </w:rPr>
              <w:t>$ 501,881</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130,312,838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39,769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(213,717)</w:t>
            </w:r>
          </w:p>
        </w:tc>
        <w:tc>
          <w:tcPr>
            <w:tcW w:w="0" w:type="dxa"/>
            <w:vAlign w:val="bottom"/>
          </w:tcPr>
          <w:p>
            <w:pPr>
              <w:spacing w:after="0"/>
              <w:rPr>
                <w:sz w:val="1"/>
                <w:szCs w:val="1"/>
                <w:color w:val="auto"/>
              </w:rPr>
            </w:pPr>
          </w:p>
        </w:tc>
      </w:tr>
      <w:tr>
        <w:trPr>
          <w:trHeight w:val="177"/>
        </w:trPr>
        <w:tc>
          <w:tcPr>
            <w:tcW w:w="338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upon exercise of</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vested options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1,904,186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1,410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upon early</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unvested options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319,883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Repurchase of early exercised stock options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11,392</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other comprehensive income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(12,838)</w:t>
            </w:r>
          </w:p>
        </w:tc>
        <w:tc>
          <w:tcPr>
            <w:tcW w:w="0" w:type="dxa"/>
            <w:vAlign w:val="bottom"/>
          </w:tcPr>
          <w:p>
            <w:pPr>
              <w:spacing w:after="0"/>
              <w:rPr>
                <w:sz w:val="1"/>
                <w:szCs w:val="1"/>
                <w:color w:val="auto"/>
              </w:rPr>
            </w:pPr>
          </w:p>
        </w:tc>
      </w:tr>
      <w:tr>
        <w:trPr>
          <w:trHeight w:val="23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351,844,340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5"/>
              </w:rPr>
              <w:t>$ 501,881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132,518,340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52,794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(266,362)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(213,575)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Arial" w:cs="Arial" w:eastAsia="Arial" w:hAnsi="Arial"/>
                <w:sz w:val="16"/>
                <w:szCs w:val="16"/>
                <w:color w:val="auto"/>
              </w:rPr>
              <w:t>Issuance of common stock upon initial public</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3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offering, net of issuance costs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52,272,727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w w:val="98"/>
              </w:rPr>
              <w:t>1,312,331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w w:val="98"/>
              </w:rPr>
              <w:t>1,312,338</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Conversion of redeemable convertible</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preferred stock to common stock upon initial</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offering</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(351,844,340)</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(501,881)</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351,844,340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501,847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501,881</w:t>
            </w:r>
          </w:p>
        </w:tc>
        <w:tc>
          <w:tcPr>
            <w:tcW w:w="0" w:type="dxa"/>
            <w:vAlign w:val="bottom"/>
          </w:tcPr>
          <w:p>
            <w:pPr>
              <w:spacing w:after="0"/>
              <w:rPr>
                <w:sz w:val="1"/>
                <w:szCs w:val="1"/>
                <w:color w:val="auto"/>
              </w:rPr>
            </w:pPr>
          </w:p>
        </w:tc>
      </w:tr>
      <w:tr>
        <w:trPr>
          <w:trHeight w:val="177"/>
        </w:trPr>
        <w:tc>
          <w:tcPr>
            <w:tcW w:w="3380" w:type="dxa"/>
            <w:vAlign w:val="bottom"/>
          </w:tcPr>
          <w:p>
            <w:pPr>
              <w:ind w:left="20"/>
              <w:spacing w:after="0" w:line="178" w:lineRule="exact"/>
              <w:rPr>
                <w:sz w:val="20"/>
                <w:szCs w:val="20"/>
                <w:color w:val="auto"/>
              </w:rPr>
            </w:pPr>
            <w:r>
              <w:rPr>
                <w:rFonts w:ascii="Arial" w:cs="Arial" w:eastAsia="Arial" w:hAnsi="Arial"/>
                <w:sz w:val="16"/>
                <w:szCs w:val="16"/>
                <w:color w:val="auto"/>
              </w:rPr>
              <w:t>Reclassification of redeemable convertible</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0"/>
              <w:spacing w:after="0" w:line="162" w:lineRule="exact"/>
              <w:rPr>
                <w:sz w:val="20"/>
                <w:szCs w:val="20"/>
                <w:color w:val="auto"/>
              </w:rPr>
            </w:pPr>
            <w:r>
              <w:rPr>
                <w:rFonts w:ascii="Arial" w:cs="Arial" w:eastAsia="Arial" w:hAnsi="Arial"/>
                <w:sz w:val="16"/>
                <w:szCs w:val="16"/>
                <w:color w:val="auto"/>
              </w:rPr>
              <w:t>preferred stock warrant liabilities to common</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0"/>
              <w:spacing w:after="0" w:line="162" w:lineRule="exact"/>
              <w:rPr>
                <w:sz w:val="20"/>
                <w:szCs w:val="20"/>
                <w:color w:val="auto"/>
              </w:rPr>
            </w:pPr>
            <w:r>
              <w:rPr>
                <w:rFonts w:ascii="Arial" w:cs="Arial" w:eastAsia="Arial" w:hAnsi="Arial"/>
                <w:sz w:val="16"/>
                <w:szCs w:val="16"/>
                <w:color w:val="auto"/>
              </w:rPr>
              <w:t>stock and additional paid-in capital upon initial</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public offering</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5,438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5,438</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upon exercise of</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859,343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Repurchase of early exercised stock options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upon net</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restricted stock units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730,186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0" w:type="dxa"/>
            <w:vAlign w:val="bottom"/>
          </w:tcPr>
          <w:p>
            <w:pPr>
              <w:spacing w:after="0"/>
              <w:rPr>
                <w:sz w:val="1"/>
                <w:szCs w:val="1"/>
                <w:color w:val="auto"/>
              </w:rPr>
            </w:pPr>
          </w:p>
        </w:tc>
      </w:tr>
      <w:tr>
        <w:trPr>
          <w:trHeight w:val="177"/>
        </w:trPr>
        <w:tc>
          <w:tcPr>
            <w:tcW w:w="338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upon exercise of</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common stock warrants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668,412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common stock warrants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55,536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55,536</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other comprehensive income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(68,554)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(68,554)</w:t>
            </w: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538,883,451</w:t>
            </w: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1,920,936</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(334,916)</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1,585,986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Deficit</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420" w:type="dxa"/>
            <w:vAlign w:val="bottom"/>
          </w:tcPr>
          <w:p>
            <w:pPr>
              <w:spacing w:after="0"/>
              <w:rPr>
                <w:sz w:val="16"/>
                <w:szCs w:val="16"/>
                <w:color w:val="auto"/>
              </w:rPr>
            </w:pPr>
          </w:p>
        </w:tc>
        <w:tc>
          <w:tcPr>
            <w:tcW w:w="1880" w:type="dxa"/>
            <w:vAlign w:val="bottom"/>
            <w:tcBorders>
              <w:right w:val="single" w:sz="8" w:color="auto"/>
            </w:tcBorders>
            <w:gridSpan w:val="3"/>
            <w:vMerge w:val="restart"/>
          </w:tcPr>
          <w:p>
            <w:pPr>
              <w:jc w:val="right"/>
              <w:ind w:right="12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880" w:type="dxa"/>
            <w:vAlign w:val="bottom"/>
            <w:tcBorders>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880" w:type="dxa"/>
            <w:vAlign w:val="bottom"/>
            <w:tcBorders>
              <w:right w:val="single" w:sz="8" w:color="auto"/>
            </w:tcBorders>
            <w:gridSpan w:val="3"/>
          </w:tcPr>
          <w:p>
            <w:pPr>
              <w:jc w:val="right"/>
              <w:ind w:right="400"/>
              <w:spacing w:after="0" w:line="144"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2"/>
                <w:szCs w:val="12"/>
                <w:color w:val="auto"/>
              </w:rPr>
            </w:pPr>
          </w:p>
        </w:tc>
        <w:tc>
          <w:tcPr>
            <w:tcW w:w="140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1"/>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restart"/>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Paid-in</w:t>
            </w:r>
          </w:p>
        </w:tc>
        <w:tc>
          <w:tcPr>
            <w:tcW w:w="1100" w:type="dxa"/>
            <w:vAlign w:val="bottom"/>
            <w:gridSpan w:val="3"/>
            <w:vMerge w:val="restart"/>
          </w:tcPr>
          <w:p>
            <w:pPr>
              <w:ind w:left="40"/>
              <w:spacing w:after="0" w:line="122" w:lineRule="exact"/>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vMerge w:val="restart"/>
          </w:tcPr>
          <w:p>
            <w:pPr>
              <w:ind w:left="40"/>
              <w:spacing w:after="0" w:line="122" w:lineRule="exact"/>
              <w:rPr>
                <w:sz w:val="20"/>
                <w:szCs w:val="20"/>
                <w:color w:val="auto"/>
              </w:rPr>
            </w:pPr>
            <w:r>
              <w:rPr>
                <w:rFonts w:ascii="Arial" w:cs="Arial" w:eastAsia="Arial" w:hAnsi="Arial"/>
                <w:sz w:val="13"/>
                <w:szCs w:val="13"/>
                <w:b w:val="1"/>
                <w:bCs w:val="1"/>
                <w:color w:val="auto"/>
              </w:rPr>
              <w:t>Accumulated</w:t>
            </w:r>
          </w:p>
        </w:tc>
        <w:tc>
          <w:tcPr>
            <w:tcW w:w="920" w:type="dxa"/>
            <w:vAlign w:val="bottom"/>
            <w:gridSpan w:val="2"/>
            <w:vMerge w:val="restart"/>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800" w:type="dxa"/>
            <w:vAlign w:val="bottom"/>
            <w:tcBorders>
              <w:right w:val="single" w:sz="8" w:color="auto"/>
            </w:tcBorders>
            <w:vMerge w:val="restart"/>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5"/>
                <w:szCs w:val="5"/>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34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1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760" w:type="dxa"/>
            <w:vAlign w:val="bottom"/>
          </w:tcPr>
          <w:p>
            <w:pPr>
              <w:jc w:val="center"/>
              <w:ind w:right="81"/>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1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336,843,578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$ 335,748</w:t>
            </w: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118,430,031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(198,406)</w:t>
            </w:r>
          </w:p>
        </w:tc>
        <w:tc>
          <w:tcPr>
            <w:tcW w:w="0" w:type="dxa"/>
            <w:vAlign w:val="bottom"/>
          </w:tcPr>
          <w:p>
            <w:pPr>
              <w:spacing w:after="0"/>
              <w:rPr>
                <w:sz w:val="1"/>
                <w:szCs w:val="1"/>
                <w:color w:val="auto"/>
              </w:rPr>
            </w:pPr>
          </w:p>
        </w:tc>
      </w:tr>
      <w:tr>
        <w:trPr>
          <w:trHeight w:val="177"/>
        </w:trPr>
        <w:tc>
          <w:tcPr>
            <w:tcW w:w="342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upon exercise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Arial" w:cs="Arial" w:eastAsia="Arial" w:hAnsi="Arial"/>
                <w:sz w:val="16"/>
                <w:szCs w:val="16"/>
                <w:color w:val="auto"/>
              </w:rPr>
              <w:t>vested options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2,233,220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upon early exercise</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unvested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313,587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Repurchase of early 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(142,726)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3,745</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other comprehensive income (loss)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(14,530)</w:t>
            </w:r>
          </w:p>
        </w:tc>
        <w:tc>
          <w:tcPr>
            <w:tcW w:w="0" w:type="dxa"/>
            <w:vAlign w:val="bottom"/>
          </w:tcPr>
          <w:p>
            <w:pPr>
              <w:spacing w:after="0"/>
              <w:rPr>
                <w:sz w:val="1"/>
                <w:szCs w:val="1"/>
                <w:color w:val="auto"/>
              </w:rPr>
            </w:pPr>
          </w:p>
        </w:tc>
      </w:tr>
      <w:tr>
        <w:trPr>
          <w:trHeight w:val="238"/>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336,843,578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$ 335,748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120,834,112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(220,359)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(208,878)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Arial" w:cs="Arial" w:eastAsia="Arial" w:hAnsi="Arial"/>
                <w:sz w:val="16"/>
                <w:szCs w:val="16"/>
                <w:color w:val="auto"/>
              </w:rPr>
              <w:t>Issuance of Series E-1 redeemable convertible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line="162" w:lineRule="exact"/>
              <w:rPr>
                <w:sz w:val="20"/>
                <w:szCs w:val="20"/>
                <w:color w:val="auto"/>
              </w:rPr>
            </w:pPr>
            <w:r>
              <w:rPr>
                <w:rFonts w:ascii="Arial" w:cs="Arial" w:eastAsia="Arial" w:hAnsi="Arial"/>
                <w:sz w:val="16"/>
                <w:szCs w:val="16"/>
                <w:color w:val="auto"/>
              </w:rPr>
              <w:t>preferred stock at $8.34 per share, net of</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Arial" w:cs="Arial" w:eastAsia="Arial" w:hAnsi="Arial"/>
                <w:sz w:val="16"/>
                <w:szCs w:val="16"/>
                <w:color w:val="auto"/>
              </w:rPr>
              <w:t>issuance costs of $8,058</w:t>
            </w:r>
          </w:p>
        </w:tc>
        <w:tc>
          <w:tcPr>
            <w:tcW w:w="1000" w:type="dxa"/>
            <w:vAlign w:val="bottom"/>
          </w:tcPr>
          <w:p>
            <w:pPr>
              <w:jc w:val="right"/>
              <w:spacing w:after="0"/>
              <w:rPr>
                <w:sz w:val="20"/>
                <w:szCs w:val="20"/>
                <w:color w:val="auto"/>
              </w:rPr>
            </w:pPr>
            <w:r>
              <w:rPr>
                <w:rFonts w:ascii="Arial" w:cs="Arial" w:eastAsia="Arial" w:hAnsi="Arial"/>
                <w:sz w:val="16"/>
                <w:szCs w:val="16"/>
                <w:color w:val="auto"/>
              </w:rPr>
              <w:t>17,991,220</w:t>
            </w:r>
          </w:p>
        </w:tc>
        <w:tc>
          <w:tcPr>
            <w:tcW w:w="80" w:type="dxa"/>
            <w:vAlign w:val="bottom"/>
          </w:tcPr>
          <w:p>
            <w:pPr>
              <w:spacing w:after="0"/>
              <w:rPr>
                <w:sz w:val="17"/>
                <w:szCs w:val="17"/>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143,109</w:t>
            </w:r>
          </w:p>
        </w:tc>
        <w:tc>
          <w:tcPr>
            <w:tcW w:w="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upon exercise of</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94,685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7"/>
        </w:trPr>
        <w:tc>
          <w:tcPr>
            <w:tcW w:w="342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upon early exercise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20" w:type="dxa"/>
            <w:vAlign w:val="bottom"/>
          </w:tcPr>
          <w:p>
            <w:pPr>
              <w:ind w:left="20"/>
              <w:spacing w:after="0"/>
              <w:rPr>
                <w:sz w:val="20"/>
                <w:szCs w:val="20"/>
                <w:color w:val="auto"/>
              </w:rPr>
            </w:pPr>
            <w:r>
              <w:rPr>
                <w:rFonts w:ascii="Arial" w:cs="Arial" w:eastAsia="Arial" w:hAnsi="Arial"/>
                <w:sz w:val="16"/>
                <w:szCs w:val="16"/>
                <w:color w:val="auto"/>
              </w:rPr>
              <w:t>of unvested options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19,584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early exercised stock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Change in other comprehensive income (loss)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(7,107)</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(7,107)</w:t>
            </w: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354,834,798</w:t>
            </w:r>
          </w:p>
        </w:tc>
        <w:tc>
          <w:tcPr>
            <w:tcW w:w="80" w:type="dxa"/>
            <w:vAlign w:val="bottom"/>
          </w:tcPr>
          <w:p>
            <w:pPr>
              <w:spacing w:after="0"/>
              <w:rPr>
                <w:sz w:val="18"/>
                <w:szCs w:val="18"/>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8"/>
              </w:rPr>
              <w:t>$ 478,857</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120,920,175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14,658</w:t>
            </w:r>
          </w:p>
        </w:tc>
        <w:tc>
          <w:tcPr>
            <w:tcW w:w="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(227,466)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(212,498)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(81,392)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(21,637)</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1,707</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6,663</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Non-cash operating leases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premium on marketable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r>
      <w:tr>
        <w:trPr>
          <w:trHeight w:val="213"/>
        </w:trPr>
        <w:tc>
          <w:tcPr>
            <w:tcW w:w="8140" w:type="dxa"/>
            <w:vAlign w:val="bottom"/>
          </w:tcPr>
          <w:p>
            <w:pPr>
              <w:ind w:left="240"/>
              <w:spacing w:after="0"/>
              <w:rPr>
                <w:sz w:val="20"/>
                <w:szCs w:val="20"/>
                <w:color w:val="auto"/>
              </w:rPr>
            </w:pPr>
            <w:r>
              <w:rPr>
                <w:rFonts w:ascii="Arial" w:cs="Arial" w:eastAsia="Arial" w:hAnsi="Arial"/>
                <w:sz w:val="16"/>
                <w:szCs w:val="16"/>
                <w:color w:val="auto"/>
              </w:rPr>
              <w:t>Settlements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Network incentives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r>
      <w:tr>
        <w:trPr>
          <w:trHeight w:val="213"/>
        </w:trPr>
        <w:tc>
          <w:tcPr>
            <w:tcW w:w="8140" w:type="dxa"/>
            <w:vAlign w:val="bottom"/>
          </w:tcPr>
          <w:p>
            <w:pPr>
              <w:ind w:left="2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19"/>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3"/>
        </w:trPr>
        <w:tc>
          <w:tcPr>
            <w:tcW w:w="8140" w:type="dxa"/>
            <w:vAlign w:val="bottom"/>
          </w:tcPr>
          <w:p>
            <w:pPr>
              <w:ind w:left="240"/>
              <w:spacing w:after="0"/>
              <w:rPr>
                <w:sz w:val="20"/>
                <w:szCs w:val="20"/>
                <w:color w:val="auto"/>
              </w:rPr>
            </w:pPr>
            <w:r>
              <w:rPr>
                <w:rFonts w:ascii="Arial" w:cs="Arial" w:eastAsia="Arial" w:hAnsi="Arial"/>
                <w:sz w:val="16"/>
                <w:szCs w:val="16"/>
                <w:color w:val="auto"/>
              </w:rPr>
              <w:t>Revenue share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22,580</w:t>
            </w:r>
          </w:p>
        </w:tc>
      </w:tr>
      <w:tr>
        <w:trPr>
          <w:trHeight w:val="219"/>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7,947</w:t>
            </w:r>
          </w:p>
        </w:tc>
      </w:tr>
      <w:tr>
        <w:trPr>
          <w:trHeight w:val="213"/>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14,710</w:t>
            </w:r>
          </w:p>
        </w:tc>
      </w:tr>
      <w:tr>
        <w:trPr>
          <w:trHeight w:val="195"/>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(63,033)</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61,720</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w:t>
            </w: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Proceeds from initial public offering, net of underwriters’ discounts and commissions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1,319,809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redeemable convertible preferred stock, net of issuance costs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143,109</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Proceeds from exercise of stock options, including early exercised stock options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paid related to net share settlement of restricted stock units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Payment of deferred offering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early exercised unvested options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1,310,094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143,094</w:t>
            </w: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1,358,854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154,990</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68,144</w:t>
            </w: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1,587,087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223,134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r>
        <w:rPr>
          <w:rFonts w:ascii="Arial" w:cs="Arial" w:eastAsia="Arial" w:hAnsi="Arial"/>
          <w:sz w:val="19"/>
          <w:szCs w:val="19"/>
          <w:b w:val="1"/>
          <w:bCs w:val="1"/>
          <w:color w:val="auto"/>
        </w:rPr>
        <w: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1,579,287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215,334</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w:t>
            </w:r>
          </w:p>
        </w:tc>
      </w:tr>
      <w:tr>
        <w:trPr>
          <w:trHeight w:val="185"/>
        </w:trPr>
        <w:tc>
          <w:tcPr>
            <w:tcW w:w="814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1,587,087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223,134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9"/>
        </w:trPr>
        <w:tc>
          <w:tcPr>
            <w:tcW w:w="8140" w:type="dxa"/>
            <w:vAlign w:val="bottom"/>
          </w:tcPr>
          <w:p>
            <w:pPr>
              <w:ind w:left="20"/>
              <w:spacing w:after="0"/>
              <w:rPr>
                <w:sz w:val="20"/>
                <w:szCs w:val="20"/>
                <w:color w:val="auto"/>
              </w:rPr>
            </w:pPr>
            <w:r>
              <w:rPr>
                <w:rFonts w:ascii="Arial" w:cs="Arial" w:eastAsia="Arial" w:hAnsi="Arial"/>
                <w:sz w:val="16"/>
                <w:szCs w:val="16"/>
                <w:color w:val="auto"/>
              </w:rPr>
              <w:t>Purchase of property and equipment accrued and not yet paid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40" w:type="dxa"/>
            <w:vAlign w:val="bottom"/>
          </w:tcPr>
          <w:p>
            <w:pPr>
              <w:ind w:left="20"/>
              <w:spacing w:after="0"/>
              <w:rPr>
                <w:sz w:val="20"/>
                <w:szCs w:val="20"/>
                <w:color w:val="auto"/>
              </w:rPr>
            </w:pPr>
            <w:r>
              <w:rPr>
                <w:rFonts w:ascii="Arial" w:cs="Arial" w:eastAsia="Arial" w:hAnsi="Arial"/>
                <w:sz w:val="16"/>
                <w:szCs w:val="16"/>
                <w:color w:val="auto"/>
              </w:rPr>
              <w:t>Deferred offering costs not yet paid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and Basis of Presentation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 Inc., or the Company, creates digital payment technology for innovation leaders. The Company's modern card issuing platform, or the Platform, places control over payment transactions into the hands of its customers, or Customers, enabling them to develop modern state-of-the-art product experiences.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primarily earns revenue from processing card transactions for its Customers.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was incorporated in the state of Delaware in 2010 and is headquartered in Oakland, California, with offices in the United States and United Kingdom, and a presence in Australia.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the Company completed an initial public offering, or the IPO, in which the Company issued and sold 52,272,727 shares of its newly authorized Class A common stock, which included 6,818,181 shares that were offered and sold pursuant to the full exercise of the underwriters’ option to purchase additional shares at a price of $27.00 per share. The Company received aggregate net proceeds of $1.3 billion after deducting underwriting discounts and commissions of $91.6 million and offering costs of $7.5 million.</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Immediately prior to the completion of the IPO, the Company filed its Amended and Restated Certificate of Incorporation authorizing a total of 1,500,000,000 shares of Class A common stock which entitles holders to one vote per share, 600,000,000 shares of Class B common stock which entitles holders to 10 votes per share, and 100,000,000 shares of undesignated preferred stock. All shares of common stock then outstanding were reclassified as Class B common stock and all redeemable convertible preferred stock then outstanding were converted into 351,844,340 shares of common stock on a one-for-one basis and reclassified into Class B common stock. In addition, 2,569,528 shares of common stock warrants were converted to an equivalent number of shares of Class B common stock warrants and 203,610 shares of convertible preferred stock warrants were converted to an equivalent number of shares of Class B common stock warrants.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or GAAP, and the applicable rules and regulations of the Securities and Exchange Commission, or (the SEC, for interim reporting. Certain information and note disclosures included in our annual financial statements prepared in accordance with GAAP have been condensed or omitted pursuant to such rules and regulations. The condensed consolidated balance sheet as of December 31, 2020 has been derived from our audited consolidated financial statements, which are included in the prospectus dated June 8, 2021, as filed with the SEC pursuant to Rule 424(b) under the Securities Act of 1933, or the Prospectus. The accompanying condensed consolidated financial statements should be read in conjunction with our consolidated financial statements and notes thereto included in the Prospectus.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All intercompany balances and transactions have been eliminated in consolidation. In the opinion of management, the accompanying condensed consolidated financial statements reflect all adjustments of a normal recurring nature considered necessary for a fair presentation of the Company's consolidated financial position, results of operations, comprehensive loss, and cash flows for the interim periods presented. The interim results for the three and six months ended June 30, 2021 are not necessarily indicative of the results that may be expected for the year ending December 31, 2021, or for any other future annual or interim period.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the financial statements requires management to make estimates and assumptions relating to reported amounts of assets and liabilities, disclosure of contingent assets and liabilities, and reported amounts of revenue and expenses. Significant estimates and assumptions relate to the estimation of variable consideration in contracts with Customers, collectability of accounts receivable, reserve for contract contingencies and processing errors, the useful lives of property and equipment, the incremental borrowing rate used to determine operating lease liabilities, the fair value of equity awards and warrants, and share-based compensation. Actual results could differ materially from these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 and Uncertainties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incurred net losses since its inception. For the three and six months ended June 30, 2021, the Company incurred net losses of $68.6 million and $81.4 million, respectively, and had an accumulated deficit of $334.9 million as of June 30, 2021. The Company expects losses from operations to continue for the foreseeable future as it incurs costs and expenses related to creating new products for Customers, acquiring new Customers, developing its brand, expanding into new geographies and developing the existing Platform infrastructure. The Company believes that its cash and cash equivalents of $1.6 billion and marketable securities of $105.1 million as of June 30, 2021 are sufficient to fund its operations through at least the next twelve months from the issuance of these financial statements.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World Health Organization declared the outbreak of a novel coronavirus (COVID-19) as a pandemic. Since then, the COVID-19 pandemic has continued to spread throughout the United States and the world. While the Company has not been adversely affected by the COVID-19 pandemic to date, the prolonged disruption to the economy and the long-term financial impact of the pandemic cannot be reasonably estimated. The Company continues to monitor the situation and may take actions that alter its operations and business practices as may be required by federal, state, or local authorities or that the Company determines are in the best interests of its Customers, vendors, and employees.</w:t>
      </w:r>
    </w:p>
    <w:p>
      <w:pPr>
        <w:spacing w:after="0" w:line="29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significant accounting policies are discussed in “Consolidated Financial Statements — Note 2. Summary of Significant Accounting Policies” in the Prospectus. There have been no significant changes to these policies during the three and six months ended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and six months ended June 30, 2021 and 2020, revenue outside of the United States, based on the billing address of the Customer, was not material. As of June 30, 2021 and December 31, 2020, long-lived assets located outside of the United States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cash consists of deposits with financial institutions that issue payment cards (credit, debit, or prepaid) either on their own behalf or on behalf of businesses that issue customized card products to their end users, or Issuing Banks, to provide the Issuing Bank collateral in the event that Customers’ funds are not deposited at the Issuing Banks in time to settle Customers’ transactions with the networks that provide the infrastructure for settlement and card payment information flows, or Card Networks. Restricted cash also includes cash used to secure a letter of credit for the Company’s lease of its office headquarters in Oakland,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offering costs consist primarily of accounting, legal, and other fees related to the IPO. Upon the completion of the IPO in June 2021, the deferred offering costs were reclassified to stockholders’ equity and recorded net against the proceeds from the IPO.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Adopted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August 2018, the Financial Accounting Standards Board, or the FASB, issued Accounting Standards Update, or ASU, No. 2018-15, </w:t>
      </w:r>
      <w:r>
        <w:rPr>
          <w:rFonts w:ascii="Arial" w:cs="Arial" w:eastAsia="Arial" w:hAnsi="Arial"/>
          <w:sz w:val="18"/>
          <w:szCs w:val="18"/>
          <w:i w:val="1"/>
          <w:iCs w:val="1"/>
          <w:color w:val="auto"/>
        </w:rPr>
        <w:t xml:space="preserve">Intangibles—Goodwill and Other— Internal-Use Software </w:t>
      </w:r>
      <w:r>
        <w:rPr>
          <w:rFonts w:ascii="Arial" w:cs="Arial" w:eastAsia="Arial" w:hAnsi="Arial"/>
          <w:sz w:val="18"/>
          <w:szCs w:val="18"/>
          <w:color w:val="auto"/>
        </w:rPr>
        <w:t>(Subtopic 350-40), which aligns the requirements for capitalizing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Company adopted the new standard as of January 1, 2021. The adoption of ASU 2018-15 did not have a material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 discussed below reflects this election.</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ASU 2016-13 replaces the incurred loss model with the current expected credit loss, or CECL, model to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for financial assets measured at amortized cost and certain off-balance sheet credit exposures. It also eliminates the concept of other-than-temporary impairment and requires credit losses related to available-for-sale debt securities to be recorded through an allowance for credit losses rather than as a reduction in the amortized cost basis of the securities. The CECL model requires a company to estimate credit losses expected over the life of the financial assets based on historical experience, current conditions and reasonable and supportable forecasts. The guidance will be effective for the Company beginning January 1, 2023, and interim periods therein. The amendment requires a modified retrospective approach by recording a cumulative-effect adjustment to retained earnings as of the beginning of the period of adoption. Early adoption is permitted. The Company is still evaluating the impact this ASU will have on its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9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services revenue,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114,255</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 revenue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r>
      <w:tr>
        <w:trPr>
          <w:trHeight w:val="248"/>
        </w:trPr>
        <w:tc>
          <w:tcPr>
            <w:tcW w:w="4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deferred revenue: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ind w:left="1020"/>
              <w:spacing w:after="0"/>
              <w:rPr>
                <w:sz w:val="20"/>
                <w:szCs w:val="20"/>
                <w:color w:val="auto"/>
              </w:rPr>
            </w:pPr>
            <w:r>
              <w:rPr>
                <w:rFonts w:ascii="Arial" w:cs="Arial" w:eastAsia="Arial" w:hAnsi="Arial"/>
                <w:sz w:val="16"/>
                <w:szCs w:val="16"/>
                <w:b w:val="1"/>
                <w:bCs w:val="1"/>
                <w:color w:val="auto"/>
              </w:rPr>
              <w:t>Contract balance</w:t>
            </w:r>
          </w:p>
        </w:tc>
        <w:tc>
          <w:tcPr>
            <w:tcW w:w="4720" w:type="dxa"/>
            <w:vAlign w:val="bottom"/>
            <w:gridSpan w:val="2"/>
            <w:vMerge w:val="restart"/>
          </w:tcPr>
          <w:p>
            <w:pPr>
              <w:ind w:left="1220"/>
              <w:spacing w:after="0"/>
              <w:rPr>
                <w:sz w:val="20"/>
                <w:szCs w:val="20"/>
                <w:color w:val="auto"/>
              </w:rPr>
            </w:pPr>
            <w:r>
              <w:rPr>
                <w:rFonts w:ascii="Arial" w:cs="Arial" w:eastAsia="Arial" w:hAnsi="Arial"/>
                <w:sz w:val="16"/>
                <w:szCs w:val="16"/>
                <w:b w:val="1"/>
                <w:bCs w:val="1"/>
                <w:color w:val="auto"/>
              </w:rPr>
              <w:t>Balance sheet line reference</w:t>
            </w:r>
          </w:p>
        </w:tc>
        <w:tc>
          <w:tcPr>
            <w:tcW w:w="28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6"/>
        </w:trPr>
        <w:tc>
          <w:tcPr>
            <w:tcW w:w="3420" w:type="dxa"/>
            <w:vAlign w:val="bottom"/>
            <w:gridSpan w:val="2"/>
            <w:vMerge w:val="continue"/>
          </w:tcPr>
          <w:p>
            <w:pPr>
              <w:spacing w:after="0"/>
              <w:rPr>
                <w:sz w:val="10"/>
                <w:szCs w:val="10"/>
                <w:color w:val="auto"/>
              </w:rPr>
            </w:pPr>
          </w:p>
        </w:tc>
        <w:tc>
          <w:tcPr>
            <w:tcW w:w="47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60"/>
        </w:trPr>
        <w:tc>
          <w:tcPr>
            <w:tcW w:w="3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assets - non-current</w:t>
            </w: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contract assets</w:t>
            </w:r>
          </w:p>
        </w:tc>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Deferred revenue - current</w:t>
            </w:r>
          </w:p>
        </w:tc>
        <w:tc>
          <w:tcPr>
            <w:tcW w:w="472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 non-current</w:t>
            </w: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23"/>
        </w:trPr>
        <w:tc>
          <w:tcPr>
            <w:tcW w:w="3420" w:type="dxa"/>
            <w:vAlign w:val="bottom"/>
            <w:gridSpan w:val="2"/>
          </w:tcPr>
          <w:p>
            <w:pPr>
              <w:ind w:left="460"/>
              <w:spacing w:after="0"/>
              <w:rPr>
                <w:sz w:val="20"/>
                <w:szCs w:val="20"/>
                <w:color w:val="auto"/>
              </w:rPr>
            </w:pPr>
            <w:r>
              <w:rPr>
                <w:rFonts w:ascii="Arial" w:cs="Arial" w:eastAsia="Arial" w:hAnsi="Arial"/>
                <w:sz w:val="18"/>
                <w:szCs w:val="18"/>
                <w:color w:val="auto"/>
              </w:rPr>
              <w:t>Total deferred revenue</w:t>
            </w: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 recognized during the three months ended June 30, 2021 and 2020 that was included in the deferred revenue balances at the beginning of the respective periods was $2.4 million and $0.2 million, respectively. Net revenue recognized during the six months ended June 30, 2021 and 2020 that was included in the deferred revenue balances at the beginning of the respective periods was $1.6 million and $0.5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performance obligations associated with commitments in Customer contracts for future stand-ready obligations to process transactions throughout the contractual term. Remaining performance obligations include related deferred revenue currently recorded and exclude contracts for which the Company recognizes revenue at the amount to which it has the right to invoice for services as performed. The amount and timing of revenue recognition is largely driven by the Customer’s utilization of the Company’s Platform services.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19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80,217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80,228</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29"/>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15,401</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105,053</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0"/>
        </w:trPr>
        <w:tc>
          <w:tcPr>
            <w:tcW w:w="4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19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125,823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8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125,864</w:t>
            </w:r>
          </w:p>
        </w:tc>
      </w:tr>
      <w:tr>
        <w:trPr>
          <w:trHeight w:val="229"/>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229"/>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149,903</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had three and six separate marketable securities in unrealized loss positions as of June 30, 2021 and December 31, 2020, respectively. The Company did not identify any marketable securities that were other-than-temporarily impaired as of June 30, 2021 and December 31,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marketable securities had a stated maturity of one year or less as of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 unbilled Customers' receivable, settlements receivable, accounts payable, accrued liabilities, and prior to the IPO, redeemable convertible preferred stock warrant liabilities. Cash equivalents are stated at amortized cost, which approximates fair value at the balance sheet dates, due to the short period of time to maturity. Marketable securities are carried at fair value. Accounts receivable, unbilled Customers' receivable, settlements receivable, accounts payable, and accrued liabilities are stated at their carrying value, which approximates fair value due to the short time to the expected receipt or payment date. The redeemable convertible preferred stock warrant liabilities were carried at fair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left="634"/>
              <w:spacing w:after="0"/>
              <w:rPr>
                <w:sz w:val="20"/>
                <w:szCs w:val="20"/>
                <w:color w:val="auto"/>
              </w:rPr>
            </w:pPr>
            <w:r>
              <w:rPr>
                <w:rFonts w:ascii="Arial" w:cs="Arial" w:eastAsia="Arial" w:hAnsi="Arial"/>
                <w:sz w:val="14"/>
                <w:szCs w:val="14"/>
                <w:b w:val="1"/>
                <w:bCs w:val="1"/>
                <w:color w:val="auto"/>
              </w:rPr>
              <w:t>June 30, 2021</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3"/>
        </w:trPr>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Fair Value</w:t>
            </w:r>
          </w:p>
        </w:tc>
      </w:tr>
      <w:tr>
        <w:trPr>
          <w:trHeight w:val="19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equivalents</w:t>
            </w: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1,558,150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1,558,150</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9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80,228</w:t>
            </w:r>
          </w:p>
        </w:tc>
      </w:tr>
      <w:tr>
        <w:trPr>
          <w:trHeight w:val="23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r>
      <w:tr>
        <w:trPr>
          <w:trHeight w:val="229"/>
        </w:trPr>
        <w:tc>
          <w:tcPr>
            <w:tcW w:w="49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29"/>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15,401</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1,638,378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1,663,203</w:t>
            </w:r>
          </w:p>
        </w:tc>
      </w:tr>
      <w:tr>
        <w:trPr>
          <w:trHeight w:val="21"/>
        </w:trPr>
        <w:tc>
          <w:tcPr>
            <w:tcW w:w="4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93"/>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3"/>
        </w:trPr>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Fair Value</w:t>
            </w:r>
          </w:p>
        </w:tc>
      </w:tr>
      <w:tr>
        <w:trPr>
          <w:trHeight w:val="19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29"/>
        </w:trPr>
        <w:tc>
          <w:tcPr>
            <w:tcW w:w="49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203,592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203,592</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9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125,864</w:t>
            </w:r>
          </w:p>
        </w:tc>
      </w:tr>
      <w:tr>
        <w:trPr>
          <w:trHeight w:val="23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23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329,456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353,495</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classifies money market funds, commercial paper, U.S. government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classifies the redeemable convertible preferred stock warrants within Level 3 because the Company determines their fair value using unobservable inputs, including the fair value of the Company’s redeemable Series B convertible stock, which the Company determines in the same manner as the fair value of its common stock prior to the IPO. The Company records the change in the fair value of redeemable convertible preferred stock warrants in other income (expense), net in the condensed consolidated statements of operations.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Immediately prior to the completion of the IPO in June 2021, the outstanding redeemable convertible preferred stock warrants were converted to Class B common stock warrants and the fair value of the liability as of that date was reclassified into the Company’s Class B common stock and additional paid-in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60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9,</w:t>
            </w:r>
          </w:p>
        </w:tc>
        <w:tc>
          <w:tcPr>
            <w:tcW w:w="1480" w:type="dxa"/>
            <w:vAlign w:val="bottom"/>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1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0.00%</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49.93%</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49.93%</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2.78</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0.17%</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B redeemable convertible preferred stock</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$12.66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the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1,948</w:t>
            </w:r>
          </w:p>
        </w:tc>
      </w:tr>
      <w:tr>
        <w:trPr>
          <w:trHeight w:val="188"/>
        </w:trPr>
        <w:tc>
          <w:tcPr>
            <w:tcW w:w="8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Reclassification of redeemable convertible preferred stock warrant liabilities to common stock and</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 upon initial public offering</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end of the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0"/>
        </w:trPr>
        <w:tc>
          <w:tcPr>
            <w:tcW w:w="8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three and six months ended June 30, 2021 and the year ended December 31,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Certain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60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Card program deposits</w:t>
            </w:r>
          </w:p>
        </w:tc>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3"/>
        </w:trPr>
        <w:tc>
          <w:tcPr>
            <w:tcW w:w="46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540" w:type="dxa"/>
            <w:vAlign w:val="bottom"/>
            <w:vMerge w:val="restart"/>
          </w:tcPr>
          <w:p>
            <w:pPr>
              <w:jc w:val="right"/>
              <w:ind w:right="2330"/>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6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7,634</w:t>
            </w: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Internally developed and purchased software</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r>
      <w:tr>
        <w:trPr>
          <w:trHeight w:val="223"/>
        </w:trPr>
        <w:tc>
          <w:tcPr>
            <w:tcW w:w="8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19,376</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(9,899)</w:t>
            </w:r>
          </w:p>
        </w:tc>
      </w:tr>
      <w:tr>
        <w:trPr>
          <w:trHeight w:val="248"/>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Depreciation and amortization expense was $ 0.9 million for each of the three months ended June 30, 2021 and 2020, and $1.8 million and $1.7 million for the six months ended June 30, 2021 and 2020, respectively.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capitalized $1.4 million as internal-use software costs during the three and six months ended June 30, 2021. The Company did not capitalize any internal-use software costs during the three and six months ended June 30, 2020, because development costs meeting capitalization criteria were not material during the respective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37" w:lineRule="exact"/>
        <w:rPr>
          <w:sz w:val="20"/>
          <w:szCs w:val="20"/>
          <w:color w:val="auto"/>
        </w:rPr>
      </w:pPr>
    </w:p>
    <w:p>
      <w:pPr>
        <w:ind w:left="8600"/>
        <w:spacing w:after="0"/>
        <w:tabs>
          <w:tab w:leader="none" w:pos="100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December 31,</w:t>
      </w:r>
    </w:p>
    <w:p>
      <w:pPr>
        <w:ind w:left="8720"/>
        <w:spacing w:after="0"/>
        <w:tabs>
          <w:tab w:leader="none" w:pos="10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costs of revenue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Reserve for contract contingencies and processing errors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compensation and benefits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current portion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accrued liabilities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 and other current liabilities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820" w:val="left"/>
          <w:tab w:leader="none" w:pos="158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32,443</w:t>
        <w:tab/>
        <w:t>$</w:t>
      </w:r>
      <w:r>
        <w:rPr>
          <w:sz w:val="20"/>
          <w:szCs w:val="20"/>
          <w:color w:val="auto"/>
        </w:rPr>
        <w:tab/>
      </w:r>
      <w:r>
        <w:rPr>
          <w:rFonts w:ascii="Arial" w:cs="Arial" w:eastAsia="Arial" w:hAnsi="Arial"/>
          <w:sz w:val="17"/>
          <w:szCs w:val="17"/>
          <w:color w:val="auto"/>
        </w:rPr>
        <w:t>24,529</w:t>
      </w:r>
    </w:p>
    <w:p>
      <w:pPr>
        <w:spacing w:after="0" w:line="23" w:lineRule="exact"/>
        <w:rPr>
          <w:sz w:val="20"/>
          <w:szCs w:val="20"/>
          <w:color w:val="auto"/>
        </w:rPr>
      </w:pPr>
    </w:p>
    <w:p>
      <w:pPr>
        <w:jc w:val="both"/>
        <w:ind w:left="840"/>
        <w:spacing w:after="0"/>
        <w:tabs>
          <w:tab w:leader="none" w:pos="2540" w:val="left"/>
        </w:tabs>
        <w:rPr>
          <w:sz w:val="20"/>
          <w:szCs w:val="20"/>
          <w:color w:val="auto"/>
        </w:rPr>
      </w:pPr>
      <w:r>
        <w:rPr>
          <w:rFonts w:ascii="Arial" w:cs="Arial" w:eastAsia="Arial" w:hAnsi="Arial"/>
          <w:sz w:val="18"/>
          <w:szCs w:val="18"/>
          <w:color w:val="auto"/>
        </w:rPr>
        <w:t>11,717</w:t>
      </w:r>
      <w:r>
        <w:rPr>
          <w:sz w:val="20"/>
          <w:szCs w:val="20"/>
          <w:color w:val="auto"/>
        </w:rPr>
        <w:tab/>
      </w:r>
      <w:r>
        <w:rPr>
          <w:rFonts w:ascii="Arial" w:cs="Arial" w:eastAsia="Arial" w:hAnsi="Arial"/>
          <w:sz w:val="18"/>
          <w:szCs w:val="18"/>
          <w:color w:val="auto"/>
        </w:rPr>
        <w:t>9,537</w:t>
      </w:r>
    </w:p>
    <w:p>
      <w:pPr>
        <w:spacing w:after="0" w:line="63" w:lineRule="exact"/>
        <w:rPr>
          <w:sz w:val="20"/>
          <w:szCs w:val="20"/>
          <w:color w:val="auto"/>
        </w:rPr>
      </w:pPr>
    </w:p>
    <w:p>
      <w:pPr>
        <w:jc w:val="both"/>
        <w:ind w:left="840"/>
        <w:spacing w:after="0"/>
        <w:tabs>
          <w:tab w:leader="none" w:pos="2440" w:val="left"/>
        </w:tabs>
        <w:rPr>
          <w:sz w:val="20"/>
          <w:szCs w:val="20"/>
          <w:color w:val="auto"/>
        </w:rPr>
      </w:pPr>
      <w:r>
        <w:rPr>
          <w:rFonts w:ascii="Arial" w:cs="Arial" w:eastAsia="Arial" w:hAnsi="Arial"/>
          <w:sz w:val="18"/>
          <w:szCs w:val="18"/>
          <w:color w:val="auto"/>
        </w:rPr>
        <w:t>16,190</w:t>
      </w:r>
      <w:r>
        <w:rPr>
          <w:sz w:val="20"/>
          <w:szCs w:val="20"/>
          <w:color w:val="auto"/>
        </w:rPr>
        <w:tab/>
      </w:r>
      <w:r>
        <w:rPr>
          <w:rFonts w:ascii="Arial" w:cs="Arial" w:eastAsia="Arial" w:hAnsi="Arial"/>
          <w:sz w:val="18"/>
          <w:szCs w:val="18"/>
          <w:color w:val="auto"/>
        </w:rPr>
        <w:t>14,078</w:t>
      </w:r>
    </w:p>
    <w:p>
      <w:pPr>
        <w:spacing w:after="0" w:line="63" w:lineRule="exact"/>
        <w:rPr>
          <w:sz w:val="20"/>
          <w:szCs w:val="20"/>
          <w:color w:val="auto"/>
        </w:rPr>
      </w:pPr>
    </w:p>
    <w:p>
      <w:pPr>
        <w:jc w:val="both"/>
        <w:ind w:left="940"/>
        <w:spacing w:after="0"/>
        <w:tabs>
          <w:tab w:leader="none" w:pos="2540" w:val="left"/>
        </w:tabs>
        <w:rPr>
          <w:sz w:val="20"/>
          <w:szCs w:val="20"/>
          <w:color w:val="auto"/>
        </w:rPr>
      </w:pPr>
      <w:r>
        <w:rPr>
          <w:rFonts w:ascii="Arial" w:cs="Arial" w:eastAsia="Arial" w:hAnsi="Arial"/>
          <w:sz w:val="18"/>
          <w:szCs w:val="18"/>
          <w:color w:val="auto"/>
        </w:rPr>
        <w:t>8,247</w:t>
      </w:r>
      <w:r>
        <w:rPr>
          <w:sz w:val="20"/>
          <w:szCs w:val="20"/>
          <w:color w:val="auto"/>
        </w:rPr>
        <w:tab/>
      </w:r>
      <w:r>
        <w:rPr>
          <w:rFonts w:ascii="Arial" w:cs="Arial" w:eastAsia="Arial" w:hAnsi="Arial"/>
          <w:sz w:val="18"/>
          <w:szCs w:val="18"/>
          <w:color w:val="auto"/>
        </w:rPr>
        <w:t>3,983</w:t>
      </w:r>
    </w:p>
    <w:p>
      <w:pPr>
        <w:spacing w:after="0" w:line="63" w:lineRule="exact"/>
        <w:rPr>
          <w:sz w:val="20"/>
          <w:szCs w:val="20"/>
          <w:color w:val="auto"/>
        </w:rPr>
      </w:pPr>
    </w:p>
    <w:p>
      <w:pPr>
        <w:jc w:val="both"/>
        <w:ind w:left="940"/>
        <w:spacing w:after="0"/>
        <w:tabs>
          <w:tab w:leader="none" w:pos="2540" w:val="left"/>
        </w:tabs>
        <w:rPr>
          <w:sz w:val="20"/>
          <w:szCs w:val="20"/>
          <w:color w:val="auto"/>
        </w:rPr>
      </w:pPr>
      <w:r>
        <w:rPr>
          <w:rFonts w:ascii="Arial" w:cs="Arial" w:eastAsia="Arial" w:hAnsi="Arial"/>
          <w:sz w:val="18"/>
          <w:szCs w:val="18"/>
          <w:color w:val="auto"/>
        </w:rPr>
        <w:t>2,852</w:t>
      </w:r>
      <w:r>
        <w:rPr>
          <w:sz w:val="20"/>
          <w:szCs w:val="20"/>
          <w:color w:val="auto"/>
        </w:rPr>
        <w:tab/>
      </w:r>
      <w:r>
        <w:rPr>
          <w:rFonts w:ascii="Arial" w:cs="Arial" w:eastAsia="Arial" w:hAnsi="Arial"/>
          <w:sz w:val="18"/>
          <w:szCs w:val="18"/>
          <w:color w:val="auto"/>
        </w:rPr>
        <w:t>2,771</w:t>
      </w:r>
    </w:p>
    <w:p>
      <w:pPr>
        <w:spacing w:after="0" w:line="63" w:lineRule="exact"/>
        <w:rPr>
          <w:sz w:val="20"/>
          <w:szCs w:val="20"/>
          <w:color w:val="auto"/>
        </w:rPr>
      </w:pPr>
    </w:p>
    <w:p>
      <w:pPr>
        <w:ind w:left="940"/>
        <w:spacing w:after="0"/>
        <w:tabs>
          <w:tab w:leader="none" w:pos="2680" w:val="left"/>
        </w:tabs>
        <w:rPr>
          <w:sz w:val="20"/>
          <w:szCs w:val="20"/>
          <w:color w:val="auto"/>
        </w:rPr>
      </w:pPr>
      <w:r>
        <w:rPr>
          <w:rFonts w:ascii="Arial" w:cs="Arial" w:eastAsia="Arial" w:hAnsi="Arial"/>
          <w:sz w:val="17"/>
          <w:szCs w:val="17"/>
          <w:color w:val="auto"/>
        </w:rPr>
        <w:t>3,032</w:t>
      </w:r>
      <w:r>
        <w:rPr>
          <w:sz w:val="20"/>
          <w:szCs w:val="20"/>
          <w:color w:val="auto"/>
        </w:rPr>
        <w:tab/>
      </w:r>
      <w:r>
        <w:rPr>
          <w:rFonts w:ascii="Arial" w:cs="Arial" w:eastAsia="Arial" w:hAnsi="Arial"/>
          <w:sz w:val="17"/>
          <w:szCs w:val="17"/>
          <w:color w:val="auto"/>
        </w:rPr>
        <w:t>867</w:t>
      </w:r>
    </w:p>
    <w:p>
      <w:pPr>
        <w:spacing w:after="0" w:line="34" w:lineRule="exact"/>
        <w:rPr>
          <w:sz w:val="20"/>
          <w:szCs w:val="20"/>
          <w:color w:val="auto"/>
        </w:rPr>
      </w:pPr>
    </w:p>
    <w:p>
      <w:pPr>
        <w:jc w:val="both"/>
        <w:ind w:left="840"/>
        <w:spacing w:after="0"/>
        <w:tabs>
          <w:tab w:leader="none" w:pos="2540" w:val="left"/>
        </w:tabs>
        <w:rPr>
          <w:sz w:val="20"/>
          <w:szCs w:val="20"/>
          <w:color w:val="auto"/>
        </w:rPr>
      </w:pPr>
      <w:r>
        <w:rPr>
          <w:rFonts w:ascii="Arial" w:cs="Arial" w:eastAsia="Arial" w:hAnsi="Arial"/>
          <w:sz w:val="18"/>
          <w:szCs w:val="18"/>
          <w:color w:val="auto"/>
        </w:rPr>
        <w:t>12,842</w:t>
      </w:r>
      <w:r>
        <w:rPr>
          <w:sz w:val="20"/>
          <w:szCs w:val="20"/>
          <w:color w:val="auto"/>
        </w:rPr>
        <w:tab/>
      </w:r>
      <w:r>
        <w:rPr>
          <w:rFonts w:ascii="Arial" w:cs="Arial" w:eastAsia="Arial" w:hAnsi="Arial"/>
          <w:sz w:val="18"/>
          <w:szCs w:val="18"/>
          <w:color w:val="auto"/>
        </w:rPr>
        <w:t>4,780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6350</wp:posOffset>
            </wp:positionV>
            <wp:extent cx="19716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 w:lineRule="exact"/>
        <w:rPr>
          <w:sz w:val="20"/>
          <w:szCs w:val="20"/>
          <w:color w:val="auto"/>
        </w:rPr>
      </w:pPr>
    </w:p>
    <w:p>
      <w:pPr>
        <w:spacing w:after="0"/>
        <w:tabs>
          <w:tab w:leader="none" w:pos="820" w:val="left"/>
          <w:tab w:leader="none" w:pos="158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87,323</w:t>
        <w:tab/>
        <w:t>$</w:t>
      </w:r>
      <w:r>
        <w:rPr>
          <w:sz w:val="20"/>
          <w:szCs w:val="20"/>
          <w:color w:val="auto"/>
        </w:rPr>
        <w:tab/>
      </w:r>
      <w:r>
        <w:rPr>
          <w:rFonts w:ascii="Arial" w:cs="Arial" w:eastAsia="Arial" w:hAnsi="Arial"/>
          <w:sz w:val="17"/>
          <w:szCs w:val="17"/>
          <w:color w:val="auto"/>
        </w:rPr>
        <w:t>60,545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6350</wp:posOffset>
            </wp:positionV>
            <wp:extent cx="197167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167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
        <w:spacing w:after="0"/>
        <w:tabs>
          <w:tab w:leader="none" w:pos="184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December 31,</w:t>
      </w:r>
    </w:p>
    <w:p>
      <w:pPr>
        <w:ind w:left="560"/>
        <w:spacing w:after="0"/>
        <w:tabs>
          <w:tab w:leader="none" w:pos="21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8" w:lineRule="exact"/>
        <w:rPr>
          <w:sz w:val="20"/>
          <w:szCs w:val="20"/>
          <w:color w:val="auto"/>
        </w:rPr>
      </w:pPr>
    </w:p>
    <w:p>
      <w:pPr>
        <w:sectPr>
          <w:pgSz w:w="11900" w:h="16838" w:orient="portrait"/>
          <w:cols w:equalWidth="0" w:num="2">
            <w:col w:w="7440" w:space="720"/>
            <w:col w:w="3080"/>
          </w:cols>
          <w:pgMar w:left="320" w:top="14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7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7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4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15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63,000 square feet of office space being leased.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lease costs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318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9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48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rPr>
              <w:t>June 30,</w:t>
            </w:r>
          </w:p>
        </w:tc>
        <w:tc>
          <w:tcPr>
            <w:tcW w:w="120" w:type="dxa"/>
            <w:vAlign w:val="bottom"/>
            <w:gridSpan w:val="2"/>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2020</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 (in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5"/>
              </w:rPr>
              <w:t>5.1</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3"/>
              <w:spacing w:after="0"/>
              <w:rPr>
                <w:sz w:val="20"/>
                <w:szCs w:val="20"/>
                <w:color w:val="auto"/>
              </w:rPr>
            </w:pPr>
            <w:r>
              <w:rPr>
                <w:rFonts w:ascii="Arial" w:cs="Arial" w:eastAsia="Arial" w:hAnsi="Arial"/>
                <w:sz w:val="18"/>
                <w:szCs w:val="18"/>
                <w:color w:val="auto"/>
                <w:w w:val="97"/>
              </w:rPr>
              <w:t>7.7%</w:t>
            </w:r>
          </w:p>
        </w:tc>
      </w:tr>
      <w:tr>
        <w:trPr>
          <w:trHeight w:val="513"/>
        </w:trPr>
        <w:tc>
          <w:tcPr>
            <w:tcW w:w="8160" w:type="dxa"/>
            <w:vAlign w:val="bottom"/>
          </w:tcPr>
          <w:p>
            <w:pPr>
              <w:spacing w:after="0"/>
              <w:rPr>
                <w:sz w:val="20"/>
                <w:szCs w:val="20"/>
                <w:color w:val="auto"/>
              </w:rPr>
            </w:pPr>
            <w:r>
              <w:rPr>
                <w:rFonts w:ascii="Arial" w:cs="Arial" w:eastAsia="Arial" w:hAnsi="Arial"/>
                <w:sz w:val="18"/>
                <w:szCs w:val="18"/>
                <w:color w:val="auto"/>
              </w:rPr>
              <w:t>Maturities of operating lease liabilities by year are as follows as of June 30, 2021: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8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2,016</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2022</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4,111</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4,239</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2024</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4,472</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4,599</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780</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20,217</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(3,381)</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16,836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49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188"/>
        </w:trPr>
        <w:tc>
          <w:tcPr>
            <w:tcW w:w="4980" w:type="dxa"/>
            <w:vAlign w:val="bottom"/>
          </w:tcPr>
          <w:p>
            <w:pPr>
              <w:ind w:left="20"/>
              <w:spacing w:after="0" w:line="189" w:lineRule="exact"/>
              <w:rPr>
                <w:sz w:val="20"/>
                <w:szCs w:val="20"/>
                <w:color w:val="auto"/>
              </w:rPr>
            </w:pPr>
            <w:r>
              <w:rPr>
                <w:rFonts w:ascii="Arial" w:cs="Arial" w:eastAsia="Arial" w:hAnsi="Arial"/>
                <w:sz w:val="18"/>
                <w:szCs w:val="18"/>
                <w:color w:val="auto"/>
              </w:rPr>
              <w:t>Operating lease right-of-use assets obtained in exchange for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4980" w:type="dxa"/>
            <w:vAlign w:val="bottom"/>
          </w:tcPr>
          <w:p>
            <w:pPr>
              <w:ind w:left="20"/>
              <w:spacing w:after="0"/>
              <w:rPr>
                <w:sz w:val="20"/>
                <w:szCs w:val="20"/>
                <w:color w:val="auto"/>
              </w:rPr>
            </w:pPr>
            <w:r>
              <w:rPr>
                <w:rFonts w:ascii="Arial" w:cs="Arial" w:eastAsia="Arial" w:hAnsi="Arial"/>
                <w:sz w:val="18"/>
                <w:szCs w:val="18"/>
                <w:color w:val="auto"/>
              </w:rPr>
              <w:t>new operating lease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904"/>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5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2021, the Company had non-cancellable purchase commitments with certain service providers and Issuing Banks of $11.3 million, payable over the next 5 years. These purchase obligations generally represent minimum commitments for cloud-computing services and issuing bank processing fees over the fixed, non-cancellable respective contract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maintains defined contribution plans for eligible employees, including a 401(k) plan that covers substantially all of its U.S. based employees and to which the Company provides a matching contribution of 50% of the first 6% of compensation that an employee contributes. The matching contribution vests after one year of service. During the three months ended June 30, 2021 and 2020, the Company contributed a total of $0.7 million and $0.4 million to its defined contribution plans, respectively. During the six months ended June 30, 2021 and 2020, the Company contributed a total of $1.5 million and $0.9 million to its defined contribution plans,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June 30, 2021 and December 31, 2020, there were no legal contingency matters, either individually or in aggregate, that would have a material adverse effect on the Company’s financial position, results of operations, or cash flows.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Payment Transactions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condensed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vendors, lessors, business partners, and other parties with respect to certain matters, including, but not limited to, losses arising out of the breach of such agreements, services to be provided by the Company or from intellectual property infringement claims made by third parties.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condensed consolidated balance sheets, condensed consolidated statements of operations, condensed consolidated statements of comprehensive loss, or condensed consolidated statements of cash flows.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state and local indirect taxes in various jurisdictions in the United States. In several of these jurisdictions the Company has reviewed and concluded that such indirect taxes are not applicable to the Company’s service offerings. In a few of these jurisdictions the tax regulations are less clear. While the Company believes its service offerings are not subject to tax in these jurisdictions, the Company is working with the respective state and local tax authorities to confirm the Company’s conclusions. The Company has not recorded a liability associated with these matters as of June 30, 2021 as it believes it is not probable that the indirect taxes are applicable to the Company. In the event that adverse information is received in response to the Company's state inquiries, and the Company chooses not to appeal, a potential range of tax liabilities would be $1.6 million to $6.7 million as of June 30, 2021.</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share-based compensation expense recognized for the different stock incentive plans discussed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9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Stock options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Secondary sales of common stock</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r>
    </w:tbl>
    <w:p>
      <w:pPr>
        <w:ind w:left="180" w:hanging="154"/>
        <w:spacing w:after="0" w:line="220" w:lineRule="auto"/>
        <w:tabs>
          <w:tab w:leader="none" w:pos="1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share-based compensation expense recognized for employees, non-employees and the CEO Long-Term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-111125</wp:posOffset>
            </wp:positionV>
            <wp:extent cx="39776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2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2011, the Company’s board of directors adopted, and its stockholders approved, the 2011 Equity Incentive Plan, which was most recently amended and restated in 2021 as the Amended and Restated 2011 Equity Incentive Plan, or the 2011 Plan. The 2011 Plan provided for the grant of share-based awards to employees, non-employee directors, and other service providers of the Company. The 2011 Plan was terminated in June 2021 in connection with the IPO, but continues to govern the terms of outstanding awards that were granted prior to the IPO. No further equity awards will be granted under the 2011 Plan. Upon the expiration, forfeiture, cancellation, hold back upon exercise or settlement of an award to satisfy the exercise price or tax withholding, or repurchase of any shares of Class B common stock underlying outstanding share-based awards granted under the 2011 Plan, an equal number of shares of Class A common stock will become available for grant under the 2021 Stock Option and Incentive Plan, or the 2021 Plan, that was established in connection with the IPO.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2021, the Company’s board of directors adopted, and its stockholders approved, the 2021 Plan, which became effective in connection with the IPO. The 2021 Plan provides for the grant of incentive stock options, nonqualified stock options, stock appreciation rights, restricted stock awards, restricted stock units, or RSUs, and other forms of equity and cash compensation. A total of 60,000,000 shares of the Company’s Class A common stock were initially reserved for issuance under the 2021 Plan. The number of shares of Class A common stock reserved and available for issuance under the 2021 Plan will automatically increase each January 1, beginning on January 1, 2022, by 5% of the number of shares of the Company’s Class A and Class B common stock outstanding on the immediately preceding December 31, or such lesser number of shares as determined by the Company’s compensation committee of the Company’s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2021, the Company’s board of directors adopted, and its stockholders approved, the 2021 Employee Stock Purchase Plan, or the ESPP, which became effective in connection with the IPO. The ESPP authorizes the issuance of shares of the Company’s Class A common stock pursuant to purchase rights granted to employees.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total of 6,000,000 shares of the Company’s Class A common stock were initially reserved for issuance under the ESPP. The ESPP provides that the number of shares reserved and available for issuance will automatically increase each January 1, beginning on January 1, 2022, by the lesser of 12,000,000 shares of the Company’s Class A common stock, 1% of the number of shares of the Company’s Class A and Class B common stock outstanding on the immediately preceding December 31, or such lesser number of shares as determined by the Company’s compensation committee.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offering periods of the ESPP are six months long and begin on May 16 and November 16 of each year, except for the initial offering period. The initial offering period began on June 8, 2021 and will end on the last business day occurring on or before November 15, 2021.</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price at which Class A common stock is purchased under the ESPP is equal to 85% of the fair market value of a share of the Company’s Class A common stock on the first or last day of the offering period, whichever is lower.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2011 Plan and the 2021 Plan, the exercise price of an incentive stock option shall not be less than the fair market value of one share of the Company’s Class A common stock on the date of grant (not less than 110% of the fair market value of one share of Class A common stock for grants to stockholders owning more than 10% of the total combined voting power of all classes of stock of the Company, or a 10% Stockholder. Options are exercisable over periods not to exceed ten years from the date of grant (five years for incentive stock options granted to 10% Stockholders).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under both stock incentive plans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5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Exercise Price per</w:t>
            </w: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Life</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9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5"/>
              <w:spacing w:after="0" w:line="176"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December 31, 2020</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23,421,374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248,002</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29,090,184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(3,083,412)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(1,108,195)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Balance as of June 30, 2021</w:t>
            </w:r>
            <w:r>
              <w:rPr>
                <w:rFonts w:ascii="Arial" w:cs="Arial" w:eastAsia="Arial" w:hAnsi="Arial"/>
                <w:sz w:val="23"/>
                <w:szCs w:val="23"/>
                <w:color w:val="auto"/>
                <w:vertAlign w:val="superscript"/>
              </w:rPr>
              <w:t>(2)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48,319,951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745,699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as of June 30, 2021</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8,778,372</w:t>
            </w:r>
          </w:p>
        </w:tc>
        <w:tc>
          <w:tcPr>
            <w:tcW w:w="24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Intrinsic value based is calculated based on the difference between the exercise price of in-the-money-stock options and the fair value of the common stock as of the respective balance sheet dates.</w:t>
      </w:r>
    </w:p>
    <w:p>
      <w:pPr>
        <w:spacing w:after="0" w:line="37" w:lineRule="exact"/>
        <w:rPr>
          <w:rFonts w:ascii="Arial" w:cs="Arial" w:eastAsia="Arial" w:hAnsi="Arial"/>
          <w:sz w:val="15"/>
          <w:szCs w:val="15"/>
          <w:color w:val="auto"/>
          <w:vertAlign w:val="superscript"/>
        </w:rPr>
      </w:pPr>
    </w:p>
    <w:p>
      <w:pPr>
        <w:ind w:left="140" w:hanging="132"/>
        <w:spacing w:after="0" w:line="198"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The 2011 Plan allows for early exercise of stock options and these balances include all exercisable stock options regardless of vesting status.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June 30, 2021 and 2020, share-based compensation expense recognized for employee stock options, excluding the CEO Long-Term Performance Award, was $8.2 million and $2.9 million, respectively. During the six months ended June 30, 2021 and 2020, share-based compensation expense recognized for employee stock options, excluding the CEO Long-Term Performance Award, was $13.6 million and 5.1 million, respectively.</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unrecognized compensation costs related to unvested outstanding stock options, excluding the CEO Long-Term Performance Award, was $122.0 million. These costs are expected to be recognized over a period of 6.3 years.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stock options granted was estimated using the Black-Scholes option pricing model and the following weighted average assumptions: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316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3080" w:type="dxa"/>
            <w:vAlign w:val="bottom"/>
            <w:gridSpan w:val="3"/>
          </w:tcPr>
          <w:p>
            <w:pPr>
              <w:ind w:left="60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00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0.0%</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54.72%</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54.15%</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48.06%</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6.02</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0.40%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0.55%</w:t>
            </w:r>
          </w:p>
        </w:tc>
      </w:tr>
    </w:tbl>
    <w:p>
      <w:pPr>
        <w:spacing w:after="0" w:line="3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Subsequent to the completion of the IPO, the fair value of the Company’s common stock is determined by the closing price, on the date of grant, of its Class A common stock, which is traded on the Nasdaq Global Select Market.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Secondary Sales of Common Stock</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the completion of the IPO, certain economic interest holders acquired outstanding common stock from current or former employees for a purchase price greater than the Company's estimated fair value at the time of the transactions. During the three months ended June 30, 2021 and 2020, the Company recorded share-based compensation expense for the difference between the price paid and the estimated fair value on the date of the transaction of $5.8 million and $0.0 million, respectively. During the six months ended June 30, 2021 and 2020, the Company recorded share-based compensation expense for the difference between the price paid and the estimated fair value on the date of the transaction of $11.6 million and $1.4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CEO Long-Term Performance Award</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and May 2021, the Company’s board of directors granted the Company’s Chief Executive Officer equity incentive awards in the form of performance-based stock options covering 19,740,923 and 47,267 shares of our Class B common stock with an exercise price of $ 21.49 and $23.40 per share, respectively, or collectively, the CEO Long-Term Performance Award. The CEO Long-Term Performance Award vests upon the satisfaction of a service condition and the achievement of certain stock price hurdles over a seven year performance period following the expiration of the lock-up period associated with the IPO. The stock price hurdle will be achieved if the average closing price of a share of our Class A common stock during any 90 consecutive trading day period during the performance period equals or exceeds the Company stock price hurdle set forth in the table below.</w:t>
      </w:r>
    </w:p>
    <w:p>
      <w:pPr>
        <w:spacing w:after="0" w:line="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CEO Long-Term Performance Award is divided into seven equal tranches which vest upon the achievement of the following Company stock price hurdle: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Tranche</w:t>
            </w:r>
          </w:p>
        </w:tc>
        <w:tc>
          <w:tcPr>
            <w:tcW w:w="3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Company Stock Price Hurdle</w:t>
            </w:r>
          </w:p>
        </w:tc>
        <w:tc>
          <w:tcPr>
            <w:tcW w:w="3680" w:type="dxa"/>
            <w:vAlign w:val="bottom"/>
          </w:tcPr>
          <w:p>
            <w:pPr>
              <w:ind w:left="660"/>
              <w:spacing w:after="0"/>
              <w:rPr>
                <w:sz w:val="20"/>
                <w:szCs w:val="20"/>
                <w:color w:val="auto"/>
              </w:rPr>
            </w:pPr>
            <w:r>
              <w:rPr>
                <w:rFonts w:ascii="Arial" w:cs="Arial" w:eastAsia="Arial" w:hAnsi="Arial"/>
                <w:sz w:val="14"/>
                <w:szCs w:val="14"/>
                <w:b w:val="1"/>
                <w:bCs w:val="1"/>
                <w:color w:val="auto"/>
              </w:rPr>
              <w:t>Number of Options Eligible to Vest</w:t>
            </w:r>
          </w:p>
        </w:tc>
      </w:tr>
      <w:tr>
        <w:trPr>
          <w:trHeight w:val="210"/>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right"/>
              <w:ind w:right="1876"/>
              <w:spacing w:after="0"/>
              <w:rPr>
                <w:sz w:val="20"/>
                <w:szCs w:val="20"/>
                <w:color w:val="auto"/>
              </w:rPr>
            </w:pPr>
            <w:r>
              <w:rPr>
                <w:rFonts w:ascii="Arial" w:cs="Arial" w:eastAsia="Arial" w:hAnsi="Arial"/>
                <w:sz w:val="17"/>
                <w:szCs w:val="17"/>
                <w:color w:val="auto"/>
              </w:rPr>
              <w:t>$67.50</w:t>
            </w:r>
          </w:p>
        </w:tc>
        <w:tc>
          <w:tcPr>
            <w:tcW w:w="1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2,826,884</w:t>
            </w:r>
          </w:p>
        </w:tc>
      </w:tr>
      <w:tr>
        <w:trPr>
          <w:trHeight w:val="214"/>
        </w:trPr>
        <w:tc>
          <w:tcPr>
            <w:tcW w:w="3660" w:type="dxa"/>
            <w:vAlign w:val="bottom"/>
          </w:tcPr>
          <w:p>
            <w:pPr>
              <w:jc w:val="cente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680" w:type="dxa"/>
            <w:vAlign w:val="bottom"/>
          </w:tcPr>
          <w:p>
            <w:pPr>
              <w:jc w:val="right"/>
              <w:ind w:right="1876"/>
              <w:spacing w:after="0"/>
              <w:rPr>
                <w:sz w:val="20"/>
                <w:szCs w:val="20"/>
                <w:color w:val="auto"/>
              </w:rPr>
            </w:pPr>
            <w:r>
              <w:rPr>
                <w:rFonts w:ascii="Arial" w:cs="Arial" w:eastAsia="Arial" w:hAnsi="Arial"/>
                <w:sz w:val="17"/>
                <w:szCs w:val="17"/>
                <w:color w:val="auto"/>
              </w:rPr>
              <w:t>$78.98</w:t>
            </w:r>
          </w:p>
        </w:tc>
        <w:tc>
          <w:tcPr>
            <w:tcW w:w="1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7"/>
                <w:szCs w:val="17"/>
                <w:color w:val="auto"/>
              </w:rPr>
              <w:t>2,826,884</w:t>
            </w:r>
          </w:p>
        </w:tc>
      </w:tr>
      <w:tr>
        <w:trPr>
          <w:trHeight w:val="218"/>
        </w:trPr>
        <w:tc>
          <w:tcPr>
            <w:tcW w:w="3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jc w:val="right"/>
              <w:ind w:right="1876"/>
              <w:spacing w:after="0"/>
              <w:rPr>
                <w:sz w:val="20"/>
                <w:szCs w:val="20"/>
                <w:color w:val="auto"/>
              </w:rPr>
            </w:pPr>
            <w:r>
              <w:rPr>
                <w:rFonts w:ascii="Arial" w:cs="Arial" w:eastAsia="Arial" w:hAnsi="Arial"/>
                <w:sz w:val="17"/>
                <w:szCs w:val="17"/>
                <w:color w:val="auto"/>
              </w:rPr>
              <w:t>$92.40</w:t>
            </w:r>
          </w:p>
        </w:tc>
        <w:tc>
          <w:tcPr>
            <w:tcW w:w="120" w:type="dxa"/>
            <w:vAlign w:val="bottom"/>
            <w:shd w:val="clear" w:color="auto" w:fill="CCEEFF"/>
          </w:tcPr>
          <w:p>
            <w:pPr>
              <w:spacing w:after="0"/>
              <w:rPr>
                <w:sz w:val="18"/>
                <w:szCs w:val="18"/>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2,826,884</w:t>
            </w:r>
          </w:p>
        </w:tc>
      </w:tr>
      <w:tr>
        <w:trPr>
          <w:trHeight w:val="214"/>
        </w:trPr>
        <w:tc>
          <w:tcPr>
            <w:tcW w:w="3660" w:type="dxa"/>
            <w:vAlign w:val="bottom"/>
          </w:tcPr>
          <w:p>
            <w:pPr>
              <w:jc w:val="center"/>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7"/>
                <w:szCs w:val="17"/>
                <w:color w:val="auto"/>
              </w:rPr>
              <w:t>$108.11</w:t>
            </w:r>
          </w:p>
        </w:tc>
        <w:tc>
          <w:tcPr>
            <w:tcW w:w="1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7"/>
                <w:szCs w:val="17"/>
                <w:color w:val="auto"/>
              </w:rPr>
              <w:t>2,826,884</w:t>
            </w:r>
          </w:p>
        </w:tc>
      </w:tr>
      <w:tr>
        <w:trPr>
          <w:trHeight w:val="218"/>
        </w:trPr>
        <w:tc>
          <w:tcPr>
            <w:tcW w:w="3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$126.49</w:t>
            </w:r>
          </w:p>
        </w:tc>
        <w:tc>
          <w:tcPr>
            <w:tcW w:w="120" w:type="dxa"/>
            <w:vAlign w:val="bottom"/>
            <w:shd w:val="clear" w:color="auto" w:fill="CCEEFF"/>
          </w:tcPr>
          <w:p>
            <w:pPr>
              <w:spacing w:after="0"/>
              <w:rPr>
                <w:sz w:val="18"/>
                <w:szCs w:val="18"/>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2,826,884</w:t>
            </w:r>
          </w:p>
        </w:tc>
      </w:tr>
      <w:tr>
        <w:trPr>
          <w:trHeight w:val="214"/>
        </w:trPr>
        <w:tc>
          <w:tcPr>
            <w:tcW w:w="3660" w:type="dxa"/>
            <w:vAlign w:val="bottom"/>
          </w:tcPr>
          <w:p>
            <w:pPr>
              <w:jc w:val="center"/>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7"/>
                <w:szCs w:val="17"/>
                <w:color w:val="auto"/>
              </w:rPr>
              <w:t>$147.99</w:t>
            </w:r>
          </w:p>
        </w:tc>
        <w:tc>
          <w:tcPr>
            <w:tcW w:w="1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7"/>
                <w:szCs w:val="17"/>
                <w:color w:val="auto"/>
              </w:rPr>
              <w:t>2,826,884</w:t>
            </w:r>
          </w:p>
        </w:tc>
      </w:tr>
      <w:tr>
        <w:trPr>
          <w:trHeight w:val="216"/>
        </w:trPr>
        <w:tc>
          <w:tcPr>
            <w:tcW w:w="3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$173.15</w:t>
            </w:r>
          </w:p>
        </w:tc>
        <w:tc>
          <w:tcPr>
            <w:tcW w:w="120" w:type="dxa"/>
            <w:vAlign w:val="bottom"/>
            <w:shd w:val="clear" w:color="auto" w:fill="CCEEFF"/>
          </w:tcPr>
          <w:p>
            <w:pPr>
              <w:spacing w:after="0"/>
              <w:rPr>
                <w:sz w:val="18"/>
                <w:szCs w:val="18"/>
                <w:color w:val="auto"/>
              </w:rPr>
            </w:pPr>
          </w:p>
        </w:tc>
        <w:tc>
          <w:tcPr>
            <w:tcW w:w="3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2,826,884</w:t>
            </w:r>
          </w:p>
        </w:tc>
      </w:tr>
      <w:tr>
        <w:trPr>
          <w:trHeight w:val="212"/>
        </w:trPr>
        <w:tc>
          <w:tcPr>
            <w:tcW w:w="376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Total</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19,788,188</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grant date fair value of the CEO Long-Term Performance Award was estimated using a Monte Carlo simulation model that incorporated multiple stock price paths and probabilities that the Company stock price hurdles are met. The weighted-average grant date fair value of the seven tranches of the CEO Long-Term Performance Award was estimated to be $10.53 per option share.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three months ended June 30, 2021, the Company recognized $11.4 million of share-based compensation expense related to the CEO Long-Term Performance Award.</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the aggregate unrecognized compensation cost of the CEO Long-Term Performance Award was $197.0 million, which is expected to be recognized over the remaining derived service period of 4.6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Commencing in 2020, the Company began granting RSUs to employees. RSUs granted prior to April 1, 2021 vest upon the satisfaction of both a service condition and a liquidity condition. The service condition for these awards is satisfied over four years. On June 8, 2021, the Company completed its IPO and the liquidity condition for these awards was satisfied and the Company recognized $23.1 million of share-based compensation expense associated with RSUs that had service-vested as of the IPO completion date. Subsequent to the IPO, the unamortized grant date fair value of these RSUs will be recorded as share-based compensation expense over the remaining service period.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RSUs granted on or after April 1, 2021, vest upon the satisfaction of a service condition. The service condition for these awards is satisfied over four years. In the three months ended June 30, 2021, the Company recognized $7.0 million of share-based compensation expense related to these RSUs.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activity under both stock incentive plans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5"/>
              <w:spacing w:after="0"/>
              <w:rPr>
                <w:sz w:val="20"/>
                <w:szCs w:val="20"/>
                <w:color w:val="auto"/>
              </w:rPr>
            </w:pPr>
            <w:r>
              <w:rPr>
                <w:rFonts w:ascii="Arial" w:cs="Arial" w:eastAsia="Arial" w:hAnsi="Arial"/>
                <w:sz w:val="14"/>
                <w:szCs w:val="14"/>
                <w:b w:val="1"/>
                <w:bCs w:val="1"/>
                <w:color w:val="auto"/>
              </w:rPr>
              <w:t>Weighted-average</w:t>
            </w:r>
          </w:p>
        </w:tc>
      </w:tr>
      <w:tr>
        <w:trPr>
          <w:trHeight w:val="135"/>
        </w:trPr>
        <w:tc>
          <w:tcPr>
            <w:tcW w:w="81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1"/>
                <w:szCs w:val="11"/>
                <w:color w:val="auto"/>
              </w:rPr>
            </w:pPr>
          </w:p>
        </w:tc>
        <w:tc>
          <w:tcPr>
            <w:tcW w:w="1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 value</w:t>
            </w:r>
          </w:p>
        </w:tc>
      </w:tr>
      <w:tr>
        <w:trPr>
          <w:trHeight w:val="175"/>
        </w:trPr>
        <w:tc>
          <w:tcPr>
            <w:tcW w:w="81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5,321,906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18.87</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9.28</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8,423,137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and six months ended June 30, 2021, share-based compensation expense recognized for RSUs was $30.1 million and $30.1 million, respectively.</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unrecognized compensation costs related to unvested RSUs was $106.3 million. These costs are expected to be recognized over a period of 3.3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Common Stock</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both 2013 and 2014, in connection with prior loan agreements, the Company issued two warrants to the lender to purchase 101,805 and 101,805 shares of Series B redeemable convertible preferred stock, both at an exercise price of $0.295 per share. As of June 30, 2021, both warrants are fully vested and exercisable and expire in 2023. Prior to the IPO, the warrants were classified as a liability in the condensed consolidated balance sheets and were remeasured at each balance sheet date using the Black-Scholes option pricing model, and any changes in fair value were recorded in other income (expense), net in the Company's condensed consolidated statements of operations. Immediately prior to the completion of the IPO in June 2021, these outstanding redeemable convertible preferred stock warrants were converted to Class B common stock warrants and the fair value of the liability as of that date was reclassified into the Company’s Class B common stock and additional paid-in capital.</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and 2016, in connection with prior loan agreements, the Company issued two warrants to the lender to purchase 231,348 and 621,066 shares of common stock, both at an exercise price of $0.053 per share. As of December 31, 2020, 231,348 and 438,180 warrants were fully vested and exercisable, and classified as equity instruments. Immediately prior to the completion of the IPO, those warrants were converted to an equivalent number of shares of Class B common stock warrants. In June 2020, both warrants were exercised and a total of 668,412 shares of Class B common stock were issued.</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2020, the Company issued a warrant to a Customer to purchase up to 750,000 shares of the Company’s common stock over a period of five years, ending in September 2025, at an exercise price of $ 0.01 per share, for a total fair value of $5.7 million. The warrant becomes exercisable when the vesting conditions are met. The warrant vesting is contingent on certain performance conditions, which include the Customer reaching certain annual transaction count thresholds over the five-year contract term. This warrant is classified as an equity instrument and expires in September 2025. It is treated as consideration payable to a Customer and recorded as a reduction to net revenue based on the probability of vesting conditions being met and the grant date fair value of the warrant. As of June 30, 2021, 22,500 warrants were vested and the Company recorded an immaterial amount as a reduction to net revenue during the three months then ended.</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the warrant was estimated using the Black-Scholes option pricing model and the following assumptions as of the date of the grant: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160" w:type="dxa"/>
            <w:vAlign w:val="bottom"/>
            <w:shd w:val="clear" w:color="auto" w:fill="CCEEFF"/>
          </w:tcPr>
          <w:p>
            <w:pPr>
              <w:jc w:val="center"/>
              <w:ind w:left="3590"/>
              <w:spacing w:after="0"/>
              <w:rPr>
                <w:sz w:val="20"/>
                <w:szCs w:val="20"/>
                <w:color w:val="auto"/>
              </w:rPr>
            </w:pPr>
            <w:r>
              <w:rPr>
                <w:rFonts w:ascii="Arial" w:cs="Arial" w:eastAsia="Arial" w:hAnsi="Arial"/>
                <w:sz w:val="18"/>
                <w:szCs w:val="18"/>
                <w:color w:val="auto"/>
                <w:w w:val="97"/>
              </w:rPr>
              <w:t>0.0%</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5160" w:type="dxa"/>
            <w:vAlign w:val="bottom"/>
          </w:tcPr>
          <w:p>
            <w:pPr>
              <w:jc w:val="center"/>
              <w:ind w:left="3590"/>
              <w:spacing w:after="0"/>
              <w:rPr>
                <w:sz w:val="20"/>
                <w:szCs w:val="20"/>
                <w:color w:val="auto"/>
              </w:rPr>
            </w:pPr>
            <w:r>
              <w:rPr>
                <w:rFonts w:ascii="Arial" w:cs="Arial" w:eastAsia="Arial" w:hAnsi="Arial"/>
                <w:sz w:val="18"/>
                <w:szCs w:val="18"/>
                <w:color w:val="auto"/>
              </w:rPr>
              <w:t>50.0%</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term (in years)</w:t>
            </w:r>
          </w:p>
        </w:tc>
        <w:tc>
          <w:tcPr>
            <w:tcW w:w="5160" w:type="dxa"/>
            <w:vAlign w:val="bottom"/>
            <w:shd w:val="clear" w:color="auto" w:fill="CCEEFF"/>
          </w:tcPr>
          <w:p>
            <w:pPr>
              <w:jc w:val="center"/>
              <w:ind w:left="3590"/>
              <w:spacing w:after="0"/>
              <w:rPr>
                <w:sz w:val="20"/>
                <w:szCs w:val="20"/>
                <w:color w:val="auto"/>
              </w:rPr>
            </w:pPr>
            <w:r>
              <w:rPr>
                <w:rFonts w:ascii="Arial" w:cs="Arial" w:eastAsia="Arial" w:hAnsi="Arial"/>
                <w:sz w:val="18"/>
                <w:szCs w:val="18"/>
                <w:color w:val="auto"/>
                <w:w w:val="95"/>
              </w:rPr>
              <w:t>5.0</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160" w:type="dxa"/>
            <w:vAlign w:val="bottom"/>
          </w:tcPr>
          <w:p>
            <w:pPr>
              <w:jc w:val="center"/>
              <w:ind w:left="3590"/>
              <w:spacing w:after="0"/>
              <w:rPr>
                <w:sz w:val="20"/>
                <w:szCs w:val="20"/>
                <w:color w:val="auto"/>
              </w:rPr>
            </w:pPr>
            <w:r>
              <w:rPr>
                <w:rFonts w:ascii="Arial" w:cs="Arial" w:eastAsia="Arial" w:hAnsi="Arial"/>
                <w:sz w:val="18"/>
                <w:szCs w:val="18"/>
                <w:color w:val="auto"/>
                <w:w w:val="97"/>
              </w:rPr>
              <w:t>0.3%</w:t>
            </w:r>
          </w:p>
        </w:tc>
      </w:tr>
    </w:tbl>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2021, the Company issued warrants to two Customers to purchase up to 1,100,000 and 50,000 shares of the Company’s common stock, respectively, over a period of four years, ending in April 2025, at an exercise price of $0.01 per share. The aggregate grant date fair value of these warrants was $26.4 million. The warrants’ vesting is contingent on certain performance conditions, which include issuing a specified percentage of new cards on the Company’s Platform over a three-year measurement period. The warrants are treated as consideration payable to a Customer and the grant date fair value of the warrants will be recorded as a reduction to net revenue based on the probability of vesting conditions being met. As of June 30, 2021, 91,667 warrants had vested and the Company recorded $1.0 million as a reduction to net revenue during the three and six months ended June 30,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warrants was estimated using the Black-Scholes option pricing model and the following weighted average assumptions: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7520" w:type="dxa"/>
            <w:vAlign w:val="bottom"/>
            <w:shd w:val="clear" w:color="auto" w:fill="CCEEFF"/>
          </w:tcPr>
          <w:p>
            <w:pPr>
              <w:jc w:val="center"/>
              <w:ind w:left="5950"/>
              <w:spacing w:after="0"/>
              <w:rPr>
                <w:sz w:val="20"/>
                <w:szCs w:val="20"/>
                <w:color w:val="auto"/>
              </w:rPr>
            </w:pPr>
            <w:r>
              <w:rPr>
                <w:rFonts w:ascii="Arial" w:cs="Arial" w:eastAsia="Arial" w:hAnsi="Arial"/>
                <w:sz w:val="18"/>
                <w:szCs w:val="18"/>
                <w:color w:val="auto"/>
                <w:w w:val="97"/>
              </w:rPr>
              <w:t>0.0%</w:t>
            </w: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520" w:type="dxa"/>
            <w:vAlign w:val="bottom"/>
          </w:tcPr>
          <w:p>
            <w:pPr>
              <w:jc w:val="center"/>
              <w:ind w:left="5950"/>
              <w:spacing w:after="0"/>
              <w:rPr>
                <w:sz w:val="20"/>
                <w:szCs w:val="20"/>
                <w:color w:val="auto"/>
              </w:rPr>
            </w:pPr>
            <w:r>
              <w:rPr>
                <w:rFonts w:ascii="Arial" w:cs="Arial" w:eastAsia="Arial" w:hAnsi="Arial"/>
                <w:sz w:val="18"/>
                <w:szCs w:val="18"/>
                <w:color w:val="auto"/>
              </w:rPr>
              <w:t>50.0%</w:t>
            </w: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term (in years)</w:t>
            </w:r>
          </w:p>
        </w:tc>
        <w:tc>
          <w:tcPr>
            <w:tcW w:w="7520" w:type="dxa"/>
            <w:vAlign w:val="bottom"/>
            <w:shd w:val="clear" w:color="auto" w:fill="CCEEFF"/>
          </w:tcPr>
          <w:p>
            <w:pPr>
              <w:jc w:val="center"/>
              <w:ind w:left="5950"/>
              <w:spacing w:after="0"/>
              <w:rPr>
                <w:sz w:val="20"/>
                <w:szCs w:val="20"/>
                <w:color w:val="auto"/>
              </w:rPr>
            </w:pPr>
            <w:r>
              <w:rPr>
                <w:rFonts w:ascii="Arial" w:cs="Arial" w:eastAsia="Arial" w:hAnsi="Arial"/>
                <w:sz w:val="18"/>
                <w:szCs w:val="18"/>
                <w:color w:val="auto"/>
                <w:w w:val="95"/>
              </w:rPr>
              <w:t>4.0</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7520" w:type="dxa"/>
            <w:vAlign w:val="bottom"/>
          </w:tcPr>
          <w:p>
            <w:pPr>
              <w:jc w:val="center"/>
              <w:ind w:left="5950"/>
              <w:spacing w:after="0"/>
              <w:rPr>
                <w:sz w:val="20"/>
                <w:szCs w:val="20"/>
                <w:color w:val="auto"/>
              </w:rPr>
            </w:pPr>
            <w:r>
              <w:rPr>
                <w:rFonts w:ascii="Arial" w:cs="Arial" w:eastAsia="Arial" w:hAnsi="Arial"/>
                <w:sz w:val="18"/>
                <w:szCs w:val="18"/>
                <w:color w:val="auto"/>
                <w:w w:val="97"/>
              </w:rPr>
              <w:t>0.6%</w:t>
            </w:r>
          </w:p>
        </w:tc>
      </w:tr>
      <w:tr>
        <w:trPr>
          <w:trHeight w:val="891"/>
        </w:trPr>
        <w:tc>
          <w:tcPr>
            <w:tcW w:w="3720" w:type="dxa"/>
            <w:vAlign w:val="bottom"/>
          </w:tcPr>
          <w:p>
            <w:pPr>
              <w:spacing w:after="0"/>
              <w:rPr>
                <w:sz w:val="24"/>
                <w:szCs w:val="24"/>
                <w:color w:val="auto"/>
              </w:rPr>
            </w:pPr>
          </w:p>
        </w:tc>
        <w:tc>
          <w:tcPr>
            <w:tcW w:w="7520" w:type="dxa"/>
            <w:vAlign w:val="bottom"/>
          </w:tcPr>
          <w:p>
            <w:pPr>
              <w:jc w:val="right"/>
              <w:ind w:right="5430"/>
              <w:spacing w:after="0"/>
              <w:rPr>
                <w:sz w:val="20"/>
                <w:szCs w:val="20"/>
                <w:color w:val="auto"/>
              </w:rPr>
            </w:pPr>
            <w:r>
              <w:rPr>
                <w:rFonts w:ascii="Arial" w:cs="Arial" w:eastAsia="Arial" w:hAnsi="Arial"/>
                <w:sz w:val="18"/>
                <w:szCs w:val="18"/>
                <w:color w:val="auto"/>
              </w:rPr>
              <w:t>23</w:t>
            </w:r>
          </w:p>
        </w:tc>
      </w:tr>
      <w:tr>
        <w:trPr>
          <w:trHeight w:val="115"/>
        </w:trPr>
        <w:tc>
          <w:tcPr>
            <w:tcW w:w="3720" w:type="dxa"/>
            <w:vAlign w:val="bottom"/>
            <w:tcBorders>
              <w:bottom w:val="single" w:sz="8" w:color="9A9A9A"/>
            </w:tcBorders>
          </w:tcPr>
          <w:p>
            <w:pPr>
              <w:spacing w:after="0"/>
              <w:rPr>
                <w:sz w:val="10"/>
                <w:szCs w:val="10"/>
                <w:color w:val="auto"/>
              </w:rPr>
            </w:pPr>
          </w:p>
        </w:tc>
        <w:tc>
          <w:tcPr>
            <w:tcW w:w="7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presents basic and diluted net loss per share attributable to common stockholders in conformity with the two-class method required for participating securities. Prior to the completion of the IPO, all series of redeemable convertible preferred stock were considered participating securities. Immediately prior to the completion of the IPO, all shares of redeemable convertible preferred stock then outstanding were converted into shares of Class B common stock. See Note 8 for additional information. The Company has not allocated net loss attributable to common stockholders to redeemable convertible preferred stock in any period presented because the holders of its redeemable convertible preferred stock were not contractually obligated to share in losses.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calculated basic and diluted net loss per share attributable to common stockholders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8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940" w:type="dxa"/>
            <w:vAlign w:val="bottom"/>
          </w:tcPr>
          <w:p>
            <w:pPr>
              <w:ind w:left="20"/>
              <w:spacing w:after="0" w:line="168" w:lineRule="exact"/>
              <w:rPr>
                <w:sz w:val="20"/>
                <w:szCs w:val="20"/>
                <w:color w:val="auto"/>
              </w:rPr>
            </w:pPr>
            <w:r>
              <w:rPr>
                <w:rFonts w:ascii="Arial" w:cs="Arial" w:eastAsia="Arial" w:hAnsi="Arial"/>
                <w:sz w:val="18"/>
                <w:szCs w:val="18"/>
                <w:color w:val="auto"/>
              </w:rPr>
              <w:t>Net loss attributable to Class A and Class B common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(68,554)</w:t>
            </w:r>
          </w:p>
        </w:tc>
        <w:tc>
          <w:tcPr>
            <w:tcW w:w="10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(81,392)</w:t>
            </w:r>
          </w:p>
        </w:tc>
        <w:tc>
          <w:tcPr>
            <w:tcW w:w="10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(21,637)</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line="190" w:lineRule="exact"/>
              <w:rPr>
                <w:sz w:val="20"/>
                <w:szCs w:val="20"/>
                <w:color w:val="auto"/>
              </w:rPr>
            </w:pPr>
            <w:r>
              <w:rPr>
                <w:rFonts w:ascii="Arial" w:cs="Arial" w:eastAsia="Arial" w:hAnsi="Arial"/>
                <w:sz w:val="18"/>
                <w:szCs w:val="18"/>
                <w:color w:val="auto"/>
              </w:rPr>
              <w:t>stockholders</w:t>
            </w:r>
          </w:p>
        </w:tc>
        <w:tc>
          <w:tcPr>
            <w:tcW w:w="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in computing net loss per</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share attributable to Class A and Class B common</w:t>
            </w: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234,669,664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120,051,635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183,784,697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119,265,816</w:t>
            </w:r>
          </w:p>
        </w:tc>
        <w:tc>
          <w:tcPr>
            <w:tcW w:w="0" w:type="dxa"/>
            <w:vAlign w:val="bottom"/>
          </w:tcPr>
          <w:p>
            <w:pPr>
              <w:spacing w:after="0"/>
              <w:rPr>
                <w:sz w:val="1"/>
                <w:szCs w:val="1"/>
                <w:color w:val="auto"/>
              </w:rPr>
            </w:pPr>
          </w:p>
        </w:tc>
      </w:tr>
      <w:tr>
        <w:trPr>
          <w:trHeight w:val="190"/>
        </w:trPr>
        <w:tc>
          <w:tcPr>
            <w:tcW w:w="4940" w:type="dxa"/>
            <w:vAlign w:val="bottom"/>
          </w:tcPr>
          <w:p>
            <w:pPr>
              <w:ind w:left="20"/>
              <w:spacing w:after="0" w:line="190" w:lineRule="exact"/>
              <w:rPr>
                <w:sz w:val="20"/>
                <w:szCs w:val="20"/>
                <w:color w:val="auto"/>
              </w:rPr>
            </w:pPr>
            <w:r>
              <w:rPr>
                <w:rFonts w:ascii="Arial" w:cs="Arial" w:eastAsia="Arial" w:hAnsi="Arial"/>
                <w:sz w:val="18"/>
                <w:szCs w:val="18"/>
                <w:color w:val="auto"/>
              </w:rPr>
              <w:t>stockholders, basic and diluted</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per share attributable to Class A and Class B</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common stockholders, basic and diluted</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three and six months ended June 30, 2021 and 2020.</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loss per share will, therefore, be the same for both Class A common stock and Class B common stock on an individual or combined basis.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973"/>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all series</w:t>
            </w:r>
          </w:p>
        </w:tc>
        <w:tc>
          <w:tcPr>
            <w:tcW w:w="29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354,834,798</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Warrants to purchase redeemable convertible preferred stock</w:t>
            </w:r>
          </w:p>
        </w:tc>
        <w:tc>
          <w:tcPr>
            <w:tcW w:w="2940" w:type="dxa"/>
            <w:vAlign w:val="bottom"/>
          </w:tcPr>
          <w:p>
            <w:pPr>
              <w:spacing w:after="0"/>
              <w:rPr>
                <w:sz w:val="23"/>
                <w:szCs w:val="23"/>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203,610</w:t>
            </w: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Class B common stock</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2,103,610</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669,528</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Stock options outstanding, including early exercise of options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48,319,951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27,579,970</w:t>
            </w: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 outstanding</w:t>
            </w:r>
          </w:p>
        </w:tc>
        <w:tc>
          <w:tcPr>
            <w:tcW w:w="29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8,423,137</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2,759,659</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58,846,698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386,047,565</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940" w:type="dxa"/>
            <w:vAlign w:val="bottom"/>
            <w:vMerge w:val="restart"/>
          </w:tcPr>
          <w:p>
            <w:pPr>
              <w:jc w:val="right"/>
              <w:ind w:right="2350"/>
              <w:spacing w:after="0"/>
              <w:rPr>
                <w:sz w:val="20"/>
                <w:szCs w:val="20"/>
                <w:color w:val="auto"/>
              </w:rPr>
            </w:pPr>
            <w:r>
              <w:rPr>
                <w:rFonts w:ascii="Arial" w:cs="Arial" w:eastAsia="Arial" w:hAnsi="Arial"/>
                <w:sz w:val="18"/>
                <w:szCs w:val="18"/>
                <w:color w:val="auto"/>
              </w:rPr>
              <w:t>24</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2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Share and Per Share Amounts, Ratios, or as Noted)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for income taxes was not significant for all periods presented. The Company’s effective tax rate was approximately zero percent for all periods presented. The effective tax rate was lower than the U.S. federal statutory rate primarily because of the domestic valuation allowances. For all periods presented, the Company recognized an insignificant provision related to foreign income taxes.</w:t>
      </w:r>
    </w:p>
    <w:p>
      <w:pPr>
        <w:spacing w:after="0" w:line="28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Risks and Significant Customers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marketable securities, accounts receivable and unbilled Customers' receivable, or collectively,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as of June 30, 2021 and December 31, 2020 include $1.6 billion and $203.6 million, respectively, of investments in three money market mutual funds which invest primarily in securities issued by the U.S. Government or U.S. Government agencies.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2021, marketable securities were $105.1 million, and there was no concentration of securities of the same issuer with an aggregate fair value greater than 5% of the total balance, except for U.S. Treasuries, which amounted to $80.2 million, or 76% of the marketable securities. All debt securities within the Company's portfolio are investment grade.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marketable securities were $149.9 million, and there was no concentration of securities of the same issuer with an aggregate fair value greater than 5% of the total balance, except for U.S. Treasuries, which amounted to $125.9 million, or 84% of the marketable securities. All debt securities within the Company's portfolio are investment grade.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three months ended June 30, 2021 and 2020, 92% and 96% of Total Processing Volume, which is the total dollar amount of payments processed through the Company’s Platform, net of returns and chargebacks, was settled through Sutton Bank, respectively. For the six months ended June 30, 2021 and 2020, 93% and 96% of Total Processing Volume was settled through Sutton Bank, respectively.</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significant portion of the Company's revenue is derived from one Customer. For the three months ended June 30, 2021 and 2020, this Customer accounted for 72% and 66% of the Company’s net revenue, respectively. For the six months ended June 30, 2021 and 2020, this Customer accounted for 73% and 66% of the Company’s net revenue, respectively. For the three and six months ended June 30, 2020, another Customer accounted for 16% and 13% of the Company’s net revenue, respectively.</w:t>
      </w:r>
    </w:p>
    <w:p>
      <w:pPr>
        <w:spacing w:after="0" w:line="2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enter into transactions with related parties.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completion of the IPO, DFS Services LLC, a holder of more than 5% of the Company's outstanding capital stock, was a related party. During the three and six months ended June 30, 2020, the Company incurred $ 6.9 million and $12.1 million in Card Network fees, net, recorded within costs of revenue, to PULSE Network LLC, an entity affiliated with DFS Services LLC.</w:t>
      </w:r>
    </w:p>
    <w:p>
      <w:pPr>
        <w:spacing w:after="0" w:line="28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evaluated events through August 11, 2021, the date the financial statements as of and for the three and six months ended June 30, 2021 were available to be issued. No subsequent events were identified that would have required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in our final prospectus, or the Prospectus, dated June 8, 2021, filed with the SEC pursuant to Rule 424(b) under the Securities Act of 1933, as amended, or the Securities Act.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under the section titled “Risk Factors” under Part II, Item 1A below.</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Marqeta’s modern card issuing platform, or our Platform, empowers our customers, or our Customers - which include businesses like Affirm, DoorDash, Instacart, Klarna, and Square - 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and authorize and settle payments transactions.</w:t>
      </w:r>
    </w:p>
    <w:p>
      <w:pPr>
        <w:spacing w:after="0" w:line="18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Initial Public Offering</w:t>
      </w:r>
    </w:p>
    <w:p>
      <w:pPr>
        <w:spacing w:after="0" w:line="26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June 2021, we completed our initial public offering, or the IPO, in which we issued and sold an aggregate of 52,272,727 shares of newly authorized Class A common stock, which included 6,818,181 shares that were offered and sold pursuant to the full exercise of the underwriters’ option to purchase additional shares, at a public offering price of $27.00 per share. Our shares of Class A common stock began trading on the Nasdaq Global Select Market on June 9, 2021. We received aggregate net proceeds of $1.3 billion from the IPO deducting underwriting discounts and commissions of $91.6 million, and offering costs of $7.5 million. Immediately prior to the completion of the IPO, we filed our Amended and Restated Certificate of Incorporation which authorized a total of 1,500,000,000 shares of Class A common stock, 600,000,000 shares of Class B common stock, and 100,000,000 shares of undesignated preferred stock. All shares of common stock then outstanding were reclassified as Class B common stock and all shares of redeemable convertible preferred stock then outstanding were converted into 351,844,340 shares of common stock on a one-for-one basis and then reclassified into Class B common stock. Warrants exercisable for 2,569,528 shares of common stock were converted to an equivalent number of shares of warrants exercisable for Class B common stock and 203,610 shares of warrants exercisable for convertible preferred stock were converted to an equivalent number of warrants exercisable for shares of Class B common stock .</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Impact of COVID-19</w:t>
      </w:r>
    </w:p>
    <w:p>
      <w:pPr>
        <w:spacing w:after="0" w:line="2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unprecedented and rapid spread of COVID-19 and the resultant shelter-in-place orders, promotion of social distancing measures, restrictions on businesses deemed non-essential, and travel restrictions implemented throughout the United States in March 2020 significantly impacted many aspects of the economy during 2020, and have continued to do so during 2021 to date. While the U.S. economy appears to be on a path to recovery in 2021 with millions of Americans receiving the COVID-19 vaccine, decreases in general unemployment, and many states and municipalities increasingly easing shelter-in-place restrictions, the path of the U.S. economy continues to depend, in part, on the course of the COVID-19 pandemic, including the spread of new or novel strains of the virus.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response to the COVID-19 pandemic, we implemented measures to focus on employee safety and Customer support, while at the same time seeking to mitigate any negative impact on our financial position and operations. We implemented remote working capabilities for our entire company and, to date, there has been minimal disruption to our operations.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Retail, restaurant, travel, and hospitality sectors of the U.S. economy have been significantly and adversely affected by the COVID-19 pandemic. We believe this has accelerated the shift of purchasing activities from offline to online and the growth of buy-now-pay-later solution providers along with the growth of on-demand delivery services. The COVID-19 pandemic intensified the need of consumers for virtual and contactless forms of payments, the need for greater flexibility with purchases and for easy online financing options. Many of these service providers are our Customers and they are experiencing accelerated adoption of technologies that enable such payment experiences. The lifting of the shelter-in-place orders and the restrictions on indoor activities that largely occurred in the United States in the second quarter of 2021, has slowed down some on-demand delivery processing volume compared to the peaks reported during the height of the COVID-19 pandemic in the second quarter of 2020.</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in March 2021, the American Rescue Plan, among other things, provided individuals affected by the COVID-19 pandemic with cash stimulus payments. While we cannot reasonably estimate the actual effect on our total processing volume, or our TPV, and net revenue, we believe these stimulus payments contributed to the increase in our TPV and net revenue for the three and six months ended June 30, 2021 compared to the same period in 2020. Overall, we believe these trends significantly contributed to the increases in our net revenue of $52.9 million, or 76%, and in our gross profit of $19.4 million, or 70%, for the three months ended June 30, 2021 compared to the same period in 2020.</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uncertain how the COVID-19 pandemic will evolve and what effect the lifting of shelter-in-place orders and other restrictions, and the possible resumption of high levels of infection and hospitalization in light of new variant strains of the virus, will have on the processing volumes of our Customers, and on our results of operations in future periods.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Card Networks, which provide infrastructure for settlement and card payment information flow between card issuer infrastructure providers, or Issuer Processors, and acquirer processors, which facilitate the flow of card payment data to the financial institutions that actually issue payments cards, known as Issuing Banks, publish changes to interchange rates in April and October each year. Visa and Mastercard had postponed nearly all of their interchange rate updates for April and October 2020, and in March 2021 again announced further postponements in interchange rate changes through April 2022 as a result of COVID-19’s impact to the U.S. economy. Interchange Fees are transaction-based and volume-based fees set by a Card Network based on its interchange rates and paid by the financial institution that merchants use to hold funds and manage their business to the Issuing Bank that issued the payment card used to purchase goods or services from a merchant. Our agreements with Issuing Banks provide that we receive 100% of the Interchange Fees for processing our Customers’ card transactions. The net Interchange Fees we earn are affected by multiple factors. These factors include changes to the published interchange rates, the size of the individual transaction, and the mix of transactions between signature-based and PIN-based, consumer card and commercial card product types, and merchant categories, and Card Network-negotiated merchant rates. Although the Card Networks have announced some expected interchange rate changes for April 2022, it is uncertain if more changes will be implemented after lifting the current postponements. Additionally, as in the normal course of updating interchange rates, the Card Networks continually assess the influence of improved payments technology, industry trends, and the ongoing need to maintain balance of the payments ecosystem. All these factors combined can affect how future changes in interchange rates will impact our net revenue.</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our business has not been adversely affected by the COVID-19 pandemic to date, we continue to monitor the situation and may take actions that alter our operations and business practices as may be required by federal, state, or local authorities or that we determine are in the best interests of our Customers, vendors, and employees.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6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66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26,520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15,082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50,518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24,077</w:t>
            </w:r>
          </w:p>
        </w:tc>
      </w:tr>
      <w:tr>
        <w:trPr>
          <w:trHeight w:val="270"/>
        </w:trPr>
        <w:tc>
          <w:tcPr>
            <w:tcW w:w="4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 thousands)</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(68,554)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(81,392)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(21,637)</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46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Adjusted EBITDA (in thousands)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(10,637)</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(3,029)</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(8,990)</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(13,440)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Processing Volume (TPV)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Processing Volume (TPV) represents the total dollar amount of payments processed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net of returns and chargebacks. We believe that TPV is a key indicator of the market adoption of our Platform, growth of our brand, growth of our Customers' businesses and scale of our business.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a non-GAAP financial measure that is calculated as net income (loss) adjusted to exclude share-based compensation expense; payroll tax related to share-based compensation; depreciation and amortization; income tax expense; and other income (expense) net, which consists of changes in the fair value of redeemable convertible preferred stock warrant liabilities (for periods prior to the IPO), realized foreign currency gains and losses, and interest income from our marketable securities.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certain annual employee bonus plans. See the section below titled “Use of Non-GAAP Financial Measures” for a discussion of the use of non-GAAP measures and a reconciliation of net loss to Adjusted EBITDA.</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Adjusted EBITDA Margi</w:t>
      </w:r>
      <w:r>
        <w:rPr>
          <w:rFonts w:ascii="Arial" w:cs="Arial" w:eastAsia="Arial" w:hAnsi="Arial"/>
          <w:sz w:val="18"/>
          <w:szCs w:val="18"/>
          <w:b w:val="1"/>
          <w:bCs w:val="1"/>
          <w:color w:val="auto"/>
        </w:rPr>
        <w:t>n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This measure is used by management and our board of directors to evaluate our operating efficiency. See the section below titled “Use of Non-GAAP Financial Measures” for a discussion of the use of non-GAAP measures and a reconciliation of net loss to Adjusted EBITDA Margin.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Platform services revenue, net</w:t>
      </w:r>
      <w:r>
        <w:rPr>
          <w:rFonts w:ascii="Arial" w:cs="Arial" w:eastAsia="Arial" w:hAnsi="Arial"/>
          <w:sz w:val="18"/>
          <w:szCs w:val="18"/>
          <w:color w:val="auto"/>
        </w:rPr>
        <w:t>. Platform services revenue includes Interchange Fees, net of Revenue Share, and other service-level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Customers. Platform services revenue also includes processing and other fees. Interchange Fees are earned on card transactions we process for our Customers and are calculated based on a percentage of the amount of a specific card transaction plus a fixed amount per transaction. Interchange Fees are recognized when the associated transactions are settled.</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Share payments are incentives to Customers to increase processing volumes on our Platform. Revenue Share is generally computed as a percentage of the Interchange Fees earned or processing volume and is paid to Customers monthly. Revenue Share payments are recorded as a reduction to revenue. As Customers' processing volumes increase, they may earn an increased percentage of Revenue Share.</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Processing and other fees include fees earned when end users use payment cards at automated teller machines and minimum processing fees if Customers' processing volumes fall below certain thresholds.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billed to Customers upon ordering card inventory and recognized as revenue when the cards are shipped to the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processing volume or a fixed amount per transaction routed through the respective Card Network. Issuing Bank costs compensate our Issuing Banks for issuing cards to our Customers and sponsoring our card programs with the Card Networks and are generally equal to a specified percentage of processing volume or a fixed amount per transaction. Card fulfillment costs include physical cards, packaging, and other fulfillment costs.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separate marketing and incentive arrangements with Card Networks that provide us with monetary incentives for processing volume via the respective Card Network. The amount of the incentives is determined based on a percentage of the processing volume routed over the Card Network. We record these incentives as a reduction of Card Network fees included in costs of revenue. Generally, as Customers’ processing volumes increase we earn a higher rate of monetary incentives from these arrangements, subject to attaining certain volume tiering thresholds during a six-month or annual measurement period. For certain incentive arrangements with an annual measurement period, the one-year period may not align with our fiscal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Compensation and benefits consist primarily of salaries, employee benefits, incentive compensation, and share-based compensation. We expect that our compensation and benefits expenses will increase in absolute dollars as our business grows.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and recruiting fees. We expect that our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expenses will increase in absolute dollars as our business grows.</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Technology consists primarily of third-party hosting fees, software licenses, and hardware purchases below our 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and support and maintenance costs. We expect that our technology expenses will increase in absolute dollars as our business grows.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 We expect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occupancy expenses will increase in absolute dollars as our business grows.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We expect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expenses will increase in absolute dollars as our business grows.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activities and promotional activities.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that our marketing and advertising expenses will increase in absolute dollars as our business grows.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indirect state and local taxes, insurance costs, employee travel-related expenses, employee training, charitable donations, and other general office expenses.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our operating expenses to increase in absolute dollars as our business grows. Additionally, we expect to continue to incur increased expenses to operate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income (expense), net consists primarily of changes in the fair value of the redeemable convertible preferred stock warrant liabilities (for periods prior to the IPO), realized foreign currency gains and losses, and interest income from our marketable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consists of U.S. federal and state income taxes and U.K. income taxes. We maintain a full valuation allowance against our federal and state net deferred tax assets as we have concluded that it is not more likely than not that we will realize our net deferred tax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3"/>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117,790</w:t>
            </w:r>
          </w:p>
        </w:tc>
      </w:tr>
      <w:tr>
        <w:trPr>
          <w:trHeight w:val="229"/>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Costs of revenue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71,611</w:t>
            </w:r>
          </w:p>
        </w:tc>
      </w:tr>
      <w:tr>
        <w:trPr>
          <w:trHeight w:val="223"/>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46,179</w:t>
            </w:r>
          </w:p>
        </w:tc>
      </w:tr>
      <w:tr>
        <w:trPr>
          <w:trHeight w:val="22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50,883</w:t>
            </w:r>
          </w:p>
        </w:tc>
      </w:tr>
      <w:tr>
        <w:trPr>
          <w:trHeight w:val="229"/>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4,825</w:t>
            </w:r>
          </w:p>
        </w:tc>
      </w:tr>
      <w:tr>
        <w:trPr>
          <w:trHeight w:val="230"/>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r>
      <w:tr>
        <w:trPr>
          <w:trHeight w:val="229"/>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29"/>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29"/>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r>
      <w:tr>
        <w:trPr>
          <w:trHeight w:val="223"/>
        </w:trPr>
        <w:tc>
          <w:tcPr>
            <w:tcW w:w="5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67,989</w:t>
            </w:r>
          </w:p>
        </w:tc>
      </w:tr>
      <w:tr>
        <w:trPr>
          <w:trHeight w:val="223"/>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(21,810)</w:t>
            </w:r>
          </w:p>
        </w:tc>
      </w:tr>
      <w:tr>
        <w:trPr>
          <w:trHeight w:val="230"/>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(21,610)</w:t>
            </w:r>
          </w:p>
        </w:tc>
      </w:tr>
      <w:tr>
        <w:trPr>
          <w:trHeight w:val="230"/>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3"/>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62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4920" w:type="dxa"/>
            <w:vAlign w:val="bottom"/>
            <w:gridSpan w:val="2"/>
          </w:tcPr>
          <w:p>
            <w:pPr>
              <w:ind w:left="140"/>
              <w:spacing w:after="0"/>
              <w:rPr>
                <w:sz w:val="20"/>
                <w:szCs w:val="20"/>
                <w:color w:val="auto"/>
              </w:rPr>
            </w:pPr>
            <w:r>
              <w:rPr>
                <w:rFonts w:ascii="Arial" w:cs="Arial" w:eastAsia="Arial" w:hAnsi="Arial"/>
                <w:sz w:val="18"/>
                <w:szCs w:val="18"/>
                <w:color w:val="auto"/>
              </w:rPr>
              <w:t>Net interchange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95,146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56,795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38,351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Processing and other fees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23,117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10,455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23"/>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118,263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67,250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4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4,003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23"/>
        </w:trPr>
        <w:tc>
          <w:tcPr>
            <w:tcW w:w="492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122,266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69,402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26,520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15,082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1"/>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net revenue increased by $52.9 million, or 76%, for the three months ended June 30, 2021 compared to the same period in 2020, of which $ 41.8 million was generated by Square. The increase in net revenue was primarily driven by a 76% increase in TPV. Net Interchange Fees in the three months ended June 30, 2021 increased primarily due to the increase in TPV, partially offset by a 78% increase in Revenue Share, compared to the same period in 2020.</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Processing and other fees increased $12.7 million or 121% in the three months ended June 30, 2021 compared to the same period in 2020 due primarily to the increase in automated teller machine processing volume.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TPV was mainly driven by increases in processing volume from our digital banking and buy-now-pay-later Customers. TPV for our top five Customers, measured by TPV in each respective period, grew by 63% for the three months ended June 30, 2021 compared to the same period in 2020, while TPV from all other Customers, as a group, grew 265% for the three months ended June 30, 2021 compared to the same period in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3"/>
        </w:trPr>
        <w:tc>
          <w:tcPr>
            <w:tcW w:w="47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8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Costs of revenue:</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63,887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34,334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29,553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4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3,845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91 %</w:t>
            </w:r>
          </w:p>
        </w:tc>
      </w:tr>
      <w:tr>
        <w:trPr>
          <w:trHeight w:val="248"/>
        </w:trPr>
        <w:tc>
          <w:tcPr>
            <w:tcW w:w="4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75,291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4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4"/>
        </w:trPr>
        <w:tc>
          <w:tcPr>
            <w:tcW w:w="47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38 %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Costs of revenue increased by $33.5 million, or 80%, for the three months ended June 30, 2021 compared to the same period in 2020. The increase was primarily due to increased Card Network fees as the result of the 76% increase in TPV and 77% increase in the number of corresponding transactions. Network fees are net of monetary incentives from Card Networks for processing volume through the respective Card Networks during the period.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Issuing Bank fees increased $2.1 million, or 39%, for the three months ended June 30, 2021 compared to the same period in 2020, which was lower than the percentage of increase in TPV as a result of volume tiers being met at Sutton Bank. Issuing Bank fees are typically structured based on volume tiers; as our processing volumes grow, these fees as a percentage of processing volume decline.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increases in net revenue and costs of revenue discussed above, our gross profit increased by $19.4 million, or 70%, for the three months ended June 30, 2021 compared to the same period in 2020. Our gross margin decreased by 2% during the three months ended June 30, 2021 compared to the same period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39,668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22,983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16,685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55,536</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1803 %</w:t>
            </w:r>
          </w:p>
        </w:tc>
      </w:tr>
      <w:tr>
        <w:trPr>
          <w:trHeight w:val="223"/>
        </w:trPr>
        <w:tc>
          <w:tcPr>
            <w:tcW w:w="468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95,204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25,901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69,303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268 %</w:t>
            </w:r>
          </w:p>
        </w:tc>
      </w:tr>
      <w:tr>
        <w:trPr>
          <w:trHeight w:val="229"/>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78 %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8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6,382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157 %</w:t>
            </w:r>
          </w:p>
        </w:tc>
      </w:tr>
      <w:tr>
        <w:trPr>
          <w:trHeight w:val="229"/>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8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7,569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185 %</w:t>
            </w:r>
          </w:p>
        </w:tc>
      </w:tr>
      <w:tr>
        <w:trPr>
          <w:trHeight w:val="229"/>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8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8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 %</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 %</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8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3,530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221 %</w:t>
            </w:r>
          </w:p>
        </w:tc>
      </w:tr>
      <w:tr>
        <w:trPr>
          <w:trHeight w:val="229"/>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68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114,961</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34,414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80,547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Compensation and benefits expenses increased by $69.3 million, or 268%, for the three months ended June 30, 2021 compared to the same period in 2020. The increase was due to a $16.7 million increase in employee-related costs due to the increase in the average number of full-time employees to 586 from 401 and a $52.6 million increase in share-based compensation expense. The increase in share-based compensation expense in the three months ended June 30, 2021 compared to the same period in 2020 was due to $23.1 million of expense recognized for cumulative prior service as of the IPO completion date for RSUs with both a service and liquidity vesting condition, $7.0 million of expense recognized for RSUs that vested upon the satisfaction of a service condition, $11.4 million of expense related to the CEO Long-Term Performance Award, $5.8 million expense related to secondary sales of common stock and $5.3 million increase in expense related to stock options.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Professional services expenses increased by $3.9 million, or 157%, for the three months ended June 30, 2021 compared to the same period in 2020. The increase was due to a $1.9 million increase in contractors costs, a $1.3 million increase in accounting, consulting, and legal fees, and a $0.7 million increase in recruiting fees.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Technology expenses increased by $4.9 million, or 185%, for the three months ended June 30, 2021 compared to the same period in 2020. The increase was due to a $3.0 million increase in third-party hosting costs to support our continued growth and increase in TPV and a $1.9 million increase in software licensing costs as we continue implementing new systems and tools and increasing the number of licenses for existing systems.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Occupancy expense decreased by $0.2 million for the three months ended June 30, 2021 compared to the same period in 2020 as a result of a lease cost credit received due to the reduced use of our office space during prior shelter-in-place orders. As many of our employees and service providers continue to work remotely, we will continue to evaluate the need for additional office space.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remained relatively flat for the three months ended June 30, 2021 compared to the same period in 2020.</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Marketing and advertising expenses increased by $ 0.2 million, or 44%, for the three months ended June 30, 2021 compared to the same period in 2020. The increase was primarily related to advertising and brand awareness investments to further grow our customer base.</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operating expenses increased by $2.4 million, or 221%, for the three months ended June 30, 2021 compared to the same period in 2020 as a result of an increase in various state and local non-income taxes of $1.1 million, an increase in insurance costs of $0.7 million, and an increase in other miscellaneous operating expenses of $0.5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(481)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(295)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96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19"/>
                <w:szCs w:val="19"/>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29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Other income (expense), net decreased by $0.2 million, or 63%, for the three months ended June 30, 2021 compared to the same period in 2020 primarily due to the decrease in interest income from our marketable securities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generated 72% and 66% of our net revenue from our largest Customer, Square, during the three months ended June 30, 2021 and 2020,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3"/>
        </w:trPr>
        <w:tc>
          <w:tcPr>
            <w:tcW w:w="48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4880" w:type="dxa"/>
            <w:vAlign w:val="bottom"/>
            <w:gridSpan w:val="2"/>
          </w:tcPr>
          <w:p>
            <w:pPr>
              <w:ind w:left="140"/>
              <w:spacing w:after="0"/>
              <w:rPr>
                <w:sz w:val="20"/>
                <w:szCs w:val="20"/>
                <w:color w:val="auto"/>
              </w:rPr>
            </w:pPr>
            <w:r>
              <w:rPr>
                <w:rFonts w:ascii="Arial" w:cs="Arial" w:eastAsia="Arial" w:hAnsi="Arial"/>
                <w:sz w:val="18"/>
                <w:szCs w:val="18"/>
                <w:color w:val="auto"/>
              </w:rPr>
              <w:t>Net interchange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182,401</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95,903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86,498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Processing and other fees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42,095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18,352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23"/>
        </w:trPr>
        <w:tc>
          <w:tcPr>
            <w:tcW w:w="488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224,496</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114,255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110,241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4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5,753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3,535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3"/>
        </w:trPr>
        <w:tc>
          <w:tcPr>
            <w:tcW w:w="488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230,249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117,790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112,459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95 %</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3"/>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50,518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24,077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110 %</w:t>
            </w:r>
          </w:p>
        </w:tc>
      </w:tr>
      <w:tr>
        <w:trPr>
          <w:trHeight w:val="21"/>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net revenue increased by $112.5 million, or 95%, for the six months ended June 30, 2021 compared to the same period in 2020, of which $89.2 million was generated by Square. The increase in net revenue was primarily driven by a 110% increase in TPV. Net Interchange Fees for the six months ended June 30, 2021 increased primarily due to the increase in TPV, partially offset by the effects of a decrease in the average Interchange rate earned in transactions, compared to the same period in 2020. Interchange rates may vary due to changes in rates published by the Card Networks as well as transaction volume type, including average transaction size, merchant classifications, and consumer versus commercial classification. The increase in net Interchange Fees due to the increase in TPV was also partially offset by the increase of Revenue Share by 111% in the six months ended June 30, 2021 compared to the same period in 2020.</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Processing and other fees increased $23.7 million or 129% in the six months ended June 30, 2021 compared to the same period in 2020 due primarily to an increase in automated teller machine processing volume.</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TPV was mainly driven by increases in processing volume from our digital banking and buy-now-pay-later Customers. TPV for our top five Customers, measured by TPV in each respective period, grew by 101% for the six months ended June 30, 2021 compared to the same period in 2020, while TPV from all other Customers, as a group, grew 210% for the six months ended June 30, 2021 compared to the same period in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47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Costs of revenue:</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113,716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58,645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55,071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94 %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14,010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4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5,691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65 %</w:t>
            </w:r>
          </w:p>
        </w:tc>
      </w:tr>
      <w:tr>
        <w:trPr>
          <w:trHeight w:val="248"/>
        </w:trPr>
        <w:tc>
          <w:tcPr>
            <w:tcW w:w="4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133,417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217"/>
        </w:trPr>
        <w:tc>
          <w:tcPr>
            <w:tcW w:w="4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96,832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204"/>
        </w:trPr>
        <w:tc>
          <w:tcPr>
            <w:tcW w:w="47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42 %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Costs of revenue increased by $61.8 million, or 86%, for the six months ended June 30, 2021 compared to the same period in 2020. The increase was primarily due to increased Card Network fees as the result of the 110% increase in TPV and 88% increase in the number of corresponding transactions. Network fees are net of monetary incentives from Card Networks for processing volume through the respective Card Networks during the period.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Card Network fees for the six months ended June 30, 2021 reflect a reduction of $4.8 million related to monetary incentives that we earned as a result of processing volume reaching a specified threshold during the period. The additional incentive rates were applied to the relevant processing volumes in the 12-month period ended March 31, 2021. The processing volume thresholds resulting in additional incentives were not reached in the three months ended March 31, 2020, or during the 12-month period ended March 31, 2020.</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Issuing Bank fees increased $4.5 million, or 47%, for the six months ended June 30, 2021 compared to the same period in 2020, which was lower than the percentage of increase in TPV as a result of volume tiers being met at Sutton Bank. Issuing Bank fees are typically structured based on volume tiers; as our processing volumes grow, these fees as a percentage of processing volume decline.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increases in net revenue and costs of revenue discussed above, our gross profit increased by $50.7 million, or 110%, for the six months ended June 30, 2021 compared to the same period in 2020. Our gross margin increased to 42% during the six months ended June 30, 2021 - including the benefit of the monetary incentives mentioned above - from 39% during the same period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73,115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44,220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28,895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66,928</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6,663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904 %</w:t>
            </w:r>
          </w:p>
        </w:tc>
      </w:tr>
      <w:tr>
        <w:trPr>
          <w:trHeight w:val="223"/>
        </w:trPr>
        <w:tc>
          <w:tcPr>
            <w:tcW w:w="466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140,043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50,883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89,160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175 %</w:t>
            </w:r>
          </w:p>
        </w:tc>
      </w:tr>
      <w:tr>
        <w:trPr>
          <w:trHeight w:val="229"/>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12,643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162 %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13,195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8,096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4,825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66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175,470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67,989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107,481</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Compensation and benefits expenses increased by $89.2 million, or 175%, for the six months ended June 30, 2021 compared to the same period in 2020. The increase was due to a $28.9 million increase in employee-related costs due to the increase in the average number of full-time employees to 561 from 385 and a $60.3 million increase in share-based compensation expense. The increase in share-based compensation expense in the six months ended June 30, 2020 compared to the same period in 2020 was primarily due to $23.1 million expense recognized for cumulative prior service as of the IPO completion date for RSUs with both a service and liquidity vesting condition, $7.0 million expense recognized for RSUs that vested upon the satisfaction of a service condition, $11.4 million expense related to the CEO Long-Term Performance Award, the increase of share-based compensation related to secondary sales of common stock by $10.2 million, and the increase of share-based compensation related to options by $8.5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Professional services expenses increased by $7.8 million, or 162%, for the six months ended June 30, 2021 compared to the same period in 2020. The increase was due to a $3.6 million increase in accounting, consulting, and legal fees, a $3.3 million increase in contractors costs, and a $0.9 million increase in recruiting fees.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Technology expenses increased by $8.1 million, or 159%, for the six months ended June 30, 2021 compared to the same period in 2020. The increase was due to a $5.0 million increase in third-party hosting costs to support our continued growth and increase in TPV and a $ 3.1 million increase in software licensing costs as we continue implementing new systems and tools and increasing the number of licenses for existing systems.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Occupancy expense decreased by $0.2 million for the six months ended June 30, 2021 compared to the same period in 2020 as a result of a lease cost credit received due to the reduced use of our office space during prior shelter-in-place orders. As many of our employees and service providers continue to work remotely, we will continue to evaluate the need for additional office space.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remained relatively flat for the six months ended June 30, 2021 compared to the same period in 2020.</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Marketing and advertising expenses increased by $ 0.3 million, or 45%, for six months ended June 30, 2021 compared to the same period in 2020. The increase was primarily due to advertising and brand awareness investments to further grow our customer base.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operating expenses increased by $2.2 million, or 84%, for the six months ended June 30, 2021 compared to the same period in 2020 as a result of an increase in various state and local non-income taxes of $1.3 million, an increase in insurance costs of $ 0.7 million, and an increase in other miscellaneous operating expenses of $0.6 million. The increase was offset by a decrease of $0.4 million in employee travel and related expenses and office meals as a result of the shelter-in-place orders instituted in response to the spread of COVID-19 in March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8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Other income (expense), net decreased by $2.8 million, or 1424%, for the six months ended June 30, 2021 compared to the same period in 2020. The decrease was due to a $2.3 million increase in the expense related to the change in the fair value of the redeemable convertible preferred stock warrant liabilities and a $0.6 million decrease in interest income from our marketable securities portfolio.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generated 73% and 66% of our net revenue from our largest Customer, Square, during the six months ended June 30, 2021 and 2020,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spacing w:after="0" w:line="97" w:lineRule="exact"/>
        <w:rPr>
          <w:sz w:val="20"/>
          <w:szCs w:val="20"/>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than how we calculate this measure or not at all; this reduces its usefulness as a comparative measure;</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loss to adjusted EBITDA for the periods presented is as follows:</w:t>
      </w:r>
    </w:p>
    <w:p>
      <w:pPr>
        <w:sectPr>
          <w:pgSz w:w="11900" w:h="16838" w:orient="portrait"/>
          <w:cols w:equalWidth="0" w:num="1">
            <w:col w:w="11240"/>
          </w:cols>
          <w:pgMar w:left="320" w:top="141" w:right="339" w:bottom="1440" w:gutter="0" w:footer="0" w:header="0"/>
        </w:sectPr>
      </w:pPr>
    </w:p>
    <w:p>
      <w:pPr>
        <w:spacing w:after="0" w:line="145"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17780</wp:posOffset>
            </wp:positionV>
            <wp:extent cx="20828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2" w:lineRule="exact"/>
        <w:rPr>
          <w:sz w:val="20"/>
          <w:szCs w:val="20"/>
          <w:color w:val="auto"/>
        </w:rPr>
      </w:pPr>
    </w:p>
    <w:p>
      <w:pPr>
        <w:ind w:left="5160"/>
        <w:spacing w:after="0"/>
        <w:tabs>
          <w:tab w:leader="none" w:pos="68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17780</wp:posOffset>
            </wp:positionV>
            <wp:extent cx="2108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2"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7820" w:space="720"/>
            <w:col w:w="2700"/>
          </w:cols>
          <w:pgMar w:left="320" w:top="14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122,266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69,402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230,249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117,790</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(68,554)</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(81,392)</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(21,637)</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(68,554)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(81,392)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(21,637)</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1,707</w:t>
            </w:r>
          </w:p>
        </w:tc>
      </w:tr>
      <w:tr>
        <w:trPr>
          <w:trHeight w:val="229"/>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55,536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66,928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6,663</w:t>
            </w:r>
          </w:p>
        </w:tc>
      </w:tr>
      <w:tr>
        <w:trPr>
          <w:trHeight w:val="188"/>
        </w:trPr>
        <w:tc>
          <w:tcPr>
            <w:tcW w:w="4540" w:type="dxa"/>
            <w:vAlign w:val="bottom"/>
          </w:tcPr>
          <w:p>
            <w:pPr>
              <w:ind w:left="240"/>
              <w:spacing w:after="0" w:line="189" w:lineRule="exact"/>
              <w:rPr>
                <w:sz w:val="20"/>
                <w:szCs w:val="20"/>
                <w:color w:val="auto"/>
              </w:rPr>
            </w:pPr>
            <w:r>
              <w:rPr>
                <w:rFonts w:ascii="Arial" w:cs="Arial" w:eastAsia="Arial" w:hAnsi="Arial"/>
                <w:sz w:val="18"/>
                <w:szCs w:val="18"/>
                <w:color w:val="auto"/>
              </w:rPr>
              <w:t>Payroll tax expense related to share-based</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4540" w:type="dxa"/>
            <w:vAlign w:val="bottom"/>
          </w:tcPr>
          <w:p>
            <w:pPr>
              <w:ind w:left="240"/>
              <w:spacing w:after="0"/>
              <w:rPr>
                <w:sz w:val="20"/>
                <w:szCs w:val="20"/>
                <w:color w:val="auto"/>
              </w:rPr>
            </w:pPr>
            <w:r>
              <w:rPr>
                <w:rFonts w:ascii="Arial" w:cs="Arial" w:eastAsia="Arial" w:hAnsi="Arial"/>
                <w:sz w:val="18"/>
                <w:szCs w:val="18"/>
                <w:color w:val="auto"/>
              </w:rPr>
              <w:t>compensation</w:t>
            </w:r>
          </w:p>
        </w:tc>
        <w:tc>
          <w:tcPr>
            <w:tcW w:w="3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939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939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2,648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r>
      <w:tr>
        <w:trPr>
          <w:trHeight w:val="230"/>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(10,637)</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(8,990)</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(13,440)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40" w:type="dxa"/>
            <w:vAlign w:val="bottom"/>
          </w:tcPr>
          <w:p>
            <w:pPr>
              <w:ind w:left="20"/>
              <w:spacing w:after="0" w:line="203" w:lineRule="exact"/>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r>
      <w:tr>
        <w:trPr>
          <w:trHeight w:val="904"/>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our inception through June 30, 2021, we have financed our operations primarily through sales of equity securities and payments received from our Customers. In June 2021, we completed our IPO in which we received aggregate proceeds of $1.3 billion after deducting underwriting discounts and commissions of $91.6 million, and offering costs of $7.5 million.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2021, our principal sources of liquidity included cash, cash equivalents, and marketable securities totaling $1.7 billion, with such amounts held for working capital purposes. Our cash equivalents and marketable securities were comprised primarily of money market funds, U.S. government securities, commercial paper, asset-backed securities, and corporate debt securities. We have generated significant operating losses as reflected in our accumulated deficit. We expect to continue to incur operating losses for the foreseeable future.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at least the next 12 months. Our future capital requirements will depend on many factors, including our planned continuing investment in product development, platform infrastructure, and global expansion.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2021, we had $7.8 million in restricted cash. This restricted cash includes $6.3 million held at our Issuing Banks to provide the Issuing Banks collateral in the event that our Customers' funds are not deposited at the Issuing Banks in time to settle our Customers' transactions with the Card Networks. Restricted cash also includes $1.5 million of cash held at a bank to secure our payments under a lease agreement for our office space.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3"/>
        </w:trPr>
        <w:tc>
          <w:tcPr>
            <w:tcW w:w="8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143,094</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1,358,854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154,990</w:t>
            </w: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largest source of cash provided by our operating activities is Interchange Fees generated by card transactions through our Platform. Our primary uses of cash in our operating activities are for Card Network and Issuing Bank fees, and employee-related expenditures. The timing of settlement of certain operating liabilities, including Revenue Share payments, can affect the amounts reported as net cash provided by operating activities on the condensed consolidated statement of cash flows.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decreased for the six months ended June 30, 2021 compared to the same period in 2020 primarily due to the net impact of increases in net revenue and related cash collections and cash paid for costs of revenues and operating expenses, increases in non-cash charges primarily for share-based compensation expense , and net changes in operating assets and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provided by investing activities consists primarily of maturities of our investments in marketable securities. Net cash used in investing activities consists primarily of purchases of marketable securities and purchases of property and equipment.</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provided by investing activities increased for the six months ended June 30, 2021 compared to the same period in 2020 primarily due to the decrease in purchases of marketable securities, partially offset by the decrease in maturities of marketable securities.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financing activities consists primarily of proceeds from the sale of our equity securities. Net cash used in financing activities consists primarily of net payments related to share-based compensation activities, and payments of offering costs related to the IPO.</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increased for the six months ended June 30, 2021 compared to the same period in 2020 primarily due to the proceeds received from our IPO, net of underwriters’ commission and discounts, partially offset by payments of offering costs related to the IPO, and the payment to satisfy the tax withholding and remittance obligations related to the settlement of our outstanding RSUs.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Obligations and Other Commitments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For additional information about our operating leases, see Note 7 to our Condensed Consolidated Financial Statements “Commitments and Contingencies — Operating Leases.”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condensed consolidated balance sheets.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2021, we had non-cancellable purchase commitments with certain Issuing Banks and service providers of $11.3 million, payable over the next 5 years. These purchase obligations generally represent minimum commitments for issuing bank processing fees over the fixed, non-cancellable respective contracts terms.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comprehensive loss, or condensed consolidated statements of cash flows.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6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did not have during the periods presented, and we do not currently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of our significant accounting policies discussed in “Consolidated Financial Statements — Note 2. Summary of Significant Accounting Policies” in the Prospectus, the following accounting policies involve a greater degree of judgment and complexity. Accordingly, these are the policies we believe are the most critical to aid in fully understanding and evaluating our condensed consolidated financial condition and results of operations.</w:t>
      </w:r>
    </w:p>
    <w:p>
      <w:pPr>
        <w:spacing w:after="0" w:line="21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Under the Jumpstart our Business Startups Act, or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adopted Accounting Standards Codification, or ASC Topic 606, Revenue from Contracts with Customers, or ASC 606, effective as of January 1, 2019. We recognize revenue from contracts with Customers using the five-step method described in “Consolidated Financial Statements — Note 2. Summary of Significant Accounting Policies” in the Prospectus. We generate revenue from providing Platform services, which includes Interchange Fees and processing fees, and other services, which includes card fulfillment revenue, to our Customers.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contracts with Customers typically include two performance obligations: 1) providing access to our payment processing Platform and 2)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our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measure compensation expense for all share-based payment awards, including stock options and RSUs, granted to employees, directors, and other service providers, based on the estimated fair value of the awards on the date of grant. Prior to the completion of the IPO, the most significant input in determining the fair value of a stock option was the estimated fair value of our common stock. The estimated fair value of our common stock was also used to measure the grant date fair value of RSUs granted prior to the completion of the IPO. Additionally, prior to the completion of the IPO, the determination of whether to recognize share-based compensation expense related to secondary sales of common stock by employees or former employees required a significant amount of judgment.</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expense related to secondary sales of common stock prior to the completion of the IPO are discussed below.</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Fair Value of Common Stock</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completion of the IPO, the Company’s board of directors considered numerous objective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fair value of the Company’s common stock at each meeting in which awards were approved. The factors considered included, but were not limited to: (i) contemporaneous independent third-party valuations of the Company’s common stock; (ii) observed secondary sales of the Company’s common stock; (iii) rights, preferences, and privileges of the Company’s redeemable convertible preferred stock relative to those of its common stock; (iv) the Company’s actual operating and financial performance; (v) current business conditions and projections; (vi) the likelihood of achieving a liquidity event, such as an initial public offering or sale of the Company, given prevailing market conditions; and (vii) precedent transactions involving the Company’s capital stock.</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the completion of the IPO, the fair value of the Company’s common stock is determined by the closing price, on the date of grant, of its Class A common stock, which is traded on the Nasdaq Global Select Market.</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Secondary Sales of Common Stock</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and six months ended June 30, 2021 and 2020, and in all cases,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IPO, certain stockholders acquired outstanding common stock from current or former employees for a purchase price greater than the estimated fair value of our common stock at the time of the respective transaction. The determination of whether the excess of purchase price over the estimated fair value represents share-based compensation is highly judgmental. We determined whether secondary sales of common stock by employees and former employees resulted in share-based compensation expense by evaluating the extent of our involvement in secondary sale transactions, whether the purchaser of the shares is an existing or new stockholder, and the extent the sale price per share exceeds our estimated fair value per share. We recorded share-based compensation expense for the difference between the price paid and the estimated fair value on the date of the transaction of $5.8 million and $0.0 million during the three months ended June 30, 2021 and 2020, respectively, and $11.6 million and $1.4 million during the six months ended June 30, 2021 and 2020, respectively. Such amounts were recorded in compensation and benefits expense on the condensed consolidated statements of operations.</w:t>
      </w:r>
    </w:p>
    <w:p>
      <w:pPr>
        <w:spacing w:after="0" w:line="1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Subsequent to the completion of the IPO, we do not expect to record share-based compensation expense related to secondary sales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Note 2 to our Condensed Consolidated Financial Statements “Summary of Significant Accounting Policies—Adoptions of New Accounting Standards” and “Summary of Significant Accounting Policies—New Accounting Standards Not Yet Adopted” for additional information.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operations within the United States, the United Kingdom, and Australia, and we are exposed to market risks in the ordinary course</w:t>
      </w:r>
      <w:r>
        <w:rPr>
          <w:rFonts w:ascii="Arial" w:cs="Arial" w:eastAsia="Arial" w:hAnsi="Arial"/>
          <w:sz w:val="18"/>
          <w:szCs w:val="18"/>
          <w:color w:val="auto"/>
        </w:rPr>
        <w:t xml:space="preserve"> </w:t>
      </w:r>
      <w:r>
        <w:rPr>
          <w:rFonts w:ascii="Arial" w:cs="Arial" w:eastAsia="Arial" w:hAnsi="Arial"/>
          <w:sz w:val="18"/>
          <w:szCs w:val="18"/>
          <w:color w:val="231F20"/>
        </w:rPr>
        <w:t>of our business, including the effects of interest rate changes and foreign currency fluctuations. Information relating to quantitative and qualitative disclosures about these market risks is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had cash, cash equivalents, and marketable securities totaling $1.7 billion as of June 30, 2021. Such amounts included cash deposits,</w:t>
      </w:r>
      <w:r>
        <w:rPr>
          <w:rFonts w:ascii="Arial" w:cs="Arial" w:eastAsia="Arial" w:hAnsi="Arial"/>
          <w:sz w:val="18"/>
          <w:szCs w:val="18"/>
          <w:color w:val="auto"/>
        </w:rPr>
        <w:t xml:space="preserve"> </w:t>
      </w:r>
      <w:r>
        <w:rPr>
          <w:rFonts w:ascii="Arial" w:cs="Arial" w:eastAsia="Arial" w:hAnsi="Arial"/>
          <w:sz w:val="18"/>
          <w:szCs w:val="18"/>
          <w:color w:val="231F20"/>
        </w:rPr>
        <w:t>money market funds, U.S. government securities, commercial paper, asset-backed securities, and corporate debt securities. The fair value of our cash, cash equivalents, and marketable securities would not be significantly affected by either an increase or decrease in interest rates due to the short-term maturities of the majority of these instruments. Because we classify our marketable securities as “available-for-sale” and have not yet adopted ASU 2016-13 (</w:t>
      </w:r>
      <w:r>
        <w:rPr>
          <w:rFonts w:ascii="Arial" w:cs="Arial" w:eastAsia="Arial" w:hAnsi="Arial"/>
          <w:sz w:val="18"/>
          <w:szCs w:val="18"/>
          <w:color w:val="000000"/>
        </w:rPr>
        <w:t>See Note 2 to our Condensed Consolidated Financial Statements “Summary of Significant</w:t>
      </w:r>
      <w:r>
        <w:rPr>
          <w:rFonts w:ascii="Arial" w:cs="Arial" w:eastAsia="Arial" w:hAnsi="Arial"/>
          <w:sz w:val="18"/>
          <w:szCs w:val="18"/>
          <w:color w:val="231F20"/>
        </w:rPr>
        <w:t xml:space="preserve"> </w:t>
      </w:r>
      <w:r>
        <w:rPr>
          <w:rFonts w:ascii="Arial" w:cs="Arial" w:eastAsia="Arial" w:hAnsi="Arial"/>
          <w:sz w:val="18"/>
          <w:szCs w:val="18"/>
          <w:color w:val="000000"/>
        </w:rPr>
        <w:t xml:space="preserve">Accounting Policies—New Accounting Standards Not Yet Adopted” for additional information), </w:t>
      </w:r>
      <w:r>
        <w:rPr>
          <w:rFonts w:ascii="Arial" w:cs="Arial" w:eastAsia="Arial" w:hAnsi="Arial"/>
          <w:sz w:val="18"/>
          <w:szCs w:val="18"/>
          <w:color w:val="231F20"/>
        </w:rPr>
        <w:t>no gains or losses are recognized in the</w:t>
      </w:r>
      <w:r>
        <w:rPr>
          <w:rFonts w:ascii="Arial" w:cs="Arial" w:eastAsia="Arial" w:hAnsi="Arial"/>
          <w:sz w:val="18"/>
          <w:szCs w:val="18"/>
          <w:color w:val="000000"/>
        </w:rPr>
        <w:t xml:space="preserve"> </w:t>
      </w:r>
      <w:r>
        <w:rPr>
          <w:rFonts w:ascii="Arial" w:cs="Arial" w:eastAsia="Arial" w:hAnsi="Arial"/>
          <w:sz w:val="18"/>
          <w:szCs w:val="18"/>
          <w:color w:val="231F20"/>
        </w:rPr>
        <w:t>condensed consolidated statement of operations due to changes in interest rates unless such securities are sold prior to maturity or declines in fair value are determined to be other-than-temporary. We have the ability to hold all marketable securities until their maturities. A hypothetical 100 basis point increase or decrease in interest rates would not have a material effect on our financial results.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Exchange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Most </w:t>
      </w:r>
      <w:r>
        <w:rPr>
          <w:rFonts w:ascii="Arial" w:cs="Arial" w:eastAsia="Arial" w:hAnsi="Arial"/>
          <w:sz w:val="18"/>
          <w:szCs w:val="18"/>
          <w:color w:val="231F20"/>
        </w:rPr>
        <w:t>of our sales and operating expenses are denominated in U.S. dollars, and therefore our results of operations are not currently subject to</w:t>
      </w:r>
      <w:r>
        <w:rPr>
          <w:rFonts w:ascii="Arial" w:cs="Arial" w:eastAsia="Arial" w:hAnsi="Arial"/>
          <w:sz w:val="18"/>
          <w:szCs w:val="18"/>
          <w:color w:val="auto"/>
        </w:rPr>
        <w:t xml:space="preserve"> </w:t>
      </w:r>
      <w:r>
        <w:rPr>
          <w:rFonts w:ascii="Arial" w:cs="Arial" w:eastAsia="Arial" w:hAnsi="Arial"/>
          <w:sz w:val="18"/>
          <w:szCs w:val="18"/>
          <w:color w:val="231F20"/>
        </w:rPr>
        <w:t>significant foreign currency risk. As of June 30, 2021, a hypothetical 10% change in foreign currency exchange rates applicable to our business would not have had a material impact on our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and as discussed below, our chief executive officer and chief financial officer have concluded that as of June 30, 2021, our disclosure controls and procedures were not effective at a reasonable assurance level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Material Weakness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management’s assessment of controls over financial reporting during the year ended December 31, 2019, we identified a material weakness.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we identified occurred because we had inadequate processes and controls to ensure the timely reconciliations of certain customer-related settlement bank accounts.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address this material weakness, we deployed additional engineering, and settlement operations personnel and we are in the process of implementing process level and monitoring controls to ensure timely reconciliation of these customer related settlement bank accounts. We will not be able to sufficiently remediate these control deficiencies until these steps have been completed and the controls have been operating effectively for a sufficient period of time.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Except for the remediation efforts described above, there </w:t>
      </w:r>
      <w:r>
        <w:rPr>
          <w:rFonts w:ascii="Arial" w:cs="Arial" w:eastAsia="Arial" w:hAnsi="Arial"/>
          <w:sz w:val="18"/>
          <w:szCs w:val="18"/>
          <w:color w:val="231F20"/>
        </w:rPr>
        <w:t>were no changes in our internal control over financial reporting identified in</w:t>
      </w:r>
      <w:r>
        <w:rPr>
          <w:rFonts w:ascii="Arial" w:cs="Arial" w:eastAsia="Arial" w:hAnsi="Arial"/>
          <w:sz w:val="18"/>
          <w:szCs w:val="18"/>
          <w:color w:val="auto"/>
        </w:rPr>
        <w:t xml:space="preserve"> </w:t>
      </w:r>
      <w:r>
        <w:rPr>
          <w:rFonts w:ascii="Arial" w:cs="Arial" w:eastAsia="Arial" w:hAnsi="Arial"/>
          <w:sz w:val="18"/>
          <w:szCs w:val="18"/>
          <w:color w:val="231F20"/>
        </w:rPr>
        <w:t>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 xml:space="preserve">We are not currently a party to any material pending legal proceedings. From time to time, we may </w:t>
      </w:r>
      <w:r>
        <w:rPr>
          <w:rFonts w:ascii="Arial" w:cs="Arial" w:eastAsia="Arial" w:hAnsi="Arial"/>
          <w:sz w:val="18"/>
          <w:szCs w:val="18"/>
          <w:color w:val="000000"/>
        </w:rPr>
        <w:t>be</w:t>
      </w:r>
      <w:r>
        <w:rPr>
          <w:rFonts w:ascii="Arial" w:cs="Arial" w:eastAsia="Arial" w:hAnsi="Arial"/>
          <w:sz w:val="18"/>
          <w:szCs w:val="18"/>
          <w:color w:val="231F20"/>
        </w:rPr>
        <w:t xml:space="preserve"> subject to legal proceedings and claims arising in the ordinary course of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 Factors</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231F20"/>
        </w:rPr>
        <w:t>Investing in our Class A common stock involves a high degree of risk. You should carefully consider the risks and uncertainties described below, together with all of the other information in this Quarterly Report on Form 10-Q and our condensed consolidated financial statements and the related notes and the section titled “Management’s Discussion and Analysis of Financial Condition and Results of Operations,” before making a decision to invest in our Class A common stock. Our business, results of operations, financial condition and prospects could also be harmed by risks and uncertainties not currently known to us or that we do not currently believe to be material.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 Factors Summary</w:t>
      </w:r>
    </w:p>
    <w:p>
      <w:pPr>
        <w:spacing w:after="0" w:line="256"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i w:val="1"/>
          <w:iCs w:val="1"/>
          <w:color w:val="231F20"/>
        </w:rPr>
        <w:t>Our business is subject to numerous risks and uncertainties that you should consider before investing in our company. The following is a summary of some of these risks and uncertainties. This summary should be read together with the more detailed description of each risk factor below.</w:t>
      </w:r>
    </w:p>
    <w:p>
      <w:pPr>
        <w:spacing w:after="0" w:line="87" w:lineRule="exact"/>
        <w:rPr>
          <w:sz w:val="20"/>
          <w:szCs w:val="20"/>
          <w:color w:val="auto"/>
        </w:rPr>
      </w:pPr>
    </w:p>
    <w:p>
      <w:pPr>
        <w:ind w:left="660" w:right="20" w:hanging="328"/>
        <w:spacing w:after="0" w:line="261" w:lineRule="auto"/>
        <w:tabs>
          <w:tab w:leader="none" w:pos="642"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89" w:lineRule="exact"/>
        <w:rPr>
          <w:rFonts w:ascii="Arial" w:cs="Arial" w:eastAsia="Arial" w:hAnsi="Arial"/>
          <w:sz w:val="18"/>
          <w:szCs w:val="18"/>
          <w:i w:val="1"/>
          <w:iCs w:val="1"/>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TPV on our Platform, and attract new Customers in a cost-effective manner.</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our largest Customer, Square, Inc., or Square, and the loss or decline in net revenue from Square could adversely affect our business, results of operations, and financial condition.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and maintain profitability.</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global COVID-19 pandemic could adversely affect our business, results of operations, and financial condition.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condensed consolidated financial statements or cause us to fail to meet our periodic reporting obligations.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has been a limited public market for our Class A common stock, the trading price of our Class A common stock has been and is likely to continue to be volatile or may decline regardless of our operating performance, and you may not be able to resell your shares at or above the price at which you purchased such shares.</w:t>
      </w:r>
    </w:p>
    <w:p>
      <w:pPr>
        <w:spacing w:after="0" w:line="9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dual class structure of our common stock has the effect of concentrating voting control with those stockholders who held our capital stock prior to the completion of our </w:t>
      </w:r>
      <w:r>
        <w:rPr>
          <w:rFonts w:ascii="Arial" w:cs="Arial" w:eastAsia="Arial" w:hAnsi="Arial"/>
          <w:sz w:val="18"/>
          <w:szCs w:val="18"/>
          <w:color w:val="231F20"/>
        </w:rPr>
        <w:t>IPO</w:t>
      </w:r>
      <w:r>
        <w:rPr>
          <w:rFonts w:ascii="Arial" w:cs="Arial" w:eastAsia="Arial" w:hAnsi="Arial"/>
          <w:sz w:val="18"/>
          <w:szCs w:val="18"/>
          <w:color w:val="auto"/>
        </w:rPr>
        <w:t>,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Our Business and Industry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have experienced rapid net revenue growth in recent periods and our recent net revenue growth rates may not be indicative of our future net revenue growth.</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We have experienced rapid growth in recent periods. In future periods, we may not be able to sustain net revenue growth consistent with recent history, or at all. Further, because we operate in an evolving payments industry, our ability to grow and innovate is important to our success. We believe our net revenue growth depends on several factors, including, but not limited to, our ability to:</w:t>
      </w:r>
    </w:p>
    <w:p>
      <w:pPr>
        <w:spacing w:after="0" w:line="9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new Customers and retain existing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the services we offer;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use of our Platform and our offerings, TPV and the number of transactions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 levels of service and Customer satisfaction;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and increase our net revenue and gross profit by continuing to innovate and expanding our product and service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diversify our Customer base;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and grow our network of vendors and partners, including Issuing Banks, Card Networks, and other vendors and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and retain talented employees at all levels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to changes in laws and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to changing macroeconomic conditions and evolving conditions in the payments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introduce and grow widespread adoption of our Platform in new markets outside of the United States;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legacy issuing platforms and modern payments technology companies.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231F20"/>
        </w:rPr>
        <w:t>If we are unable to accomplish these objectives, our net revenue growth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also expect our operating expenses to increase in future periods, and if our net revenue growth does not increase to offset these anticipated increases in our operating expenses, our business, results of operations, and financial condition will be adversely affected, and we may not be able to achieve or maintain profitability. We have also encountered in the past, and expect to encounter in the future, risks and uncertainties frequently experienced by growing companies in evolving industries. If our assumptions regarding these risks and uncertainties, which we use to plan and operate our business, are incorrect or change, or if we do not address these risks successfully, our growth rates may slow and our business would suffer. In the near term, we expect our TPV and net revenue growth rates to be variable as a result of the COVID-19 pandemic, including the continued spread and evolution of COVID-19, and we are unable to predict the duration, degree, or volatility of future growth with any certainty.</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have experienced, and expect to continue to experience, rapid growth, which has placed, and may continue to place, significant demands on our management and our operational and financial resources. For example, our headcount has grown to 619 employees as of June 30, 2021 from 422 employees as of June 30, 2020. We have recently established offices in the United Kingdom, or U.K., and Australia, and as our employees and other service providers increasingly work from geographic areas across the globe, we plan to continue to expand our international presence and operations into other countries in the future. We have also experienced significant growth in the number of Customers using our Platform, the number of card programs and solutions we manage for our Customers, and TPV on our Platform.</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We also believe that our corporate culture has been and will continue to be a valuable component of our success. As we expand our business and mature as a public company, we may find it difficult to maintain our corporate culture while managing this growth.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Additionally, as a result of the COVID-19 pandemic, our global workforce has been working remotely, with expected future phased office re-openings potentially limiting our employees’ ability to perform certain job functions and, over time, negatively impacting corporate culture.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Future net revenue growth depends on our ability to retain existing Customers, drive increased TPV on our Platform, and attract new Customers in a cost-effective manner.</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net revenue growth substantially depends on our ability to maintain and grow our relationships with existing Customers and increase the volume of transactions processed on our Platform. If our prospective Customers do not recognize, or our existing Customers do not continue to recognize, the need for and benefits of our Platform and our products, they may decide to adopt alternative products and services to satisfy their business needs. 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Some of our Customer contracts provide for a termination clause that allows our Customers to terminate their contract at any time following a limited notice period. In addition, our Customers generally are not subject to any minimum volume commitments under their contracts and have no obligation to continue using our Platform, products, or services. We cannot assure you that Customers will continue to use our Platform or that we will be able to continue processing transactions on our Platform at the same rate as we have in the past.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 The loss of Customers or reductions in their processing volumes, particularly any loss of or reductions by Square, may adversely affect our business, results of operations, and financial condition. Our growth may decline in the future if Customers are not satisfied with our Platform or our ability to meet our Customers’ needs and expectations. Further,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our growth may slow or stop and our business, results of operations, and financial condition may be materially and adversely affected.</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If we fail to attract new Customers, including Customers in new use cases, industry verticals, and geographies, and to expand our Platform in a way that serves the needs of these new Customers, then we may not be able to continue to grow our net revenue.</w:t>
      </w:r>
    </w:p>
    <w:p>
      <w:pPr>
        <w:spacing w:after="0" w:line="18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were founded in 2010, and we provide a single, global, cloud-based, open-API Platform for modern card issuing and payment processing. We provide card issuing, payment processing, risk management, data insights, and a variety of controls, customizations, and features through our Platform. Our modern card issuing Platform is situated in the evolving financial technology and payments industries that are intensely competitive and subject to rapidly evolving technology, shifting customer needs, new market entrants, and introductions of new products and services. We face competition along several dimensions, including providers with legacy technology platforms, such as Global Payments (TSYS), Fiserv (First Data), and Fidelity National Information Services; vertical-focused providers, such as Wex and Comdata;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Such competitors with greater financial and operating resources may be able to respond more quickly and effectively than we can to new or changing opportunities, technologies, standards, customer requirements, or regulatory developments. In addition, there has been a recent increase in large merger and acquisition transactions in the payments industry, and future mergers and acquisitions by these companies may lead to even larger competitors with more resources.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Conditions in our markets could also change rapidly and significantly as a result of technological advancements, partnering by our competitors, or continuing market consolidation, and it is uncertain how our markets will evolve. New commerce disruptors or large financial institutions that are making significant investments in research and development may develop similar or superior products and technologies that compete with our Platform. Our existing and potential Customers also may choose to build some of the functionality our Platform provides, potentially limiting or eliminating their demand for our Platform. These competitive pressures in our markets or our failure to compete effectively may result in price reductions, fewer Customers, reduced net revenue, gross profit, and gross margins, increased net losses, and loss of market share. Any failure to meet and address these factors could adversely affect our business, results of operations, and financial condition.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currently generate significant net revenue from our largest Customer, Square, and the loss or decline in net revenue from Square could adversely affect our business, results of operations, and financial condition.</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 small number of Customers account for a large percentage of our net revenue. For the three months ended June 30, 2021 and 2020, Square accounted for 72% and 66% of our net revenue, respectively. For the six months ended June 30, 2021 and 2020, Square accounted for 73% and 66% of our net revenue, respectively.</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In the event that any of our largest Customers stop using our Platform or use our Platform in a reduced capacity, our business, results of operations, and financial condition could be adversely affected. In addition, any publicity associated with the loss of any of these Customers may adversely affect our reputation and could make it more difficult to attract and retain other Customers.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Customer contracts generally do not contain long-term commitments from our Customers, and our Customers may be able to terminate their agreements with us prior to expiration of the contract’s term. The current term of our agreement with Square for Square Card expires in December 2024 and the current term of our agreement with Square for Cash App expires in March 2024, and each agreement automatically renews thereafter for successive one-year periods. 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 with them. In addition, the processing volume from Square has in the past fluctuated from period to period and may fluctuate or decline in future periods. Our net revenue and results of operations could suffer if, among other things, Square does not continue to use our products, uses fewer of our products, reduces its processing volume, or renegotiates, terminates or fails to renew, or to renew on similar or favorable terms, its agreement with us.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recent growth, ongoing changes in our industry, and our transaction mix make it difficult to forecast our net revenue and evaluate our business and future prospects.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particular, forecasting our future results of operations can be challenging because our net revenue depends in part on our Customers’ end users, and our transaction mix adds further complexity. Our transaction mix refers to the proportion of signature debit versus Personal Identification Number, or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have a history of net losses, we anticipate increasing operating expenses in the future, and we may not be able to achieve and maintain profitability.</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 xml:space="preserve">We have incurred significant net losses since our inception, including net losses of $68.6 million and $7.1 million for the three months ended June 30, 2021 and </w:t>
      </w:r>
      <w:r>
        <w:rPr>
          <w:rFonts w:ascii="Arial" w:cs="Arial" w:eastAsia="Arial" w:hAnsi="Arial"/>
          <w:sz w:val="18"/>
          <w:szCs w:val="18"/>
          <w:color w:val="000000"/>
        </w:rPr>
        <w:t>2020</w:t>
      </w:r>
      <w:r>
        <w:rPr>
          <w:rFonts w:ascii="Arial" w:cs="Arial" w:eastAsia="Arial" w:hAnsi="Arial"/>
          <w:sz w:val="18"/>
          <w:szCs w:val="18"/>
          <w:color w:val="231F20"/>
        </w:rPr>
        <w:t>, respectively, and net losses of $81.4 million and $ 21.6 million for the six months ended June 30, 2021 and 2020, respectively. We expect to continue to incur net losses for the foreseeable future and we may not achieve or maintain profitability in the future. Because the market for our Platform, products, and services is evolving, it is difficult for us to predict our future results of operations or the limits of our market opportunity. We expect our operating expenses to significantly increase over the next several years as we hire additional personnel, expand our operations and infrastructure, both domestically and internationally, continue to enhance our Platform and develop and expand its capabilities, expand our products and services, and expand and improve our application programming interface, or API. These initiatives may be more costly than we expect and may not result in increased net revenue. In addition, as a public company, we have incurred, and we will continue to incur, additional significant legal, accounting, and other expenses that we did not incur as a private company. Any failure to increase our net revenue sufficiently to keep pace with our initiatives, investments, and other expenses could prevent us from achieving or maintaining profitability or positive cash flow on a consistent basis in future periods. If we fail to achieve or maintain profitability,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31F20"/>
        </w:rPr>
        <w:t>Our quarterly results of operations may fluctuate from quarter to quarter as a result of a number of factors, many of which are outside of our control and may be difficult to predict, including, but not limited to:</w:t>
      </w:r>
    </w:p>
    <w:p>
      <w:pPr>
        <w:spacing w:after="0" w:line="9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for our Platform, products, and services by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in increasing our Customers’ processing volumes;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success of new capabilities by us or by our competitors or any other change in the competitive landscape of our market;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right="2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expenses and recognition of net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 in certain Customers’ processing volumes that are subject to seasonal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Card Networks to set interchange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hiring new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 and the recognition of associated expenses;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extent of increases in share-based compensation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federal, state, or local tax regulations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market and economic volatility caused by the COVID-19 pandemic on our business and the businesses of our Customers;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COVID-19 pandemic on consumer demand and spending patterns;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Any one or more of the factors above may result in significant fluctuations in our quarterly results of operations. You should not rely on our past results as an indicator of our future performance.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 variability and unpredictability of our quarterly results of operations or other operating metrics could result in our failure to meet our or investors’ expectations, or those of analysts that cover us, with respect to net revenue or other key metrics for a particular period. If we fail to meet or exceed such expectations for these or any other reasons, the trading price of our Class A common stock could fall, and we could face costly lawsuits, including securities class action suits.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global COVID-19 pandemic could adversely affect our business, results of operations, and financial condition.</w:t>
      </w:r>
    </w:p>
    <w:p>
      <w:pPr>
        <w:spacing w:after="0" w:line="26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231F20"/>
        </w:rPr>
        <w:t>In March 2020, the World Health Organization declared the novel strain of coronavirus, COVID-19, a global pandemic. The COVID-19 pandemic has continued to spread and evolve. The related public health measures, including orders to shelter in place, travel restrictions, and mandated business closures, have adversely affected workforces, organizations, Customers, economies, and financial markets globally, leading to an economic downturn and increased market volatility. While some of these measures have been relaxed in certain parts of the world as increasing numbers of people have received COVID-19 vaccines, others have remained in place with some areas continuing to experience renewed outbreaks and surges in infection rates. The extent to which such measures are removed or new measures are put in place will depend upon how the pandemic evolves, as well as the distribution of available vaccines, the rates at which they are administered, and the emergence of new variants of the virus.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pandemic, as well as intensified measures undertaken to contain the spread of COVID-19, has impacted our day-to-day operations. Like many other companies, the majority of our workforce is working remotely and engaging with prospects and Customers who are also generally working remotely. While the shelter-in-place restrictions enacted in the United States in the second quarter of 2020 have largely been lifted, many Customer, employee, and industry events continue to be virtual-only experiences due to the pandemic. Live event attendance and sponsorship is one of the ways we have historically connected with prospective Customers. We rely on events, such as Money20/20, for a portion of our lead generation. Because our solution is technical and requires in-depth discussions around Customer use cases, it can be challenging to acquire new Customers through predominantly online outreach, such as virtual events, email, and targeted ads. We have also observed fatigue from prospective Customers around attending virtual events, making it more difficult to acquire Customers through such events. While we cannot predict with any certainty, we expect live events to return throughout the second half of 2021, including Money20/20. However, the COVID-19 pandemic and any cancellation or postponement of live events may impair our ability to acquire new Customers and prospects. Any cancellation or postponement of live events may also result in the loss of financial commitments made to such events. In addition, we may incur increased workforce costs, including costs associated with implementing additional personnel and workplace safety protocols when the majority of our employees return to an office, and workplace or labor claims and disputes related to COVID-19.</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continued spread and evolution of COVID-19 could also have an adverse impact on our vendors, partners, and Customers, therefore materially and adversely impacting our business, results of operations, and overall financial performance in future periods. For example, we have experienced, and may continue to experience, a decrease in processing volumes from certain Customers, particularly those in industries that are heavily impacted by shelter-in-place orders, such as travel; delayed sales cycles, including Customers and prospective Customers delaying contract signing or contract renewals; and delays in launching strategic partnerships and opportunities. These disruptions could continue to adversely affect our business, results of operations, and financial condition, and could have other currently unforeseen negative impacts on us.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While we have developed and continue to develop plans to help mitigate the potential negative impact of the outbreak on our business, it is possible the COVID-19 pandemic, particularly in light of new variant strains of the virus, could further impact our operations and the operations of our Customers, partners, and vendors as a result of quarantines, illnesses, and travel and logistics restrictions. Our efforts to mitigate the potential negative impact of the outbreak on our business may not be effective and a protracted economic downturn will likely limit the effectiveness of our mitigation efforts. It is not possible for us to predict the duration or magnitude of the adverse results of the COVID-19 pandemic and its effects on our business, results of operations, or financial condition at this time. The extent to which the COVID-19 pandemic may impact our business, results of operations, and financial condition will depend on future developments, which are highly uncertain and cannot be predicted, including, but not limited to, increases in infection rates and hospitalizations, the resulting impact on the businesses of our Customers, partners, and vendors, the remedial actions and stimulus measures adopted by federal, state, and local governments, and the extent that normal economic and operating conditions are impacted. To the extent the COVID-19 pandemic adversely affects our business, results of operations, and financial condition, it may also have the effect of heightening many of the other risks described in this “Risk Factors” section.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If we are unable to maintain the quality of our relationships with financial institutions, including Issuing Banks and Card Networks, that provide certain services that are an important part of our product offering, or fail to comply with our contractual requirements with these financial institutions, our business would be adversely affected. We partner with Issuing Banks, who issue payment cards to our Customers and settle payment transactions on such cards. A significant portion of our payment transactions are settled through one Issuing Bank, Sutton Bank.</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 xml:space="preserve">For the three months ended June 30, 2021 and </w:t>
      </w:r>
      <w:r>
        <w:rPr>
          <w:rFonts w:ascii="Arial" w:cs="Arial" w:eastAsia="Arial" w:hAnsi="Arial"/>
          <w:sz w:val="18"/>
          <w:szCs w:val="18"/>
          <w:color w:val="000000"/>
        </w:rPr>
        <w:t>2020</w:t>
      </w:r>
      <w:r>
        <w:rPr>
          <w:rFonts w:ascii="Arial" w:cs="Arial" w:eastAsia="Arial" w:hAnsi="Arial"/>
          <w:sz w:val="18"/>
          <w:szCs w:val="18"/>
          <w:color w:val="231F20"/>
        </w:rPr>
        <w:t>, 92% and 96%, respectively, of TPV was settled through Sutton Bank. For the six months ended June 30, 2021 and 2020, 93% and 96%, respectively, of TPV was settled through Sutton Bank. If Sutton Bank terminates our agreement with them or is unable or unwilling to process our transactions for any reason, we may be required to switch some or all of our processing volume to one or more other Issuing Banks, including to any of the three other U.S. Issuing Banks that we currently settle payment transactions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also have agreements directly with Card Networks, such as Visa, Mastercard, and PULSE, which is part of the Discover Global Network, that, among other things, provide for certain monetary incentives to us based on the processing volume of our Customers’ transactions routed through the respective Card Network. If we were to lose our certification with a Card Network, we could lose Customers if they needed to switch to a different Card Network, for which we did not have a certification.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agreements with Issuing Banks and Card Networks require us to comply with Card Network operating rules. The Card Networks set these network rules and have discretion to interpret the rules and change them at any time. While changes in the network rules usually relate to pricing, other types of changes could require us to take certain steps to comply or adapt. For example, we began to issue cards with chips built in when a network rule changed to enable chip and PIN transactions. The termination of the card association registrations held by us or any of the Issuing Banks or any changes to these network rules or how they are interpreted could have a significant impact on our business and financial condition. Any changes to or interpretations of the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fine us or prohibit us from processing payment cards. In addition, violations of the network rules or any failure to maintain good relationships with the Card Networks could impact our ability to receive incentives from them, increase our costs, or otherwise adversely affect our business.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Unfavorable conditions in our industry or the global economy could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performance is subject to economic conditions and their impact on levels of spending by businesses and their customers. Our net revenue is dependent on the usage of our Platform, which in turn is influenced by the volume of business our Customers conduct. To the extent that weak economic conditions result in a reduced volume of business for our Customers and prospective Customers, demand for, and use of, our Platform, products, and services may decline. If spending by their customers declines, our Customers could process fewer payments with us or, if our Customers cease to operate, they could stop using our Platform and our products and services altogether. 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Performance issues in our Platform or our Platform’s transaction processing could diminish demand for our Platform or products, adversely affect our business and results of operations, and subject us to liabilities.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The risk of performance issues has increased in recent periods due to the significant increase in our TPV. This risk of performance issues further increases with new product launches and geographical expansion. We release regular updates to our Platform, which have in the past contained, and may in the future contain, undetected errors, failures, vulnerabilities, and bugs. Additionally, we may experience errors, inaccuracies, or omissions in our processing, reconciling or reporting of transactions.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Systems failures and interruptions in the availability of our Platform may adversely affect our business, results of operations, and financial condition.</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31F20"/>
        </w:rPr>
        <w:t>Our continued growth depends on the efficient operation of our Platform without interruption or degradation of performance. Our business involves processing large numbers of transactions, the movement of large sums of money on an aggregate basis, and the management of large amounts of data, and a system outage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ransomware attacks, or other security-related incidents. For example, on August 30, 2020, a major internet service and bandwidth provider experienced a significant outage that impacted us as well as a significant number of other services and providers across the internet. During this outage, the functionality of our Platform was affected, including denial of certain Customer transactions and connectivity issues. In some instances, we may not be able to identify the cause or causes of these performance problems immediately or in short order, and we may face difficulties remediating and otherwise responding to any such issues.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231F20"/>
        </w:rPr>
        <w:t>We may not be able to maintain the level of service uptime and performance needed by our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especially as TPV increases. We have experienced high growth in TPV over the past several years and expect such growth may continue for the coming years; however, if we are unable to maintain sufficient processing capacity, Customers could face longer processing times or even downtime. Furthermore, any efforts to further scale our Platform or increase its complexity to handle a larger number or more complicated transactions could result in performance issues, including downtime. If our Platform is unavailable or if Customers are unable to access our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Moreover, we depend on services from various third-party vendors to maintain our infrastructure, including data center facilities and cloud storage platforms. We conduct vendor due diligence; however, if a service provider fails to develop and maintain sufficient internal control processes or fails to provide sufficient capacity to support our Platform or otherwise experiences service outages, such failure could interrupt the operation of our Platform, potentially adversely affecting our Customers or their perception of our Platform’s reliability and adversely affecting the business of Customers using our Platform. Any disruptions in these services, including as a result of actions outside of our control, would significantly impact the continued performance of our Platform. In the future, these services may not be available to us on commercially reasonable terms, or at all. Any loss of the right to use any of these services could result in decreased functionality of our Platform until equivalent technology is either developed by us or, if available from another provider, is identified, obtained, and integrated into our infrastructure. If we do not accurately predict our infrastructure capacity requirements, our Customers could experience service shortfalls. We may also be unable to effectively address capacity constraints, upgrade our systems as needed, and continually develop our technology and network architecture to accommodate actual and anticipated changes in technology.</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Further, our Customer contracts typically provide for service level commitments. If we suffer extended periods of downtime for our Platform or are otherwise unable to meet these commitments, then we are contractually obligated to provide a service credit, which may be based on a percentage of the processing volume on the day of an incident or the fees charged on the day of an incident, or it may be based on our overall monthly transaction success rate and the incentive payments or fees from that month. We have experienced incidents requiring us to pay service level credits in the past, such as in January and February 2019 when transactions for one of our Customers were slowed and/or interrupted for several hours. In addition, the performance and availability of the cloud-based solutions that provide cloud infrastructures for our Platform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0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231F20"/>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operations depend on receiving, storing, processing, and transmitting sensitive information pertaining to our business, employees, Customers, and end users. The confidentiality, security, and integrity of such sensitive business information residing on our systems is important to our business. Any unauthorized access, intrusion, infiltration, network disruption, denial of service, or similar incident could disrupt the integrity, continuity, security, and trust of our systems or data, or the systems or data of our Customers or vendors. These incidents are often difficult to detect and are constantly evolving, and we or our Customers or vendors may face difficulties or delays in identifying or otherwise responding to any incident.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231F20"/>
        </w:rPr>
        <w:t>Unauthorized parties have attempted and may continue to attempt to gain access to our Platform,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systems, or facilities, and those of our Customers, partners, and vendors, through various means and with increasing sophistication.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we expect to continue to invest significant resources to maintain and enhance our information security and controls and to investigate and remediate any security vulnerabilities.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Customers or vendors, could have a material adverse effect on our business, results of operations, and financial condition.</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Under Card Network rules and our contracts with our Issuing Banks, if there is a breach of payment card information that we store or that is stored by our Customers or other third parties that we do business with, we could be liable to the Issuing Banks for certain of their costs and expenses. Additionally, if our own confidential business information were improperly disclosed, our business could be materially and adversely affected. The reliability and security of our Platform is a core component of our business. Any perceived or actual breach of security, regardless of how it occurs or the extent of the breach, could have a significant impact on our reputation as a trusted brand, cause us to lose existing Customers, prevent us from obtaining new Customers, require us to expend significant funds to remedy problems caused by breaches and to implement measures to prevent further breaches, and expose us to legal risk and potential liability, including those resulting from governmental or regulatory investigations, class action litigation, and costs associated with remediation, such as fraud monitoring, card reissuance, and forensics. Any actual or perceived security breach at a vendor providing services to us or our Customers could have similar effects.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While we maintain cybersecurity insurance, subject to applicable deductibles and policy limitations, our insurance may be insufficient to cover all liabilities incurred by such attacks. We cannot be certain that our insurance coverage will be adequate for privacy, data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on a strong and trusted brand, and any failure to maintain, protect, enhance, and market our brand would hurt our business.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have developed a strong and trusted brand that has contributed significantly to the success of our business. We believe that maintaining and promoting our brand in a cost-effective manner is important to achieving widespread acceptance of our Platform and the products and services we offer, expanding our base of Customers and end users, and increasing our TPV. Our brand is predicated on the idea that we offer modern payment solutions to our Customers and our Platform helps enable them to successfully operate their businesses. We are dedicated to building and maintaining a Platform our Customers can trust and creating solutions for our Customers who choose to build and grow their businesses with our card programs and other services. Maintaining and promoting our brand will depend largely on our ability to continue to provide a useful, reliable, secure, and innovative Platform, as well as our ability to maintain trust and be a payments processing innovator and leader. We may, from time to time, introduce, or make changes to, our Platform, products, services, privacy practices, or other practices or terms of service that Customers do not like, which may materially and adversely affect our brand. Brand promotion activities may not generate Customer awareness or increase net revenue, and even if they do, any increase in net revenue may not offset the expenses we incur in building our brand. In addition, due to the COVID-19 pandemic and the restrictions on travel, we have not been able to organize certain marketing and promotional events and in-person meetings to facilitate Customer adoption and generate leads with potential Customers. If we fail to successfully promote and maintain our brand or if we incur excessive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231F20"/>
        </w:rPr>
        <w:t>expense in this effort, our business could be materially and adversely affected.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Any negative publicity about our company, our industry, the quality and reliability of our Platform, our risk management processes, changes to our products and services, our ability to effectively manage and resolve Customer complaints, our privacy, data protection, and information security practices, litigation, regulatory activity, policy positions, or the experience of our Customers with our Platform, products, and services could adversely affect our reputation and the confidence in and use of our Platform, products, and services. If we do not successfully maintain a strong and trusted brand, our business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fail to offer high-quality Customer support, our business and reputation will suffer.</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adapt to rapid technological change and develop enhancements and new capabilities for our Platform, our ability to remain competitive could be impaired.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compete in an industry that is characterized by rapid technological change,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programs and capabilities on a timely and secure basis to keep pace with technological developments and Customer expectations. If we are unable to provide enhancements and new programs for our Platform, develop new capabilities that achieve market acceptance, or innovate quickly enough to keep pace with rapid technological developments, our business could be adversely affected. We must also keep pace with changing legal and regulatory regimes that affect our Platform, products, services, and business practices. We may not be successful in developing modifications, enhancements, and improvements, in bringing them to market quickly or cost-effectively in response to market demands, or at modifying our Platform to remain compliant with applicable legal and regulatory requirements.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During the three and six months ended June 30, 2021, we derived 1% of our net revenue from Customers located outside the United States, based on their billing address. The future success of our business will depend, in part, on our ability to offer our Platform internationally and expand our international Customer base. While we have been expanding our Platform, products, services and sales efforts internationally, our experience in selling our Platform, products, and services outside of the United States is early. The spread of COVID-19 may also complicate efforts to expand our business internationally by restricting our ability to travel and engage in certain sales and marketing activities abroad. Furthermore, our business model may not be successful or have the same traction outside the United States and we may face additional regulatory hurdles. As a result, our investment in marketing our Platform to these potential Customers may not be successful. If we are unable to increase the net revenue that we derive from international Customers, then our business, results of operations, and financial condition may be adversely affected.</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expansion, whether in our existing or new international markets, will require additional resources and controls, and offering our Platform in new geographic regions often requires substantial expenditures and takes considerable time. We may not be successful enough in these new geographies to recoup our investments in a timely manner or at all. Such expansion could also subject our business to substantial risks, including:</w:t>
      </w:r>
    </w:p>
    <w:p>
      <w:pPr>
        <w:spacing w:after="0" w:line="9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anticipate competitive conditions and competition with market-players that have greater experience in the local markets than we do;</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conformity with applicable business customs, including translation into foreign languages and associated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the way we do business as compared with our current operations or a lack of acceptance of our Platform or certain products and services;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support and integrate with local Bank Identification Number sponsors and third-party vendors;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customs, and other challenges caused by distance;</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language and cultural differences, and the increased travel, infrastructure, and legal and compliance costs associated with global operations;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gaining acceptance from industry self-regulatory bodies;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with respect to payment processing, data privacy, data protection, and information security;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U.S. and foreign anti-corruption, anti-bribery, and anti-money laundering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tariffs, sanctions, fines, or other trade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complex and potentially conflicting and changing laws of taxing jurisdictions where we conduct business and applicable U.S. tax laws;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regional economic and political instability.</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31F20"/>
        </w:rPr>
        <w:t>As a result of these risks, our efforts to expand our global operations may not be successful, potentially limiting our ability to grow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incur losses relating to the settlement of payment transactions and use of payment cards issued through our Platform.</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are and will continue to be subject to the risk of losses relating to the day-to-day settlement of payment transactions that is inherent in our business model. Customers deposit a certain amount of pre-funding into their Customer account at our Issuing Banks. However, depending on the model of the card program and the timing of funding and transactions, some transactions that exceed the amount of pre-funding in the Customer’s account are still authorized. Customers are ultimately responsible for fulfilling their obligations to fund transactions. However, when a Customer does not have sufficient funds to settle a transaction, we are liable to the Issuing Bank to settle the transaction and may incur losses as a result of claims from the Issuing Bank. We seek to recover such losses from the Customer, but we may not fully recover them if the Customer is unwilling or unable to pay due to their financial condition. Because we are liable to the Issuing Banks,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 to greater regulation that would increase our compliance costs. Fraudulent activity could also result in the imposition of regulatory sanctions, including significant monetary fines. The foregoing could have a material adverse effect on our business, results of operations, and financial condition.</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our executive officers and other key employees, and the loss of one or more of these employees or an inability to attract and retain other highly skilled employees could adversely affect our business.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success depends largely upon the continued services of our executive officers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could terminate their employment with us at any time. Additionally, we do not maintain any key person insurance policies. The loss of one or more of our executive officers, especially our Chief Executive Officer, or other key employees could adversely affect our business. Changes in our executive management team may also cause disruptions in, and adverse impacts to, our business.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to maintain and grow our business, we must attract and retain highly qualified personnel. Competition for highly qualified personnel in the San Francisco Bay Area, where our headquarters is located, and in other locations where we maintain offices, is intense, especially for highly skilled employees and experienced sales professionals. We have from time to time experienced, and we expect to continue to experience, difficulty in hiring and retaining employees with appropriate qualifications and at an appropriate cost, which may be compounded as a result of the COVID-19 pandemic.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certain legal obligations, resulting in a diversion of time and resources, and potential liability for us or our employees. In addition, job candidates and existing employees often consider the value of the equity awards they receive in connection with their employment.</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If the perceived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Conversely, additions of executive-level management and large numbers of employees could significantly and adversely impact our culture.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Volatility in or lack of appreciation of the trading price of our Class A common stock may also affect our ability to attract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impair our ability to foster the innovation, teamwork, curiosity, and diversity that we believe is necessary to support our growth.</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Exposure to Political Developments in the United Kingdom, including the United Kingdom’s decision to leave the European Union, could adversely affect us.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On June 23, 2016, a referendum was held on the United Kingdom’s membership in the European Union, or the EU, resulting in a vote in favor of leaving the European Union. Effective as of January 31, 2020, the United Kingdom formally withdrew its membership from the European Union. The United Kingdom’s decision to leave the European Union has created an uncertain political and economic environment in the United Kingdom and across other European Union member states. The political and economic instability created by the United Kingdom’s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United Kingdom’s exit from the European Union, it is possible that there may be adverse practical or operational implications on our business. For example, the U.K. Data Protection Act, which implemented the EU’s General Data Protection Regulation, or the GDPR, was amended January 1, 2021 to reflect the United Kingdom’s status outside the European Union.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While we have taken measures to preemptively address the impact of the United Kingdom’s departure from the European Union by including contingency clauses in our EU master service agreements, for example, these may not adequately protect us from adverse implications on our business. Further, the United Kingdom’s exit from the European Union may create increased compliance costs and an uncertain regulatory landscape for offering equity-based incentives to our employees in the United Kingdom If we are unable to maintain equity-based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 These and other factors related to the departure of the United Kingdom from the European Union may adversely affect our business, financial condition, and results of operations.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may face exposure to foreign currency exchange rate fluctuations, and such fluctuations could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do not currently maintain a program to hedge exposures in foreign currencies. In the future, however,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If our estimates or judgments relating to our accounting policies prove to be incorrect, our results of operations could be adversely affected.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condensed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require additional capital to support our business, and this capital might not be available on acceptable terms, if at all.</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231F20"/>
        </w:rPr>
        <w:t>Acquisitions, strategic investments, partnerships, or alliances could be difficult to identify, divert the attention of key management personnel, disrupt our business, dilute stockholder value, and adversely affect our results of operations and financial condition. We may be unable to integrate acquired businesses and technologies successfully or achieve the expected benefits of such acquisitions.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may seek to acquire or invest in businesses, products, or technologies that we believe could complement our Platform, products, and services or expand its breadth, enhance our products and capabilities, expand our geographic reach or Customer base, or otherwise offer growth opportunities. The pursuit of potential investments or acquisitions may divert the attention of management and cause us to incur various expenses in identifying, investigating, and pursuing suitable opportunities, whether or not they are consummated. Any acquisition, investment, or business relationship may result in unforeseen operating difficulties and expenditures. In addition, we have limited experience in investing in and acquiring other businesses. If we acquire additional businesses, we may not be able to successfully integrate the acquired personnel, operations, and technologies, or effectively manage the combined business following the acquisition.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Specifically, we may not successfully evaluate or utilize the acquired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We may not be able to find and identify desirable acquisition targets or we may not be successful in entering into an agreement with any one target. Acquisitions could also result in dilutive issuances of equity securities or the incurrence of debt, potentially adversely affecting our results of operations. In addition, if an acquired business fails to meet our expectations, our business, results of operations, and financial condition may suffer.</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have in the past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may be subject to litigation for a variety of claims, which could harm our reputation and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Regulation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is subject to extensive regulation and oversight in a variety of areas, directly and indirectly through our relationships with Issuing Banks and Card Networks, which regulations are subject to change and to uncertain interpretation.</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our vendors, our partners, and our Customers are subject to a wide variety of state, federal, and international laws, regulations, and industry standards in the United States and in other countries where we operate both directly and indirectly through our relationships with Issuing Banks and Card Networks. These laws, regulations, industry standards, and rules govern numerous areas important to our business. While we currently operate our business in an effort to ensure our business itself is not subject to extensive regulation, the Issuing Banks and Card Networks that we partner with operate in a highly regulated landscape, and there is a risk that those regulations could become applicable to us. We are directly subject to regulation in areas including privacy, data security, data protection, and anti-bribery, and our contractual relationships with Issuing Banks and Card Networks subject us to additional regulations including those relating to payments services (such as payment processing and settlement services), consumer protection, anti-money laundering, anti-bribery, escheatment, international sanctions regimes, data privacy and security, intellectual property, and compliance with the Payment Card Industry Data Security Standard, or PCI DSS, a data security standard obligating companies that process, store, or transmit payment card information to maintain security measures designed to protect cardholder data.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regulators. As we expand into new jurisdictions, or expand our Platform and product offerings in existing jurisdictions, the number of foreign regulations and regulators governing our business will expand as well. In addition, as our business and Platform continue to develop and expand, we may become subject to additional rules, regulations, and industry standards. 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to laws and regulations that apply directly to us, we are contractually subject to certain laws and regulations through our relationships with Issuing Banks and Card Networks, which operate in a highly regulated industry. Additionally, as a program manager, we are responsible for ensuring compliance with Issuing Banks’ requirements and Card Network rules, and we help create regulatory compliant card programs for our Customers. In some cases, our inability to ensure such compliance could expose us to liability or claims from our Customers or partners. Furthermore,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Consumer Financial Protection Bureau, or the CFPB, which is engaged in rulemaking and regulation of the payments industry, including, among other things, the regulation of prepaid cards and the enforcement of certain protections under applicable regulations. While reform in the payment industry, such as the formation of the CFPB, has focused on individual consumer protection, legislatures continue to consider whether to include business customers, especially smaller business customers, within the scope of these regulations.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we offer our Platform or our products and services under.</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 majority of our net revenue is derived from Interchange Fees and we expect Interchange Fees to continue to represent a significant percentage of our total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or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Durbin Amendment are able to access higher interchange rates. As a result, to maximize our Interchange Fees, we currently only contract with Issuing Banks that are exempt from the Durbin Amendment when we provide program management services. Changes in regulation or additional rulemaking may adversely affect the way we conduct our business or result in additional compliance obligations and expense for our business and limitations on net revenue. For example, the Board of Governors of the Federal Reserve System recently proposed a change to the regulations implemented pursuant to the Electronic Fund Transfer Act to clarify that e-commerce transactions can be routed over secondary, unaffiliated debit card networks that generally set lower Interchange Fees. If implemented, we may experience a reduction in net revenue derived from Interchange Fees.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Many of these laws and regulations are evolving, unclear, and inconsistent across various jurisdictions, and ensuring compliance with them is difficult and costly. With increasing frequency, federal and state regulators are holding businesses in the payments industry to higher standards of training, monitoring, and compliance, including monitoring for possible violations of laws by our Customers and people who do business with our Customers while using our Platform or products. If we fail to comply with laws and regulations applicable to our business in a timely and appropriate manner, we may be subject to litigation or regulatory proceedings, we may have to pay fines and penalties, and our client relationships and reputation may be adversely affected, which could have a material adverse effect on our business, results of operations,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Regulations and industry standards related to privacy and data protection could adversely affect our ability to effectively provide our services.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Governmental bodies and industry organizations in the United States and abroad have adopted, or are considering adopting, laws and regulations restricting the use of, and requiring safeguarding of, personal information. For example, in the United States, all financial institutions must undertake certain steps to ensure the privacy and security of consumer financial information. Further, the California Consumer Privacy Act, or the CCPA, became effective on January 1, 2020 and imposes additional restrictions on the collection, processing, and disclosure of personal information, including imposing increased penalties on data privacy incidents. Additionally, a new privacy law, the California Privacy Rights Act, or the CPRA, creates additional obligations relating to personal information that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Other U.S. states also are considering omnibus privacy legislation and industry organizations regularly adopt and advocate for new standards in these areas. Many obligations under these other laws and legislative proposals remain uncertain, and we cannot fully predict their impact on our business. If we fail to comply with any of these laws or standards, we may be subject to investigations, enforcement actions, civil litigation, fines and other penalties, all of which may generate negative publicity and have a negative impact on our business.</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the European Economic Area, or the EEA, the GDPR, which became effective in 2018, extends the scope of EU data protection law to all companies processing personal data of EU residents, regardless of the company’s location, and requires companies to meet stringent requirements regarding the handling of personal data. The GDPR also imposes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following the exit of the United Kingdom from the European Union, it remains unclear how the U.K. Data Protection Act, which implemented the GDPR in the United Kingdom, and other United Kingdom data protection laws or regulations will develop in the medium to longer term and how data transfers to and from the United Kingdom will be regulated. We have incurred substantial expense in complying with new data protection legal frameworks and we may be required to make additional, significant changes in our business operations, all of which may adversely affect our net revenue and our business overall. Additionally, because these new regimes lack a substantial enforcement history, we are unable to predict how emerging standards may be applied to us.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one of the mechanisms we had relied on to legitimize EU-U.S. data transfers. The court, however, approved an alternative transfer mechanism that we rely on known as the standard contractual clauses provided additional safeguards are in place. We are in the process of assessing this decision and its impact on our data transfer mechanisms. It is possible that the decision will restrict the ability to transfer personal data from the European Union to the United States. We (and many other companies) may need to implement different or additional measures to establish or maintain legitimate means for the transfer and receipt of personal data from the European Union to the United States, and we may, in addition to other impacts, experience additional costs associated with increased compliance burdens, and we and our Customers face the potential for regulators to apply different standards to the transfer of personal data from the European Union and Switzerland to the United States, and to block, or require ad hoc verification of measures taken with respect to, certain personal data transfers from the European Union and Switzerland to the United States. Any inability to transfer personal data from the European Union to the United States in compliance with data protection laws or otherwise comply with requirements in this rapidly changing environment may impede our ability to attract and retain Customers unless and until we build out an EU-compliant data processing center. These restrictions may adversely affect our business and financial position.</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Some countries are also considering or have passed legislation requiring local storage and processing of data, or similar requirements, potentially increasing the cost and complexity of our operations.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connection with providing services to our Customers, we are required by certain self-regulatory frameworks and contractual arrangements with Card Networks and Issuing Banks to provide assurances regarding the confidentiality and security of non-public consumer information, including the PCI DSS. Further, certain Customers increasingly expect us to comply with more stringent privacy, data protection and information security requirements than those imposed by laws, regulations or self-regulatory requirements, and we may be obligated contractually to comply with additional or different standards relating to our handling or protection of data on or by our offerings. The compliance standards relate to our infrastructure, components, and operational procedures designed to safeguard the confidentiality and security of non-public consumer personal information received from our Customers in the course of providing services. Our ability to maintain compliance with these standards and meet our Customers’ requirements may affect our ability to attract and maintain business in the future.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If we fail to comply with these standards or Customer requirements, or are alleged to have done so, we could be exposed to suits for breach of contract, potentially in addition to governmental proceedings. In addition, our Customer relationships and reputation could be adversely affected, and we could be inhibited in our ability to obtain new Customers. If more restrictive or burdensome laws, rules, or regulations related to privacy, data protection, or information security are adopted by authorities in the future on the federal or state level or internationally, or if existing laws, rules, or regulations become subject to new or differing interpretations or enforcement, or if we become bound by additional obligations to our Customers relating to privacy, data protection, or information security, including any additional compliance standards relating to non-public consumer personal information, our compliance and operational costs may increase, our opportunities for growth may be curtailed by our compliance capabilities or reputational harm, we may find it necessary or appropriate to modify our data processing practices or policies or otherwise restrict our operations, and our potential liability in connection with breaches or incidents relating to privacy, data protection, and information security may increase, all of which could have a material adverse effect on our business, results of operations, and financial condition.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There may continue to be changes in interpretations of existing laws and regulations, or new proposed laws, regulations, industry standards, and other obligations concerning privacy, data protection and information security, which could impair our or our Customers’ ability to collect, use or disclose information relating to consumers, which could decrease demand for our offerings, increase our costs and impair our ability to maintain and grow our Customer base and increase our net revenue. Because the interpretation and application of many existing and emerging laws and regulations relating to privacy, data protection and information security, along with industry standards, are uncertain, it is possible that these laws and regulations may be interpreted and applied in new ways that are, or are alleged to be, inconsistent with our data management practices or the features of our products, and we could face fines, lawsuits, regulatory investigations and other claims and penalties, and we could be required to fundamentally change our products or our business practices, any of which could have an adverse effect on our business. Any inability to adequately address privacy, data protection and information security concerns, even if unfounded, or any actual or perceived failure to comply with applicable privacy, data protection or information security laws, regulations, standards and other obligations, could result in additional cost and liability to us, damage our reputation, inhibit sales and adversely affect our business. Furthermore, the costs of compliance with, and other burdens imposed by, the laws, regulations, standards and policies that are applicable to the businesses of our Customers may limit the use and adoption of, and reduce the overall demand for, our Platform and our products and services.</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Additionally, if third parties we work with, such as our partners or vendors, violate applicable laws or our policies, such violations may also put information we process at risk and could in turn adversely affect our business, reputation, financial condition, or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are subject to anti-corruption, anti-bribery, and similar laws, and non-compliance with such laws can subject us to criminal penalties or significant fines and adversely affect our business and reputation.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are subject to anti-corruption and anti-bribery and similar laws, such as the U.S. Foreign Corrupt Practices Act of 1977, as amended, or the FCPA, the U.S. domestic bribery statute contained in 18 U.S.C. § 201, the U.S. Travel Act, the USA PATRIOT Act, the U.K. Bribery Act 2010,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31F20"/>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we outsource certain of our business operations to, will not take actions in violation of our policies and applicable law, for which we may be ultimately held responsible.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changes in applicable export or economic sanctions regulations may create delays in the introduction and deployment of our Platform, products, and services in international markets, or, in some cases, prevent the 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condensed consolidated financial statements or cause us to fail to meet our periodic reporting obligations.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recent periods, we have experienced rapid growth, and this growth has placed considerable strain on our IT and settlement operations systems, processes, and personnel. As a result of monitoring our internal controls,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The material weakness that we identified occurred because we had inadequate processes and controls to ensure the timely reconciliations of certain customer-related settlement bank accounts.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To address this material weakness, we are deploying additional engineering, and settlement operations personnel and are implementing process level and monitoring controls to ensure timely reconciliation of these customer-related settlement bank accounts. We will not be able to sufficiently remediate these control deficiencies until these steps have been completed and the controls have been operating effectively for a sufficient period of time. While we are undertaking efforts to remediate this material weakness, we cannot predict the success of such efforts or the outcome of our assessment of the remediation efforts at this time. We can give no assurance that our efforts will remediate this deficiency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condensed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As a public company, we are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we have worked to improve the controls around our key accounting processes and our quarterly close process, we have implemented a number of new systems to supplement our core enterprise resource planning system as part of our control environment, and we have hired additional accounting and finance personnel to help us implement these processes and controls.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As a result of monitoring our internal controls for the year ended December 31, 2019, we identified a material weakness in our internal control over financial reporting. To address this material weakness, we are deploying additional engineering, and settlement operations personnel and are implementing process level and monitoring controls to ensure timely reconciliation of these customer-related settlement bank accounts.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above in “—We have identified a material weakness in our internal control over financial reporting and may identify additional material weaknesses in the future or otherwise fail to maintain an effective system of internal controls, which may result in material misstatements of our condensed consolidated financial statements or cause us to fail to meet our periodic reporting obligations.”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Our current controls and any new controls that we develop may become inadequate because of changes in conditions in our business. Further, additional deficiencies in our disclosure controls and internal control over financial reporting may be discovered in the future. Any failure to develop or maintain effective controls or any difficulties encountered in their implementation or improvement could adversely affect our results of operations or cause us to fail to meet our reporting obligations and may result in a restatement of our financial statements for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In addition,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 As a public company, we are required to provide an annual management report on the effectiveness of our internal control over financial reporting commencing with our second Annual Report on Form 10-K.</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or practices may cause adverse, unexpected financial reporting fluctuations and affect our results of operations.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results of operations or the way we conduct our business.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have not collected sales, value added or similar indirect taxes in all jurisdictions in which we have sales. One or more jurisdictions may seek to impose incremental or new sales, value added or other indirect tax collection obligations on us. Additionally, the Supreme Court of the United States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The requirement to collect sales, value added or similar indirect taxes by foreign, state or local governments for sellers that do not have a physical presence in the jurisdiction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tax laws or regulations could have a material adverse effect on our business, results of operations, and financial conditions.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rules dealing with U.S. federal, state, and local income taxation are constantly under review by persons involved in the legislative process and by the Internal Revenue Service, the U.S. Department of the Treasury, and state and local tax authorities. Changes in U.S. tax laws or their interpretations (which may have retroactive application), such as, for example, President Biden’s plan which, includes significant modifications to key provisions of the existing U.S. corporate income tax regime such as an increased tax rate, promotion of a global minimum tax, and other changes that address taxes on profits from intangible assets and activities of foreign subsidiaries. In July 2021, finance leaders for the Group of 20 countries agreed to back a new global minimum tax rate that would apply regardless of location of headquarters or physical presence. Although uncertain, if some or all of these proposals are enacted and applicable to us, they could materially increase the amount of taxes we owe, thereby negatively impacting our results of 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 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potentially adversely affecting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may have exposure to greater-than-anticipated tax liabilities, which may materially and adversely affect our business, results of operations, and financial condition.</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our net operating losses to offset future taxable income may be subject to certain limitations.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We do not believe our existing NOLs are subject to limitation; however, if we have undergone previous ownership changes, or if we undergo an ownership change in the future,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the amount of NOLs arising in taxable years beginning after December 31, 2017 that we are permitted to deduct in a taxable year beginning after December 31, 2020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For example, California recently enacted legislation suspending the use of NOLs for taxable years 2020, 2021 and 2022 for many taxpayers.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Furthermore, our ability to utilize our NOLs is conditioned upon our becoming profitable in the future and generating U.S. federal taxable income. Since we do not know whether or when we will generate the U.S. federal taxable income necessary to utilize our remaining NOLs, the portion of our NOLs that was generated in taxable years beginning on or prior to December 31, 2017 could expire unused.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Intellectual Property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adequately protect our proprietary rights, our competitive position could be impaired and we may lose valuable assets, generate reduced net revenue, and incur costly litigation to protect our rights.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 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such technology could impair our ability to compete.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use of open source software could negatively affect our ability to sell our products and subject us to possible litigation.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accused of infringing the intellectual property rights of third parties.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 existing solutions, which could severely weaken our business. Even if we are successful in defending against these claims, litigation efforts are costly, time-consuming and a significant distraction to management.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 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Ownership of Our Class A Common Stock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The trading price of our Class A common stock has been and is likely to continue to be volatile or may decline regardless of our operating performance, and you may not be able to resell your shares at or above the price at which you purchased such shares.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The market prices of the securities of other newly public companies have historically been highly volatile and markets in general have been highly volatile in light of the COVID-19 pandemic. The trading price of our Class A common stock may continue to fluctuate significantly in response to numerous factors, many of which are beyond our control, including:</w:t>
      </w:r>
    </w:p>
    <w:p>
      <w:pPr>
        <w:spacing w:after="0" w:line="9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fintech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cybersecurity in the United States or globally;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or elections, or responses to these events;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stock markets, and the market for technology and fintech companies in particular, have experienced price and volume fluctuations that have affected and continue to affect the market prices of equity securities of many companies. Often, trading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trading price of our Class A common stock could decline substantially. Such a trading price decline could occur even when we have met any previously publicly stated net revenue or earnings forecasts that we may provide.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31F20"/>
        </w:rPr>
        <w:t>The dual class structure of our common stock has the effect of concentrating voting control with those stockholders who hold shares of our Class B common stock, including our directors, executive officers, and their respective affiliates. This ownership limits or precludes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Our Class B common stock has 10 votes per share, and our Class A common stock has one vote per share. Our directors, executive officers, and their affiliates, beneficially own in the aggregate 32.2% of the voting power of our capital stock. Because of the ten-to-one voting ratio between our Class B and Class A common stock, the holders of our Class B common stock collectively continue to control a majority of the combined voting power of our common stock and therefore control all matters submitted to our stockholders for approval and may continue to control such matters until the tenth anniversary of our initial public offering, when all outstanding shares of Class A common stock and Class B common stock will convert automatically into shares of a single class of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cannot predict the effect our dual class structure may have on the trading price of our Class A common stock.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We cannot predict whether our dual class structure will result in a lower or more volatile trading price of our Class A common stock, adverse publicity, or other adverse consequences. For example, certain index providers have announced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such announced policies, the dual class structure of our common stock would make us ineligible for inclusion in certain indices and, as a result, mutual funds, exchange-traded funds, and other investment vehicles that attempt to passively track those indices may not invest in our Class A common stock. These policies are relatively new and it is unclear what effect, if any, they will have or continue to have on the valuations of publicly 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We are an emerging growth company, and, for as long as we continue to be an emerging growth company, we may choose to take advantage of exemptions from various reporting requirements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231F20"/>
        </w:rPr>
        <w:t>applicable to other public companies but not to “emerging growth companies,” including:</w:t>
      </w:r>
    </w:p>
    <w:p>
      <w:pPr>
        <w:spacing w:after="0" w:line="117" w:lineRule="exact"/>
        <w:rPr>
          <w:sz w:val="20"/>
          <w:szCs w:val="20"/>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 Oxley Act;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could be an emerging growth company for up to five years following the completion of our IPO. Our status as an emerging growth company will end as soon as any of the following takes place:</w:t>
      </w:r>
    </w:p>
    <w:p>
      <w:pPr>
        <w:spacing w:after="0" w:line="9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our IPO.</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trading price of our Class A common stock may be more volatile.</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the trading price of our Class A common stock and trading volume could be adversely affected.</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trading market for our Class A common stock will depend in part on the research and reports that securities or industry analysts publish about us or our business. If few securities analysts cover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trading price would likely decline. If one or more of these analysts cease coverage of us or fail to publish reports on us on a regular basis, demand for our Class A common stock could decrease, potentially causing our Class A common stock trading price and trading volume to decline.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Sales of substantial amounts of our Class A common stock in the public markets, such as when our lock-up restrictions are released, or the perception that sales might occur, could cause the trading price of our Class A common stock to decline.</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Sales of a substantial number of shares of our Class A common stock into the public market, particularly sales by our directors, executive officers, and principal stockholders, or the perception that these sales might occur, could cause the trading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Substantially all of our securities outstanding are currently restricted from resale as a result of lock-up and market standoff agreements. These securities will become available to be sold 180 days after the date of our IPO, subject to earlier release of our officers, directors, and other holders from the restrictions contained in such agreements on the earlier of (i) the opening of trading on the second trading day immediately following our release of earnings for the quarter ended September 30, 2021 and (ii) 180 days after the date of the Prospectus.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lead underwriters for our IPO may, in their discretion, permit our security holders to sell shares prior to the expiration of the restrictive provisions contained in the lock-up agreements. Sales of a substantial number of such shares upon expiration of the lock-up and market standoff agreements, the perception that such sales may occur, or early release of these agreements could cause our trading price to fall or make it more difficult for you to sell your Class A common stock at a time and price that you deem appropriate. Shares held by directors, executive officers, and other affiliates are subject to volume limitations under Rule 144 under the Securities Act, and various vesting agreements.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In addition, as of June 30, 2021, we had 48,319,951 options outstanding that, if fully exercised, would result in the issuance of shares of Class B common stock, as well as 8,423,137 shares of Class B common stock subject to RSU awards. All of the shares of Class B common stock issuable upon the exercise of stock options, and the shares reserved for future issuance under our equity incentive plans are registered for public resale under the Securities Act following conversion to shares of Class A common stock.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Certain holders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issuance of additional capital stock in connection with financings, acquisitions, investments, our stock incentive plans or otherwise will dilute all other stockholders and could negatively affect our results of operations.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Any additional grants of equity awards under our stock incentive plans will also increase share-based compensation expense and negatively affect our results of operations.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Commencing in 2020, we began granting RSUs to employees. RSUs granted prior to April 1, 2021 vest upon the satisfaction of both a service condition and a liquidity condition. The service condition for these awards is satisfied over four years. The liquidity condition for these awards is satisfied upon the occurrence of a change in control of the Company or the consummation of an initial public offering of our equity securities, as defined in such RSU agreements. In June 2021, we completed our IPO and the liquidity condition was satisfied. Subsequent to the IPO, these RSUs vest over the remaining service period.</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and six months ended June 30, 2021, share-based compensation expense recognized for RSUs was $30.1 million, which represented $ 23.1 million of cumulative prior service as of the IPO completion date for RSUs that vest upon the satisfaction of both a service condition and a liquidity condition, and $7.0 million of expense for RSUs granted during the three months ended June 30, 2021 that vest upon the satisfaction of only a service vesting condition. During the three and six months ended June 30, 2020, no share-based compensation expense was recognized for RSUs because the liquidity condition had not yet occurred.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unrecognized compensation costs related to unvested RSUs was $106.3 million. These costs are expected to be recognized over a period of 3.3 years.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and May 2021, our board of directors granted our Chief Executive Officer equity incentive awards in the form of performance-based stock options covering 19,740,923 and 47,267 shares of our Class B common stock with an exercise price of $21.49 and $23.40 per share, respectively, or, collectively, the CEO Long-Term Performance Award. The CEO Long-Term Performance Award vests upon the satisfaction of a service condition and the achievement of certain stock price goals.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the aggregate unrecognized compensation cost related to the CEO Long-Term Performance Award was $197.0 million, which is expected to be recognized over the remaining derived service period of 4.6 years.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9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8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stockholder action by written consent, thereby requiring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amended and restated bylaws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Our amended and restated bylaws provide that, unless we consent in writing to the selection of an alternative forum, to the fullest extent permitted by law, the Court of Chancery of the State of Delaware is the sole and exclusive forum for any state law claims for:</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our stockholders;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The Delaware Forum Provision does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we are incorporated in the State of Delaware.</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General Risk Factors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floods, and other natural catastrophic events, and to interruption by man-made problems such as power disruptions, computer viruses, data security breaches, or terrorism.</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Our corporate headquarters are located in the San Francisco Bay Area, a region known for seismic activity and wildfires. A significant natural disaster, such as an earthquake, fire, or flood, occurring at our headquarters, at one of our other facilities, or where a vendor is located, could adversely affect our business, results of operations, and financial condition. Further, if a natural disaster or man-made problem were to affect our vendors, this could adversely affect the ability of our Customers to use our Platform. In addition, natural disasters and acts of terrorism could cause disruptions in our or our Customers’ businesses, national economies, or the world economy as a whole. Health concerns or political or governmental developments in countries where we or our Customers and vendors operate could result in economic, social, or labor instability and could have a material adverse effect on our business, results of operations, and financial condition.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in part or in full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addition, computer malware, viruses, computer hacking, fraudulent use attempts, and phishing attacks have become more prevalent generally and in our industry, have occurred on our Platform in the past, and may occur on our Platform in the future. Though it is difficult to determine fully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The requirements of being a public company may strain our resources, divert management’s attention and affect our ability to attract and retain executive management and qualified board members.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Being a public company and being subject to these new rules and regulations makes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require significant attention from our management and could divert their attention away from the day-to-day management of our business, potentially adversely affecting our business, results of operations, and financial condition.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 June 16, 2021, two warrants to purchase up to an aggregate of 669,528 shares of our Class B common stock were net exercised for 668,412 shares of our Class B common stock.</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Additionally, the following sets forth information regarding all unregistered securities granted or sold pursuant to our Amended and Restated 2011 Equity Incentive Plan from April 1, 2021 through June 8, 2021 (the date of the filing of our registration statement on Form S-8):</w:t>
      </w:r>
    </w:p>
    <w:p>
      <w:pPr>
        <w:spacing w:after="0" w:line="36" w:lineRule="exact"/>
        <w:rPr>
          <w:sz w:val="20"/>
          <w:szCs w:val="20"/>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granted to our directors, employees, consultants and other service providers options to purchase an aggregate of 25,033,191 shares of our common stock with per share exercise prices ranging from $21.49 to $23.40.</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issued and sold to our directors, employees, consultants and other service providers an aggregate of 859,343 shares of our common stock at per share purchase prices ranging from $0.04 to $10.48 pursuant to exercises of options granted.</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granted to our employees, consultants and other service providers an aggregate of 3,190,913 restricted stock units to be settled in shares of our common stock.</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these transactions were exempt from registration under the Securities Act in reliance upon Section 4(a)(2) of the Securities Act,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Marqeta,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contains information relating to the repurchases of our common stock made by us in the three months ended June 30,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2"/>
          </w:tcPr>
          <w:p>
            <w:pPr>
              <w:ind w:left="660"/>
              <w:spacing w:after="0"/>
              <w:rPr>
                <w:sz w:val="20"/>
                <w:szCs w:val="20"/>
                <w:color w:val="auto"/>
              </w:rPr>
            </w:pPr>
            <w:r>
              <w:rPr>
                <w:rFonts w:ascii="Arial" w:cs="Arial" w:eastAsia="Arial" w:hAnsi="Arial"/>
                <w:sz w:val="13"/>
                <w:szCs w:val="13"/>
                <w:b w:val="1"/>
                <w:bCs w:val="1"/>
                <w:color w:val="auto"/>
              </w:rPr>
              <w:t>Total Number of Shares</w:t>
            </w:r>
          </w:p>
        </w:tc>
        <w:tc>
          <w:tcPr>
            <w:tcW w:w="54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92"/>
        </w:trPr>
        <w:tc>
          <w:tcPr>
            <w:tcW w:w="5700" w:type="dxa"/>
            <w:vAlign w:val="bottom"/>
            <w:tcBorders>
              <w:bottom w:val="single" w:sz="8" w:color="auto"/>
            </w:tcBorders>
          </w:tcPr>
          <w:p>
            <w:pPr>
              <w:ind w:left="2800"/>
              <w:spacing w:after="0"/>
              <w:rPr>
                <w:sz w:val="20"/>
                <w:szCs w:val="20"/>
                <w:color w:val="auto"/>
              </w:rPr>
            </w:pPr>
            <w:r>
              <w:rPr>
                <w:rFonts w:ascii="Arial" w:cs="Arial" w:eastAsia="Arial" w:hAnsi="Arial"/>
                <w:sz w:val="13"/>
                <w:szCs w:val="13"/>
                <w:b w:val="1"/>
                <w:bCs w:val="1"/>
                <w:color w:val="auto"/>
              </w:rPr>
              <w:t>Period</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right"/>
              <w:ind w:right="778"/>
              <w:spacing w:after="0" w:line="192" w:lineRule="exact"/>
              <w:rPr>
                <w:sz w:val="20"/>
                <w:szCs w:val="20"/>
                <w:color w:val="auto"/>
              </w:rPr>
            </w:pPr>
            <w:r>
              <w:rPr>
                <w:rFonts w:ascii="Arial" w:cs="Arial" w:eastAsia="Arial" w:hAnsi="Arial"/>
                <w:sz w:val="13"/>
                <w:szCs w:val="13"/>
                <w:b w:val="1"/>
                <w:bCs w:val="1"/>
                <w:color w:val="auto"/>
              </w:rPr>
              <w:t>Purchased</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Average Price Paid per Share</w:t>
            </w:r>
          </w:p>
        </w:tc>
      </w:tr>
      <w:tr>
        <w:trPr>
          <w:trHeight w:val="237"/>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 2021</w:t>
            </w:r>
          </w:p>
        </w:tc>
        <w:tc>
          <w:tcPr>
            <w:tcW w:w="26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May 2021</w:t>
            </w:r>
          </w:p>
        </w:tc>
        <w:tc>
          <w:tcPr>
            <w:tcW w:w="250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50"/>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2021</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firstLine="8"/>
        <w:spacing w:after="0" w:line="223" w:lineRule="auto"/>
        <w:tabs>
          <w:tab w:leader="none" w:pos="154" w:val="left"/>
        </w:tabs>
        <w:numPr>
          <w:ilvl w:val="0"/>
          <w:numId w:val="34"/>
        </w:numPr>
        <w:rPr>
          <w:rFonts w:ascii="Arial" w:cs="Arial" w:eastAsia="Arial" w:hAnsi="Arial"/>
          <w:sz w:val="17"/>
          <w:szCs w:val="17"/>
          <w:color w:val="auto"/>
          <w:vertAlign w:val="superscript"/>
        </w:rPr>
      </w:pPr>
      <w:r>
        <w:rPr>
          <w:rFonts w:ascii="Arial" w:cs="Arial" w:eastAsia="Arial" w:hAnsi="Arial"/>
          <w:sz w:val="12"/>
          <w:szCs w:val="12"/>
          <w:color w:val="auto"/>
        </w:rPr>
        <w:t>Represents shares of unvested common stock previously issued upon early exercise of unvested stock options that were repurchased by us from former employees upon their termination in accordance with the terms of their stock option agreements. We purchased the shares from the former employees at the respective original exercise prices.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Class A Common Stock</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11, 2021, we closed our initial public offering of 52,272,727 shares of our Class A common stock at an offering price of $27.00 per share, including 6,818,181 shares pursuant to the exercise of the underwriters’ option to purchase additional shares of our Class A common stock, resulting in aggregate net proceeds to us of $1.3 billion after deducting underwriting discounts and commissions of $91.6 million, and offering costs of $7.5 million. All of the shares issued and sold in our initial public offering were registered under the Securities Act pursuant to a registration statement on Form S-1 (File No. 333-256154), which was declared effective by the SEC on June 8, 2021. Goldman Sachs &amp; Co. LLC and J.P. Morgan Securities LLC acted as representatives of the underwriters for the offering. Upon completion of the sale of the shares of our Class A common stock referenced in the preceding sentences, the initial public offering terminated.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used $10.9 million of the net proceeds from our initial public offering to satisfy the tax withholding and remittance obligations related to the settlement of our outstanding RSUs in connection with the offering. There has been no material change in the planned use of proceeds from our initial public offering from that disclosed in the Prospectus.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to our affiliates in connection with the issuance and sale of the securities registered.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2"/>
        </w:trPr>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25"/>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580" w:type="dxa"/>
            <w:vAlign w:val="bottom"/>
            <w:tcBorders>
              <w:top w:val="single" w:sz="8" w:color="auto"/>
            </w:tcBorders>
            <w:gridSpan w:val="31"/>
          </w:tcPr>
          <w:p>
            <w:pPr>
              <w:spacing w:after="0" w:line="169" w:lineRule="exact"/>
              <w:rPr>
                <w:rFonts w:ascii="Arial" w:cs="Arial" w:eastAsia="Arial" w:hAnsi="Arial"/>
                <w:sz w:val="16"/>
                <w:szCs w:val="16"/>
                <w:color w:val="0000FF"/>
              </w:rPr>
            </w:pPr>
            <w:hyperlink r:id="rId118">
              <w:r>
                <w:rPr>
                  <w:rFonts w:ascii="Arial" w:cs="Arial" w:eastAsia="Arial" w:hAnsi="Arial"/>
                  <w:sz w:val="16"/>
                  <w:szCs w:val="16"/>
                  <w:color w:val="0000FF"/>
                </w:rPr>
                <w:t>Amended and Restated Certificate of Incorporation of the Registrant.</w:t>
              </w:r>
            </w:hyperlink>
          </w:p>
        </w:tc>
      </w:tr>
      <w:tr>
        <w:trPr>
          <w:trHeight w:val="209"/>
        </w:trPr>
        <w:tc>
          <w:tcPr>
            <w:tcW w:w="10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top w:val="single" w:sz="8" w:color="0000FF"/>
              <w:bottom w:val="single" w:sz="8" w:color="0000FF"/>
            </w:tcBorders>
            <w:gridSpan w:val="14"/>
          </w:tcPr>
          <w:p>
            <w:pPr>
              <w:spacing w:after="0"/>
              <w:rPr>
                <w:rFonts w:ascii="Arial" w:cs="Arial" w:eastAsia="Arial" w:hAnsi="Arial"/>
                <w:sz w:val="16"/>
                <w:szCs w:val="16"/>
                <w:color w:val="0000FF"/>
              </w:rPr>
            </w:pPr>
            <w:hyperlink r:id="rId119">
              <w:r>
                <w:rPr>
                  <w:rFonts w:ascii="Arial" w:cs="Arial" w:eastAsia="Arial" w:hAnsi="Arial"/>
                  <w:sz w:val="16"/>
                  <w:szCs w:val="16"/>
                  <w:color w:val="0000FF"/>
                </w:rPr>
                <w:t>Amended and Restated Bylaws of the Registrant.</w:t>
              </w:r>
            </w:hyperlink>
          </w:p>
        </w:tc>
        <w:tc>
          <w:tcPr>
            <w:tcW w:w="1380" w:type="dxa"/>
            <w:vAlign w:val="bottom"/>
            <w:tcBorders>
              <w:top w:val="single" w:sz="8" w:color="0000FF"/>
            </w:tcBorders>
            <w:gridSpan w:val="4"/>
          </w:tcPr>
          <w:p>
            <w:pPr>
              <w:spacing w:after="0"/>
              <w:rPr>
                <w:sz w:val="18"/>
                <w:szCs w:val="18"/>
                <w:color w:val="auto"/>
              </w:rPr>
            </w:pPr>
          </w:p>
        </w:tc>
        <w:tc>
          <w:tcPr>
            <w:tcW w:w="660" w:type="dxa"/>
            <w:vAlign w:val="bottom"/>
            <w:gridSpan w:val="13"/>
          </w:tcPr>
          <w:p>
            <w:pPr>
              <w:spacing w:after="0"/>
              <w:rPr>
                <w:sz w:val="18"/>
                <w:szCs w:val="18"/>
                <w:color w:val="auto"/>
              </w:rPr>
            </w:pPr>
          </w:p>
        </w:tc>
      </w:tr>
      <w:tr>
        <w:trPr>
          <w:trHeight w:val="209"/>
        </w:trPr>
        <w:tc>
          <w:tcPr>
            <w:tcW w:w="10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31"/>
          </w:tcPr>
          <w:p>
            <w:pPr>
              <w:spacing w:after="0"/>
              <w:rPr>
                <w:rFonts w:ascii="Arial" w:cs="Arial" w:eastAsia="Arial" w:hAnsi="Arial"/>
                <w:sz w:val="16"/>
                <w:szCs w:val="16"/>
                <w:color w:val="0000FF"/>
              </w:rPr>
            </w:pPr>
            <w:hyperlink r:id="rId120">
              <w:r>
                <w:rPr>
                  <w:rFonts w:ascii="Arial" w:cs="Arial" w:eastAsia="Arial" w:hAnsi="Arial"/>
                  <w:sz w:val="16"/>
                  <w:szCs w:val="16"/>
                  <w:color w:val="0000FF"/>
                </w:rPr>
                <w:t>Form of Class A common stock certificate of the Registrant.</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tcBorders>
              <w:bottom w:val="single" w:sz="8" w:color="0000FF"/>
            </w:tcBorders>
            <w:gridSpan w:val="30"/>
          </w:tcPr>
          <w:p>
            <w:pPr>
              <w:spacing w:after="0"/>
              <w:rPr>
                <w:rFonts w:ascii="Arial" w:cs="Arial" w:eastAsia="Arial" w:hAnsi="Arial"/>
                <w:sz w:val="16"/>
                <w:szCs w:val="16"/>
                <w:color w:val="0000FF"/>
              </w:rPr>
            </w:pPr>
            <w:hyperlink r:id="rId121">
              <w:r>
                <w:rPr>
                  <w:rFonts w:ascii="Arial" w:cs="Arial" w:eastAsia="Arial" w:hAnsi="Arial"/>
                  <w:sz w:val="16"/>
                  <w:szCs w:val="16"/>
                  <w:color w:val="0000FF"/>
                </w:rPr>
                <w:t>Amended and Restated Investors Rights Agreement, dated May 27, 2020, by</w:t>
              </w:r>
            </w:hyperlink>
          </w:p>
        </w:tc>
        <w:tc>
          <w:tcPr>
            <w:tcW w:w="40" w:type="dxa"/>
            <w:vAlign w:val="bottom"/>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bottom w:val="single" w:sz="8" w:color="0000FF"/>
            </w:tcBorders>
            <w:gridSpan w:val="15"/>
          </w:tcPr>
          <w:p>
            <w:pPr>
              <w:spacing w:after="0" w:line="155" w:lineRule="exact"/>
              <w:rPr>
                <w:rFonts w:ascii="Arial" w:cs="Arial" w:eastAsia="Arial" w:hAnsi="Arial"/>
                <w:sz w:val="16"/>
                <w:szCs w:val="16"/>
                <w:color w:val="0000FF"/>
              </w:rPr>
            </w:pPr>
            <w:hyperlink r:id="rId121">
              <w:r>
                <w:rPr>
                  <w:rFonts w:ascii="Arial" w:cs="Arial" w:eastAsia="Arial" w:hAnsi="Arial"/>
                  <w:sz w:val="16"/>
                  <w:szCs w:val="16"/>
                  <w:color w:val="0000FF"/>
                </w:rPr>
                <w:t>and among the Registrant and certain of its stockholders.</w:t>
              </w:r>
            </w:hyperlink>
          </w:p>
        </w:tc>
        <w:tc>
          <w:tcPr>
            <w:tcW w:w="1480" w:type="dxa"/>
            <w:vAlign w:val="bottom"/>
            <w:gridSpan w:val="16"/>
          </w:tcPr>
          <w:p>
            <w:pPr>
              <w:spacing w:after="0"/>
              <w:rPr>
                <w:sz w:val="13"/>
                <w:szCs w:val="13"/>
                <w:color w:val="auto"/>
              </w:rPr>
            </w:pPr>
          </w:p>
        </w:tc>
      </w:tr>
      <w:tr>
        <w:trPr>
          <w:trHeight w:val="209"/>
        </w:trPr>
        <w:tc>
          <w:tcPr>
            <w:tcW w:w="10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tcBorders>
              <w:bottom w:val="single" w:sz="8" w:color="0000FF"/>
            </w:tcBorders>
            <w:gridSpan w:val="29"/>
          </w:tcPr>
          <w:p>
            <w:pPr>
              <w:spacing w:after="0"/>
              <w:rPr>
                <w:rFonts w:ascii="Arial" w:cs="Arial" w:eastAsia="Arial" w:hAnsi="Arial"/>
                <w:sz w:val="16"/>
                <w:szCs w:val="16"/>
                <w:color w:val="0000FF"/>
              </w:rPr>
            </w:pPr>
            <w:hyperlink r:id="rId122">
              <w:r>
                <w:rPr>
                  <w:rFonts w:ascii="Arial" w:cs="Arial" w:eastAsia="Arial" w:hAnsi="Arial"/>
                  <w:sz w:val="16"/>
                  <w:szCs w:val="16"/>
                  <w:color w:val="0000FF"/>
                </w:rPr>
                <w:t>Warrant to Purchase Stock issued to Comerica Ventures Incorporated by the</w:t>
              </w:r>
            </w:hyperlink>
          </w:p>
        </w:tc>
        <w:tc>
          <w:tcPr>
            <w:tcW w:w="60" w:type="dxa"/>
            <w:vAlign w:val="bottom"/>
            <w:gridSpan w:val="2"/>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bottom w:val="single" w:sz="8" w:color="0000FF"/>
            </w:tcBorders>
            <w:gridSpan w:val="9"/>
          </w:tcPr>
          <w:p>
            <w:pPr>
              <w:spacing w:after="0" w:line="155" w:lineRule="exact"/>
              <w:rPr>
                <w:rFonts w:ascii="Arial" w:cs="Arial" w:eastAsia="Arial" w:hAnsi="Arial"/>
                <w:sz w:val="16"/>
                <w:szCs w:val="16"/>
                <w:color w:val="0000FF"/>
              </w:rPr>
            </w:pPr>
            <w:hyperlink r:id="rId122">
              <w:r>
                <w:rPr>
                  <w:rFonts w:ascii="Arial" w:cs="Arial" w:eastAsia="Arial" w:hAnsi="Arial"/>
                  <w:sz w:val="16"/>
                  <w:szCs w:val="16"/>
                  <w:color w:val="0000FF"/>
                </w:rPr>
                <w:t>Registrant, dated October 11, 2013.</w:t>
              </w:r>
            </w:hyperlink>
          </w:p>
        </w:tc>
        <w:tc>
          <w:tcPr>
            <w:tcW w:w="3000" w:type="dxa"/>
            <w:vAlign w:val="bottom"/>
            <w:gridSpan w:val="22"/>
          </w:tcPr>
          <w:p>
            <w:pPr>
              <w:spacing w:after="0"/>
              <w:rPr>
                <w:sz w:val="13"/>
                <w:szCs w:val="13"/>
                <w:color w:val="auto"/>
              </w:rPr>
            </w:pPr>
          </w:p>
        </w:tc>
      </w:tr>
      <w:tr>
        <w:trPr>
          <w:trHeight w:val="209"/>
        </w:trPr>
        <w:tc>
          <w:tcPr>
            <w:tcW w:w="100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tcBorders>
              <w:bottom w:val="single" w:sz="8" w:color="0000FF"/>
            </w:tcBorders>
            <w:gridSpan w:val="29"/>
          </w:tcPr>
          <w:p>
            <w:pPr>
              <w:spacing w:after="0"/>
              <w:rPr>
                <w:rFonts w:ascii="Arial" w:cs="Arial" w:eastAsia="Arial" w:hAnsi="Arial"/>
                <w:sz w:val="16"/>
                <w:szCs w:val="16"/>
                <w:color w:val="0000FF"/>
              </w:rPr>
            </w:pPr>
            <w:hyperlink r:id="rId123">
              <w:r>
                <w:rPr>
                  <w:rFonts w:ascii="Arial" w:cs="Arial" w:eastAsia="Arial" w:hAnsi="Arial"/>
                  <w:sz w:val="16"/>
                  <w:szCs w:val="16"/>
                  <w:color w:val="0000FF"/>
                </w:rPr>
                <w:t>Warrant to Purchase Stock issued to Comerica Ventures Incorporated by the</w:t>
              </w:r>
            </w:hyperlink>
          </w:p>
        </w:tc>
        <w:tc>
          <w:tcPr>
            <w:tcW w:w="60" w:type="dxa"/>
            <w:vAlign w:val="bottom"/>
            <w:gridSpan w:val="2"/>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gridSpan w:val="31"/>
          </w:tcPr>
          <w:p>
            <w:pPr>
              <w:spacing w:after="0" w:line="155" w:lineRule="exact"/>
              <w:rPr>
                <w:rFonts w:ascii="Arial" w:cs="Arial" w:eastAsia="Arial" w:hAnsi="Arial"/>
                <w:sz w:val="16"/>
                <w:szCs w:val="16"/>
                <w:color w:val="0000FF"/>
              </w:rPr>
            </w:pPr>
            <w:hyperlink r:id="rId123">
              <w:r>
                <w:rPr>
                  <w:rFonts w:ascii="Arial" w:cs="Arial" w:eastAsia="Arial" w:hAnsi="Arial"/>
                  <w:sz w:val="16"/>
                  <w:szCs w:val="16"/>
                  <w:color w:val="0000FF"/>
                </w:rPr>
                <w:t>Registrant, dated October 11, 2013</w:t>
              </w:r>
              <w:r>
                <w:rPr>
                  <w:rFonts w:ascii="Arial" w:cs="Arial" w:eastAsia="Arial" w:hAnsi="Arial"/>
                  <w:sz w:val="16"/>
                  <w:szCs w:val="16"/>
                  <w:color w:val="000000"/>
                </w:rPr>
                <w:t>.</w:t>
              </w:r>
            </w:hyperlink>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4.5†</w:t>
            </w:r>
          </w:p>
        </w:tc>
        <w:tc>
          <w:tcPr>
            <w:tcW w:w="20" w:type="dxa"/>
            <w:vAlign w:val="bottom"/>
          </w:tcPr>
          <w:p>
            <w:pPr>
              <w:spacing w:after="0"/>
              <w:rPr>
                <w:sz w:val="18"/>
                <w:szCs w:val="18"/>
                <w:color w:val="auto"/>
              </w:rPr>
            </w:pPr>
          </w:p>
        </w:tc>
        <w:tc>
          <w:tcPr>
            <w:tcW w:w="5580" w:type="dxa"/>
            <w:vAlign w:val="bottom"/>
            <w:gridSpan w:val="31"/>
          </w:tcPr>
          <w:p>
            <w:pPr>
              <w:spacing w:after="0"/>
              <w:rPr>
                <w:rFonts w:ascii="Arial" w:cs="Arial" w:eastAsia="Arial" w:hAnsi="Arial"/>
                <w:sz w:val="16"/>
                <w:szCs w:val="16"/>
                <w:color w:val="0000FF"/>
              </w:rPr>
            </w:pPr>
            <w:hyperlink r:id="rId124">
              <w:r>
                <w:rPr>
                  <w:rFonts w:ascii="Arial" w:cs="Arial" w:eastAsia="Arial" w:hAnsi="Arial"/>
                  <w:sz w:val="16"/>
                  <w:szCs w:val="16"/>
                  <w:color w:val="0000FF"/>
                </w:rPr>
                <w:t>Warrant to Purchase Common Stock issued to Uber Technologies, Inc. by the</w:t>
              </w:r>
            </w:hyperlink>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30"/>
          </w:tcPr>
          <w:p>
            <w:pPr>
              <w:spacing w:after="0" w:line="155" w:lineRule="exact"/>
              <w:rPr>
                <w:rFonts w:ascii="Arial" w:cs="Arial" w:eastAsia="Arial" w:hAnsi="Arial"/>
                <w:sz w:val="16"/>
                <w:szCs w:val="16"/>
                <w:color w:val="0000FF"/>
              </w:rPr>
            </w:pPr>
            <w:hyperlink r:id="rId124">
              <w:r>
                <w:rPr>
                  <w:rFonts w:ascii="Arial" w:cs="Arial" w:eastAsia="Arial" w:hAnsi="Arial"/>
                  <w:sz w:val="16"/>
                  <w:szCs w:val="16"/>
                  <w:color w:val="0000FF"/>
                </w:rPr>
                <w:t>Registrant, dated September 15, 2020, as amended on January 7, 2021.</w:t>
              </w:r>
            </w:hyperlink>
          </w:p>
        </w:tc>
        <w:tc>
          <w:tcPr>
            <w:tcW w:w="40" w:type="dxa"/>
            <w:vAlign w:val="bottom"/>
          </w:tcPr>
          <w:p>
            <w:pPr>
              <w:spacing w:after="0"/>
              <w:rPr>
                <w:sz w:val="13"/>
                <w:szCs w:val="13"/>
                <w:color w:val="auto"/>
              </w:rPr>
            </w:pPr>
          </w:p>
        </w:tc>
      </w:tr>
      <w:tr>
        <w:trPr>
          <w:trHeight w:val="209"/>
        </w:trPr>
        <w:tc>
          <w:tcPr>
            <w:tcW w:w="11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4.6†</w:t>
            </w:r>
          </w:p>
        </w:tc>
        <w:tc>
          <w:tcPr>
            <w:tcW w:w="20" w:type="dxa"/>
            <w:vAlign w:val="bottom"/>
          </w:tcPr>
          <w:p>
            <w:pPr>
              <w:spacing w:after="0"/>
              <w:rPr>
                <w:sz w:val="18"/>
                <w:szCs w:val="18"/>
                <w:color w:val="auto"/>
              </w:rPr>
            </w:pPr>
          </w:p>
        </w:tc>
        <w:tc>
          <w:tcPr>
            <w:tcW w:w="5200" w:type="dxa"/>
            <w:vAlign w:val="bottom"/>
            <w:tcBorders>
              <w:top w:val="single" w:sz="8" w:color="0000FF"/>
            </w:tcBorders>
            <w:gridSpan w:val="20"/>
          </w:tcPr>
          <w:p>
            <w:pPr>
              <w:spacing w:after="0"/>
              <w:rPr>
                <w:rFonts w:ascii="Arial" w:cs="Arial" w:eastAsia="Arial" w:hAnsi="Arial"/>
                <w:sz w:val="16"/>
                <w:szCs w:val="16"/>
                <w:color w:val="0000FF"/>
              </w:rPr>
            </w:pPr>
            <w:hyperlink r:id="rId125">
              <w:r>
                <w:rPr>
                  <w:rFonts w:ascii="Arial" w:cs="Arial" w:eastAsia="Arial" w:hAnsi="Arial"/>
                  <w:sz w:val="16"/>
                  <w:szCs w:val="16"/>
                  <w:color w:val="0000FF"/>
                </w:rPr>
                <w:t>Warrant to Purchase Common Stock issued to Square, Inc. by the</w:t>
              </w:r>
            </w:hyperlink>
          </w:p>
        </w:tc>
        <w:tc>
          <w:tcPr>
            <w:tcW w:w="380" w:type="dxa"/>
            <w:vAlign w:val="bottom"/>
            <w:gridSpan w:val="11"/>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125">
              <w:r>
                <w:rPr>
                  <w:rFonts w:ascii="Arial" w:cs="Arial" w:eastAsia="Arial" w:hAnsi="Arial"/>
                  <w:sz w:val="16"/>
                  <w:szCs w:val="16"/>
                  <w:color w:val="0000FF"/>
                </w:rPr>
                <w:t>Registrant, dated March 13, 2021.</w:t>
              </w:r>
            </w:hyperlink>
          </w:p>
        </w:tc>
        <w:tc>
          <w:tcPr>
            <w:tcW w:w="860" w:type="dxa"/>
            <w:vAlign w:val="bottom"/>
            <w:gridSpan w:val="14"/>
          </w:tcPr>
          <w:p>
            <w:pPr>
              <w:spacing w:after="0"/>
              <w:rPr>
                <w:sz w:val="13"/>
                <w:szCs w:val="13"/>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1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4.7†</w:t>
            </w:r>
          </w:p>
        </w:tc>
        <w:tc>
          <w:tcPr>
            <w:tcW w:w="20" w:type="dxa"/>
            <w:vAlign w:val="bottom"/>
          </w:tcPr>
          <w:p>
            <w:pPr>
              <w:spacing w:after="0"/>
              <w:rPr>
                <w:sz w:val="18"/>
                <w:szCs w:val="18"/>
                <w:color w:val="auto"/>
              </w:rPr>
            </w:pPr>
          </w:p>
        </w:tc>
        <w:tc>
          <w:tcPr>
            <w:tcW w:w="5400" w:type="dxa"/>
            <w:vAlign w:val="bottom"/>
            <w:tcBorders>
              <w:bottom w:val="single" w:sz="8" w:color="0000FF"/>
            </w:tcBorders>
            <w:gridSpan w:val="24"/>
          </w:tcPr>
          <w:p>
            <w:pPr>
              <w:spacing w:after="0"/>
              <w:rPr>
                <w:rFonts w:ascii="Arial" w:cs="Arial" w:eastAsia="Arial" w:hAnsi="Arial"/>
                <w:sz w:val="16"/>
                <w:szCs w:val="16"/>
                <w:color w:val="0000FF"/>
              </w:rPr>
            </w:pPr>
            <w:hyperlink r:id="rId126">
              <w:r>
                <w:rPr>
                  <w:rFonts w:ascii="Arial" w:cs="Arial" w:eastAsia="Arial" w:hAnsi="Arial"/>
                  <w:sz w:val="16"/>
                  <w:szCs w:val="16"/>
                  <w:color w:val="0000FF"/>
                </w:rPr>
                <w:t>Warrant to Purchase Common Stock issued to Ramp Business Corporation</w:t>
              </w:r>
            </w:hyperlink>
          </w:p>
        </w:tc>
        <w:tc>
          <w:tcPr>
            <w:tcW w:w="180" w:type="dxa"/>
            <w:vAlign w:val="bottom"/>
            <w:gridSpan w:val="7"/>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bottom w:val="single" w:sz="8" w:color="0000FF"/>
            </w:tcBorders>
            <w:gridSpan w:val="11"/>
          </w:tcPr>
          <w:p>
            <w:pPr>
              <w:spacing w:after="0" w:line="155" w:lineRule="exact"/>
              <w:rPr>
                <w:rFonts w:ascii="Arial" w:cs="Arial" w:eastAsia="Arial" w:hAnsi="Arial"/>
                <w:sz w:val="16"/>
                <w:szCs w:val="16"/>
                <w:color w:val="0000FF"/>
              </w:rPr>
            </w:pPr>
            <w:hyperlink r:id="rId126">
              <w:r>
                <w:rPr>
                  <w:rFonts w:ascii="Arial" w:cs="Arial" w:eastAsia="Arial" w:hAnsi="Arial"/>
                  <w:sz w:val="16"/>
                  <w:szCs w:val="16"/>
                  <w:color w:val="0000FF"/>
                </w:rPr>
                <w:t>by the Registrant, dated March 31, 2021.</w:t>
              </w:r>
            </w:hyperlink>
          </w:p>
        </w:tc>
        <w:tc>
          <w:tcPr>
            <w:tcW w:w="2640" w:type="dxa"/>
            <w:vAlign w:val="bottom"/>
            <w:gridSpan w:val="20"/>
          </w:tcPr>
          <w:p>
            <w:pPr>
              <w:spacing w:after="0"/>
              <w:rPr>
                <w:sz w:val="13"/>
                <w:szCs w:val="13"/>
                <w:color w:val="auto"/>
              </w:rPr>
            </w:pPr>
          </w:p>
        </w:tc>
      </w:tr>
      <w:tr>
        <w:trPr>
          <w:trHeight w:val="209"/>
        </w:trPr>
        <w:tc>
          <w:tcPr>
            <w:tcW w:w="1000" w:type="dxa"/>
            <w:vAlign w:val="bottom"/>
          </w:tcPr>
          <w:p>
            <w:pPr>
              <w:jc w:val="center"/>
              <w:spacing w:after="0" w:line="210" w:lineRule="exact"/>
              <w:rPr>
                <w:sz w:val="20"/>
                <w:szCs w:val="20"/>
                <w:color w:val="auto"/>
              </w:rPr>
            </w:pPr>
            <w:r>
              <w:rPr>
                <w:rFonts w:ascii="Arial" w:cs="Arial" w:eastAsia="Arial" w:hAnsi="Arial"/>
                <w:sz w:val="16"/>
                <w:szCs w:val="16"/>
                <w:color w:val="auto"/>
                <w:w w:val="97"/>
              </w:rPr>
              <w:t>10.1</w:t>
            </w:r>
            <w:r>
              <w:rPr>
                <w:rFonts w:ascii="Arial" w:cs="Arial" w:eastAsia="Arial" w:hAnsi="Arial"/>
                <w:sz w:val="21"/>
                <w:szCs w:val="21"/>
                <w:color w:val="auto"/>
                <w:w w:val="97"/>
                <w:vertAlign w:val="superscript"/>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31"/>
          </w:tcPr>
          <w:p>
            <w:pPr>
              <w:spacing w:after="0"/>
              <w:rPr>
                <w:rFonts w:ascii="Arial" w:cs="Arial" w:eastAsia="Arial" w:hAnsi="Arial"/>
                <w:sz w:val="16"/>
                <w:szCs w:val="16"/>
                <w:color w:val="0000FF"/>
              </w:rPr>
            </w:pPr>
            <w:hyperlink r:id="rId127">
              <w:r>
                <w:rPr>
                  <w:rFonts w:ascii="Arial" w:cs="Arial" w:eastAsia="Arial" w:hAnsi="Arial"/>
                  <w:sz w:val="16"/>
                  <w:szCs w:val="16"/>
                  <w:color w:val="0000FF"/>
                </w:rPr>
                <w:t>Form of Indemnification Agreement between the Registrant and each of its</w:t>
              </w:r>
            </w:hyperlink>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directors and executive officers.</w:t>
              </w:r>
            </w:hyperlink>
          </w:p>
        </w:tc>
        <w:tc>
          <w:tcPr>
            <w:tcW w:w="3080" w:type="dxa"/>
            <w:vAlign w:val="bottom"/>
            <w:tcBorders>
              <w:top w:val="single" w:sz="8" w:color="0000FF"/>
            </w:tcBorders>
            <w:gridSpan w:val="17"/>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6"/>
                <w:szCs w:val="16"/>
                <w:color w:val="auto"/>
                <w:w w:val="97"/>
              </w:rPr>
              <w:t>10.2</w:t>
            </w:r>
            <w:r>
              <w:rPr>
                <w:rFonts w:ascii="Arial" w:cs="Arial" w:eastAsia="Arial" w:hAnsi="Arial"/>
                <w:sz w:val="21"/>
                <w:szCs w:val="21"/>
                <w:color w:val="auto"/>
                <w:w w:val="97"/>
                <w:vertAlign w:val="superscript"/>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31"/>
          </w:tcPr>
          <w:p>
            <w:pPr>
              <w:spacing w:after="0"/>
              <w:rPr>
                <w:rFonts w:ascii="Arial" w:cs="Arial" w:eastAsia="Arial" w:hAnsi="Arial"/>
                <w:sz w:val="16"/>
                <w:szCs w:val="16"/>
                <w:color w:val="0000FF"/>
              </w:rPr>
            </w:pPr>
            <w:hyperlink r:id="rId128">
              <w:r>
                <w:rPr>
                  <w:rFonts w:ascii="Arial" w:cs="Arial" w:eastAsia="Arial" w:hAnsi="Arial"/>
                  <w:sz w:val="16"/>
                  <w:szCs w:val="16"/>
                  <w:color w:val="0000FF"/>
                </w:rPr>
                <w:t>Amended and Restated 2011 Equity Incentive Plan, as amended, and forms</w:t>
              </w:r>
            </w:hyperlink>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128">
              <w:r>
                <w:rPr>
                  <w:rFonts w:ascii="Arial" w:cs="Arial" w:eastAsia="Arial" w:hAnsi="Arial"/>
                  <w:sz w:val="16"/>
                  <w:szCs w:val="16"/>
                  <w:color w:val="0000FF"/>
                  <w:w w:val="99"/>
                </w:rPr>
                <w:t>of agreements thereunder.</w:t>
              </w:r>
            </w:hyperlink>
          </w:p>
        </w:tc>
        <w:tc>
          <w:tcPr>
            <w:tcW w:w="35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6"/>
                <w:szCs w:val="16"/>
                <w:color w:val="auto"/>
                <w:w w:val="97"/>
              </w:rPr>
              <w:t>10.3</w:t>
            </w:r>
            <w:r>
              <w:rPr>
                <w:rFonts w:ascii="Arial" w:cs="Arial" w:eastAsia="Arial" w:hAnsi="Arial"/>
                <w:sz w:val="21"/>
                <w:szCs w:val="21"/>
                <w:color w:val="auto"/>
                <w:w w:val="97"/>
                <w:vertAlign w:val="superscript"/>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bottom w:val="single" w:sz="8" w:color="0000FF"/>
            </w:tcBorders>
            <w:gridSpan w:val="28"/>
          </w:tcPr>
          <w:p>
            <w:pPr>
              <w:spacing w:after="0"/>
              <w:rPr>
                <w:rFonts w:ascii="Arial" w:cs="Arial" w:eastAsia="Arial" w:hAnsi="Arial"/>
                <w:sz w:val="16"/>
                <w:szCs w:val="16"/>
                <w:color w:val="0000FF"/>
              </w:rPr>
            </w:pPr>
            <w:hyperlink r:id="rId129">
              <w:r>
                <w:rPr>
                  <w:rFonts w:ascii="Arial" w:cs="Arial" w:eastAsia="Arial" w:hAnsi="Arial"/>
                  <w:sz w:val="16"/>
                  <w:szCs w:val="16"/>
                  <w:color w:val="0000FF"/>
                </w:rPr>
                <w:t>2021 Stock Option and Incentive Plan, and forms of agreements thereunder.</w:t>
              </w:r>
            </w:hyperlink>
          </w:p>
        </w:tc>
        <w:tc>
          <w:tcPr>
            <w:tcW w:w="80" w:type="dxa"/>
            <w:vAlign w:val="bottom"/>
            <w:gridSpan w:val="3"/>
          </w:tcPr>
          <w:p>
            <w:pPr>
              <w:spacing w:after="0"/>
              <w:rPr>
                <w:sz w:val="17"/>
                <w:szCs w:val="17"/>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6"/>
                <w:szCs w:val="16"/>
                <w:color w:val="auto"/>
                <w:w w:val="97"/>
              </w:rPr>
              <w:t>10.4</w:t>
            </w:r>
            <w:r>
              <w:rPr>
                <w:rFonts w:ascii="Arial" w:cs="Arial" w:eastAsia="Arial" w:hAnsi="Arial"/>
                <w:sz w:val="21"/>
                <w:szCs w:val="21"/>
                <w:color w:val="auto"/>
                <w:w w:val="97"/>
                <w:vertAlign w:val="superscript"/>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bottom w:val="single" w:sz="8" w:color="0000FF"/>
            </w:tcBorders>
            <w:gridSpan w:val="10"/>
          </w:tcPr>
          <w:p>
            <w:pPr>
              <w:spacing w:after="0"/>
              <w:rPr>
                <w:rFonts w:ascii="Arial" w:cs="Arial" w:eastAsia="Arial" w:hAnsi="Arial"/>
                <w:sz w:val="16"/>
                <w:szCs w:val="16"/>
                <w:color w:val="0000FF"/>
              </w:rPr>
            </w:pPr>
            <w:hyperlink r:id="rId130">
              <w:r>
                <w:rPr>
                  <w:rFonts w:ascii="Arial" w:cs="Arial" w:eastAsia="Arial" w:hAnsi="Arial"/>
                  <w:sz w:val="16"/>
                  <w:szCs w:val="16"/>
                  <w:color w:val="0000FF"/>
                </w:rPr>
                <w:t>2021 Employee Stock Purchase Plan.</w:t>
              </w:r>
            </w:hyperlink>
          </w:p>
        </w:tc>
        <w:tc>
          <w:tcPr>
            <w:tcW w:w="2860" w:type="dxa"/>
            <w:vAlign w:val="bottom"/>
            <w:gridSpan w:val="21"/>
          </w:tcPr>
          <w:p>
            <w:pPr>
              <w:spacing w:after="0"/>
              <w:rPr>
                <w:sz w:val="17"/>
                <w:szCs w:val="17"/>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6"/>
                <w:szCs w:val="16"/>
                <w:color w:val="auto"/>
                <w:w w:val="97"/>
              </w:rPr>
              <w:t>10.5</w:t>
            </w:r>
            <w:r>
              <w:rPr>
                <w:rFonts w:ascii="Arial" w:cs="Arial" w:eastAsia="Arial" w:hAnsi="Arial"/>
                <w:sz w:val="21"/>
                <w:szCs w:val="21"/>
                <w:color w:val="auto"/>
                <w:w w:val="97"/>
                <w:vertAlign w:val="superscript"/>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bottom w:val="single" w:sz="8" w:color="0000FF"/>
            </w:tcBorders>
            <w:gridSpan w:val="12"/>
          </w:tcPr>
          <w:p>
            <w:pPr>
              <w:spacing w:after="0"/>
              <w:rPr>
                <w:rFonts w:ascii="Arial" w:cs="Arial" w:eastAsia="Arial" w:hAnsi="Arial"/>
                <w:sz w:val="16"/>
                <w:szCs w:val="16"/>
                <w:color w:val="0000FF"/>
              </w:rPr>
            </w:pPr>
            <w:hyperlink r:id="rId131">
              <w:r>
                <w:rPr>
                  <w:rFonts w:ascii="Arial" w:cs="Arial" w:eastAsia="Arial" w:hAnsi="Arial"/>
                  <w:sz w:val="16"/>
                  <w:szCs w:val="16"/>
                  <w:color w:val="0000FF"/>
                </w:rPr>
                <w:t>Senior Executive Cash Incentive Bonus Plan.</w:t>
              </w:r>
            </w:hyperlink>
          </w:p>
        </w:tc>
        <w:tc>
          <w:tcPr>
            <w:tcW w:w="2320" w:type="dxa"/>
            <w:vAlign w:val="bottom"/>
            <w:gridSpan w:val="19"/>
          </w:tcPr>
          <w:p>
            <w:pPr>
              <w:spacing w:after="0"/>
              <w:rPr>
                <w:sz w:val="17"/>
                <w:szCs w:val="17"/>
                <w:color w:val="auto"/>
              </w:rPr>
            </w:pPr>
          </w:p>
        </w:tc>
      </w:tr>
      <w:tr>
        <w:trPr>
          <w:trHeight w:val="210"/>
        </w:trPr>
        <w:tc>
          <w:tcPr>
            <w:tcW w:w="1000" w:type="dxa"/>
            <w:vAlign w:val="bottom"/>
          </w:tcPr>
          <w:p>
            <w:pPr>
              <w:jc w:val="center"/>
              <w:spacing w:after="0" w:line="210" w:lineRule="exact"/>
              <w:rPr>
                <w:sz w:val="20"/>
                <w:szCs w:val="20"/>
                <w:color w:val="auto"/>
              </w:rPr>
            </w:pPr>
            <w:r>
              <w:rPr>
                <w:rFonts w:ascii="Arial" w:cs="Arial" w:eastAsia="Arial" w:hAnsi="Arial"/>
                <w:sz w:val="16"/>
                <w:szCs w:val="16"/>
                <w:color w:val="auto"/>
                <w:w w:val="97"/>
              </w:rPr>
              <w:t>10.6</w:t>
            </w:r>
            <w:r>
              <w:rPr>
                <w:rFonts w:ascii="Arial" w:cs="Arial" w:eastAsia="Arial" w:hAnsi="Arial"/>
                <w:sz w:val="21"/>
                <w:szCs w:val="21"/>
                <w:color w:val="auto"/>
                <w:w w:val="97"/>
                <w:vertAlign w:val="superscript"/>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bottom w:val="single" w:sz="8" w:color="0000FF"/>
            </w:tcBorders>
            <w:gridSpan w:val="4"/>
          </w:tcPr>
          <w:p>
            <w:pPr>
              <w:spacing w:after="0"/>
              <w:rPr>
                <w:rFonts w:ascii="Arial" w:cs="Arial" w:eastAsia="Arial" w:hAnsi="Arial"/>
                <w:sz w:val="16"/>
                <w:szCs w:val="16"/>
                <w:color w:val="0000FF"/>
              </w:rPr>
            </w:pPr>
            <w:hyperlink r:id="rId132">
              <w:r>
                <w:rPr>
                  <w:rFonts w:ascii="Arial" w:cs="Arial" w:eastAsia="Arial" w:hAnsi="Arial"/>
                  <w:sz w:val="16"/>
                  <w:szCs w:val="16"/>
                  <w:color w:val="0000FF"/>
                </w:rPr>
                <w:t>Executive Severance Plan.</w:t>
              </w:r>
            </w:hyperlink>
          </w:p>
        </w:tc>
        <w:tc>
          <w:tcPr>
            <w:tcW w:w="3640" w:type="dxa"/>
            <w:vAlign w:val="bottom"/>
            <w:gridSpan w:val="27"/>
          </w:tcPr>
          <w:p>
            <w:pPr>
              <w:spacing w:after="0"/>
              <w:rPr>
                <w:sz w:val="18"/>
                <w:szCs w:val="18"/>
                <w:color w:val="auto"/>
              </w:rPr>
            </w:pPr>
          </w:p>
        </w:tc>
      </w:tr>
      <w:tr>
        <w:trPr>
          <w:trHeight w:val="209"/>
        </w:trPr>
        <w:tc>
          <w:tcPr>
            <w:tcW w:w="1000" w:type="dxa"/>
            <w:vAlign w:val="bottom"/>
          </w:tcPr>
          <w:p>
            <w:pPr>
              <w:jc w:val="center"/>
              <w:spacing w:after="0" w:line="210" w:lineRule="exact"/>
              <w:rPr>
                <w:sz w:val="20"/>
                <w:szCs w:val="20"/>
                <w:color w:val="auto"/>
              </w:rPr>
            </w:pPr>
            <w:r>
              <w:rPr>
                <w:rFonts w:ascii="Arial" w:cs="Arial" w:eastAsia="Arial" w:hAnsi="Arial"/>
                <w:sz w:val="16"/>
                <w:szCs w:val="16"/>
                <w:color w:val="auto"/>
                <w:w w:val="97"/>
              </w:rPr>
              <w:t>10.7</w:t>
            </w:r>
            <w:r>
              <w:rPr>
                <w:rFonts w:ascii="Arial" w:cs="Arial" w:eastAsia="Arial" w:hAnsi="Arial"/>
                <w:sz w:val="21"/>
                <w:szCs w:val="21"/>
                <w:color w:val="auto"/>
                <w:w w:val="97"/>
                <w:vertAlign w:val="superscript"/>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31"/>
          </w:tcPr>
          <w:p>
            <w:pPr>
              <w:spacing w:after="0"/>
              <w:rPr>
                <w:rFonts w:ascii="Arial" w:cs="Arial" w:eastAsia="Arial" w:hAnsi="Arial"/>
                <w:sz w:val="16"/>
                <w:szCs w:val="16"/>
                <w:color w:val="0000FF"/>
              </w:rPr>
            </w:pPr>
            <w:hyperlink r:id="rId133">
              <w:r>
                <w:rPr>
                  <w:rFonts w:ascii="Arial" w:cs="Arial" w:eastAsia="Arial" w:hAnsi="Arial"/>
                  <w:sz w:val="16"/>
                  <w:szCs w:val="16"/>
                  <w:color w:val="0000FF"/>
                </w:rPr>
                <w:t>Non-Employee Director Compensation Policy.</w:t>
              </w:r>
            </w:hyperlink>
          </w:p>
        </w:tc>
      </w:tr>
      <w:tr>
        <w:trPr>
          <w:trHeight w:val="210"/>
        </w:trPr>
        <w:tc>
          <w:tcPr>
            <w:tcW w:w="1000" w:type="dxa"/>
            <w:vAlign w:val="bottom"/>
          </w:tcPr>
          <w:p>
            <w:pPr>
              <w:jc w:val="center"/>
              <w:spacing w:after="0" w:line="210" w:lineRule="exact"/>
              <w:rPr>
                <w:sz w:val="20"/>
                <w:szCs w:val="20"/>
                <w:color w:val="auto"/>
              </w:rPr>
            </w:pPr>
            <w:r>
              <w:rPr>
                <w:rFonts w:ascii="Arial" w:cs="Arial" w:eastAsia="Arial" w:hAnsi="Arial"/>
                <w:sz w:val="16"/>
                <w:szCs w:val="16"/>
                <w:color w:val="auto"/>
                <w:w w:val="96"/>
              </w:rPr>
              <w:t>10.12</w:t>
            </w:r>
            <w:r>
              <w:rPr>
                <w:rFonts w:ascii="Arial" w:cs="Arial" w:eastAsia="Arial" w:hAnsi="Arial"/>
                <w:sz w:val="21"/>
                <w:szCs w:val="21"/>
                <w:color w:val="auto"/>
                <w:w w:val="96"/>
                <w:vertAlign w:val="superscript"/>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Borders>
              <w:top w:val="single" w:sz="8" w:color="0000FF"/>
            </w:tcBorders>
            <w:gridSpan w:val="13"/>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Form of Director Offer Letter.</w:t>
              </w:r>
            </w:hyperlink>
          </w:p>
        </w:tc>
        <w:tc>
          <w:tcPr>
            <w:tcW w:w="2300" w:type="dxa"/>
            <w:vAlign w:val="bottom"/>
            <w:gridSpan w:val="18"/>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10"/>
        </w:trPr>
        <w:tc>
          <w:tcPr>
            <w:tcW w:w="1000" w:type="dxa"/>
            <w:vAlign w:val="bottom"/>
          </w:tcPr>
          <w:p>
            <w:pPr>
              <w:jc w:val="cente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bottom w:val="single" w:sz="8" w:color="0000FF"/>
            </w:tcBorders>
            <w:gridSpan w:val="22"/>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Certification of the Principal Executive Officer, pursuant to Rules 13a-14(a)</w:t>
              </w:r>
            </w:hyperlink>
          </w:p>
        </w:tc>
        <w:tc>
          <w:tcPr>
            <w:tcW w:w="240" w:type="dxa"/>
            <w:vAlign w:val="bottom"/>
            <w:gridSpan w:val="9"/>
          </w:tcPr>
          <w:p>
            <w:pPr>
              <w:spacing w:after="0"/>
              <w:rPr>
                <w:sz w:val="18"/>
                <w:szCs w:val="18"/>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31"/>
          </w:tcPr>
          <w:p>
            <w:pPr>
              <w:spacing w:after="0" w:line="142" w:lineRule="exact"/>
              <w:rPr>
                <w:rFonts w:ascii="Arial" w:cs="Arial" w:eastAsia="Arial" w:hAnsi="Arial"/>
                <w:sz w:val="16"/>
                <w:szCs w:val="16"/>
                <w:color w:val="0000FF"/>
              </w:rPr>
            </w:pPr>
            <w:hyperlink w:anchor="page90">
              <w:r>
                <w:rPr>
                  <w:rFonts w:ascii="Arial" w:cs="Arial" w:eastAsia="Arial" w:hAnsi="Arial"/>
                  <w:sz w:val="16"/>
                  <w:szCs w:val="16"/>
                  <w:color w:val="0000FF"/>
                </w:rPr>
                <w:t>and 15d-14(a) under the Exchange Act, as adopted pursuant to Section 302</w:t>
              </w:r>
            </w:hyperlink>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w:anchor="page90">
              <w:r>
                <w:rPr>
                  <w:rFonts w:ascii="Arial" w:cs="Arial" w:eastAsia="Arial" w:hAnsi="Arial"/>
                  <w:sz w:val="16"/>
                  <w:szCs w:val="16"/>
                  <w:color w:val="0000FF"/>
                </w:rPr>
                <w:t>of the Sarbanes-Oxley Act of 2002.</w:t>
              </w:r>
            </w:hyperlink>
          </w:p>
        </w:tc>
        <w:tc>
          <w:tcPr>
            <w:tcW w:w="4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31"/>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Certification of the Principal Financial Officer, pursuant to Rules 13a-14(a)</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00" w:type="dxa"/>
            <w:vAlign w:val="bottom"/>
            <w:gridSpan w:val="17"/>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gridSpan w:val="31"/>
          </w:tcPr>
          <w:p>
            <w:pPr>
              <w:spacing w:after="0" w:line="142" w:lineRule="exact"/>
              <w:rPr>
                <w:rFonts w:ascii="Arial" w:cs="Arial" w:eastAsia="Arial" w:hAnsi="Arial"/>
                <w:sz w:val="16"/>
                <w:szCs w:val="16"/>
                <w:color w:val="0000FF"/>
              </w:rPr>
            </w:pPr>
            <w:hyperlink w:anchor="page91">
              <w:r>
                <w:rPr>
                  <w:rFonts w:ascii="Arial" w:cs="Arial" w:eastAsia="Arial" w:hAnsi="Arial"/>
                  <w:sz w:val="16"/>
                  <w:szCs w:val="16"/>
                  <w:color w:val="0000FF"/>
                </w:rPr>
                <w:t>and 15d-14(a) under the Exchange Act, as adopted pursuant to Section 302</w:t>
              </w:r>
            </w:hyperlink>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w:anchor="page91">
              <w:r>
                <w:rPr>
                  <w:rFonts w:ascii="Arial" w:cs="Arial" w:eastAsia="Arial" w:hAnsi="Arial"/>
                  <w:sz w:val="16"/>
                  <w:szCs w:val="16"/>
                  <w:color w:val="0000FF"/>
                </w:rPr>
                <w:t>of the Sarbanes-Oxley Act of 2002.</w:t>
              </w:r>
            </w:hyperlink>
          </w:p>
        </w:tc>
        <w:tc>
          <w:tcPr>
            <w:tcW w:w="4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31"/>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Certification of the Principal Executive Officer, pursuant to 18 U.S.C. Section</w:t>
              </w:r>
            </w:hyperlink>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w:anchor="page92">
              <w:r>
                <w:rPr>
                  <w:rFonts w:ascii="Arial" w:cs="Arial" w:eastAsia="Arial" w:hAnsi="Arial"/>
                  <w:sz w:val="16"/>
                  <w:szCs w:val="16"/>
                  <w:color w:val="0000FF"/>
                </w:rPr>
                <w:t>1350, as adopted pursuant to Section 906 of the Sarbanes-Oxley Act of</w:t>
              </w:r>
            </w:hyperlink>
          </w:p>
        </w:tc>
        <w:tc>
          <w:tcPr>
            <w:tcW w:w="100" w:type="dxa"/>
            <w:vAlign w:val="bottom"/>
            <w:gridSpan w:val="4"/>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w:anchor="page92">
              <w:r>
                <w:rPr>
                  <w:rFonts w:ascii="Arial" w:cs="Arial" w:eastAsia="Arial" w:hAnsi="Arial"/>
                  <w:sz w:val="16"/>
                  <w:szCs w:val="16"/>
                  <w:color w:val="0000FF"/>
                  <w:w w:val="99"/>
                </w:rPr>
                <w:t>2002.</w:t>
              </w:r>
            </w:hyperlink>
          </w:p>
        </w:tc>
        <w:tc>
          <w:tcPr>
            <w:tcW w:w="14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gridSpan w:val="31"/>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Certification of the Principal Financial Officer, pursuant to 18 U.S.C. Section</w:t>
              </w:r>
            </w:hyperlink>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w:anchor="page93">
              <w:r>
                <w:rPr>
                  <w:rFonts w:ascii="Arial" w:cs="Arial" w:eastAsia="Arial" w:hAnsi="Arial"/>
                  <w:sz w:val="16"/>
                  <w:szCs w:val="16"/>
                  <w:color w:val="0000FF"/>
                </w:rPr>
                <w:t>1350, as adopted pursuant to Section 906 of the Sarbanes-Oxley Act of</w:t>
              </w:r>
            </w:hyperlink>
          </w:p>
        </w:tc>
        <w:tc>
          <w:tcPr>
            <w:tcW w:w="180" w:type="dxa"/>
            <w:vAlign w:val="bottom"/>
            <w:gridSpan w:val="7"/>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w:anchor="page93">
              <w:r>
                <w:rPr>
                  <w:rFonts w:ascii="Arial" w:cs="Arial" w:eastAsia="Arial" w:hAnsi="Arial"/>
                  <w:sz w:val="16"/>
                  <w:szCs w:val="16"/>
                  <w:color w:val="0000FF"/>
                  <w:w w:val="94"/>
                </w:rPr>
                <w:t>2002.</w:t>
              </w:r>
            </w:hyperlink>
          </w:p>
        </w:tc>
        <w:tc>
          <w:tcPr>
            <w:tcW w:w="2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49"/>
        </w:trPr>
        <w:tc>
          <w:tcPr>
            <w:tcW w:w="11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101.INS</w:t>
            </w:r>
            <w:r>
              <w:rPr>
                <w:rFonts w:ascii="Arial" w:cs="Arial" w:eastAsia="Arial" w:hAnsi="Arial"/>
                <w:sz w:val="21"/>
                <w:szCs w:val="21"/>
                <w:color w:val="auto"/>
                <w:w w:val="97"/>
                <w:vertAlign w:val="superscript"/>
              </w:rPr>
              <w:t>*</w:t>
            </w:r>
          </w:p>
        </w:tc>
        <w:tc>
          <w:tcPr>
            <w:tcW w:w="20" w:type="dxa"/>
            <w:vAlign w:val="bottom"/>
          </w:tcPr>
          <w:p>
            <w:pPr>
              <w:spacing w:after="0"/>
              <w:rPr>
                <w:sz w:val="21"/>
                <w:szCs w:val="21"/>
                <w:color w:val="auto"/>
              </w:rPr>
            </w:pPr>
          </w:p>
        </w:tc>
        <w:tc>
          <w:tcPr>
            <w:tcW w:w="5580" w:type="dxa"/>
            <w:vAlign w:val="bottom"/>
            <w:gridSpan w:val="31"/>
          </w:tcPr>
          <w:p>
            <w:pPr>
              <w:spacing w:after="0"/>
              <w:rPr>
                <w:sz w:val="20"/>
                <w:szCs w:val="20"/>
                <w:color w:val="auto"/>
              </w:rPr>
            </w:pPr>
            <w:r>
              <w:rPr>
                <w:rFonts w:ascii="Arial" w:cs="Arial" w:eastAsia="Arial" w:hAnsi="Arial"/>
                <w:sz w:val="16"/>
                <w:szCs w:val="16"/>
                <w:color w:val="auto"/>
              </w:rPr>
              <w:t>Inline XBRL Instance Document.</w:t>
            </w:r>
          </w:p>
        </w:tc>
      </w:tr>
      <w:tr>
        <w:trPr>
          <w:trHeight w:val="216"/>
        </w:trPr>
        <w:tc>
          <w:tcPr>
            <w:tcW w:w="110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99"/>
              </w:rPr>
              <w:t>101.SCH</w:t>
            </w:r>
            <w:r>
              <w:rPr>
                <w:rFonts w:ascii="Arial" w:cs="Arial" w:eastAsia="Arial" w:hAnsi="Arial"/>
                <w:sz w:val="21"/>
                <w:szCs w:val="21"/>
                <w:color w:val="auto"/>
                <w:w w:val="99"/>
                <w:vertAlign w:val="superscript"/>
              </w:rPr>
              <w:t>*</w:t>
            </w:r>
          </w:p>
        </w:tc>
        <w:tc>
          <w:tcPr>
            <w:tcW w:w="20" w:type="dxa"/>
            <w:vAlign w:val="bottom"/>
          </w:tcPr>
          <w:p>
            <w:pPr>
              <w:spacing w:after="0"/>
              <w:rPr>
                <w:sz w:val="18"/>
                <w:szCs w:val="18"/>
                <w:color w:val="auto"/>
              </w:rPr>
            </w:pPr>
          </w:p>
        </w:tc>
        <w:tc>
          <w:tcPr>
            <w:tcW w:w="5580" w:type="dxa"/>
            <w:vAlign w:val="bottom"/>
            <w:gridSpan w:val="31"/>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110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97"/>
              </w:rPr>
              <w:t>101.CAL</w:t>
            </w:r>
            <w:r>
              <w:rPr>
                <w:rFonts w:ascii="Arial" w:cs="Arial" w:eastAsia="Arial" w:hAnsi="Arial"/>
                <w:sz w:val="21"/>
                <w:szCs w:val="21"/>
                <w:color w:val="auto"/>
                <w:w w:val="97"/>
                <w:vertAlign w:val="superscript"/>
              </w:rPr>
              <w:t>*</w:t>
            </w:r>
          </w:p>
        </w:tc>
        <w:tc>
          <w:tcPr>
            <w:tcW w:w="20" w:type="dxa"/>
            <w:vAlign w:val="bottom"/>
          </w:tcPr>
          <w:p>
            <w:pPr>
              <w:spacing w:after="0"/>
              <w:rPr>
                <w:sz w:val="18"/>
                <w:szCs w:val="18"/>
                <w:color w:val="auto"/>
              </w:rPr>
            </w:pPr>
          </w:p>
        </w:tc>
        <w:tc>
          <w:tcPr>
            <w:tcW w:w="5580" w:type="dxa"/>
            <w:vAlign w:val="bottom"/>
            <w:gridSpan w:val="31"/>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68"/>
        </w:trPr>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101.DEF</w:t>
            </w:r>
            <w:r>
              <w:rPr>
                <w:rFonts w:ascii="Arial" w:cs="Arial" w:eastAsia="Arial" w:hAnsi="Arial"/>
                <w:sz w:val="21"/>
                <w:szCs w:val="21"/>
                <w:color w:val="auto"/>
                <w:w w:val="99"/>
                <w:vertAlign w:val="superscript"/>
              </w:rPr>
              <w:t>*</w:t>
            </w:r>
          </w:p>
        </w:tc>
        <w:tc>
          <w:tcPr>
            <w:tcW w:w="20" w:type="dxa"/>
            <w:vAlign w:val="bottom"/>
          </w:tcPr>
          <w:p>
            <w:pPr>
              <w:spacing w:after="0"/>
              <w:rPr>
                <w:sz w:val="23"/>
                <w:szCs w:val="23"/>
                <w:color w:val="auto"/>
              </w:rPr>
            </w:pPr>
          </w:p>
        </w:tc>
        <w:tc>
          <w:tcPr>
            <w:tcW w:w="5580" w:type="dxa"/>
            <w:vAlign w:val="bottom"/>
            <w:gridSpan w:val="31"/>
          </w:tcPr>
          <w:p>
            <w:pPr>
              <w:spacing w:after="0"/>
              <w:rPr>
                <w:sz w:val="20"/>
                <w:szCs w:val="20"/>
                <w:color w:val="auto"/>
              </w:rPr>
            </w:pPr>
            <w:r>
              <w:rPr>
                <w:rFonts w:ascii="Arial" w:cs="Arial" w:eastAsia="Arial" w:hAnsi="Arial"/>
                <w:sz w:val="16"/>
                <w:szCs w:val="16"/>
                <w:color w:val="auto"/>
              </w:rPr>
              <w:t>Inline XBRL Taxonomy Extension Definition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8289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03"/>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60" w:type="dxa"/>
            <w:vAlign w:val="bottom"/>
          </w:tcPr>
          <w:p>
            <w:pPr>
              <w:jc w:val="center"/>
              <w:spacing w:after="0"/>
              <w:rPr>
                <w:sz w:val="20"/>
                <w:szCs w:val="20"/>
                <w:color w:val="auto"/>
              </w:rPr>
            </w:pPr>
            <w:r>
              <w:rPr>
                <w:rFonts w:ascii="Arial" w:cs="Arial" w:eastAsia="Arial" w:hAnsi="Arial"/>
                <w:sz w:val="16"/>
                <w:szCs w:val="16"/>
                <w:color w:val="auto"/>
              </w:rPr>
              <w:t>May 24, 2021</w:t>
            </w:r>
          </w:p>
        </w:tc>
      </w:tr>
      <w:tr>
        <w:trPr>
          <w:trHeight w:val="230"/>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3.4</w:t>
            </w:r>
          </w:p>
        </w:tc>
        <w:tc>
          <w:tcPr>
            <w:tcW w:w="1460" w:type="dxa"/>
            <w:vAlign w:val="bottom"/>
          </w:tcPr>
          <w:p>
            <w:pPr>
              <w:jc w:val="center"/>
              <w:spacing w:after="0"/>
              <w:rPr>
                <w:sz w:val="20"/>
                <w:szCs w:val="20"/>
                <w:color w:val="auto"/>
              </w:rPr>
            </w:pPr>
            <w:r>
              <w:rPr>
                <w:rFonts w:ascii="Arial" w:cs="Arial" w:eastAsia="Arial" w:hAnsi="Arial"/>
                <w:sz w:val="16"/>
                <w:szCs w:val="16"/>
                <w:color w:val="auto"/>
              </w:rPr>
              <w:t>May 24, 2021</w:t>
            </w:r>
          </w:p>
        </w:tc>
      </w:tr>
      <w:tr>
        <w:trPr>
          <w:trHeight w:val="229"/>
        </w:trPr>
        <w:tc>
          <w:tcPr>
            <w:tcW w:w="780" w:type="dxa"/>
            <w:vAlign w:val="bottom"/>
          </w:tcPr>
          <w:p>
            <w:pPr>
              <w:jc w:val="center"/>
              <w:spacing w:after="0"/>
              <w:rPr>
                <w:sz w:val="20"/>
                <w:szCs w:val="20"/>
                <w:color w:val="auto"/>
              </w:rPr>
            </w:pPr>
            <w:r>
              <w:rPr>
                <w:rFonts w:ascii="Arial" w:cs="Arial" w:eastAsia="Arial" w:hAnsi="Arial"/>
                <w:sz w:val="16"/>
                <w:szCs w:val="16"/>
                <w:color w:val="auto"/>
              </w:rPr>
              <w:t>S-1</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460" w:type="dxa"/>
            <w:vAlign w:val="bottom"/>
          </w:tcPr>
          <w:p>
            <w:pPr>
              <w:jc w:val="center"/>
              <w:spacing w:after="0"/>
              <w:rPr>
                <w:sz w:val="20"/>
                <w:szCs w:val="20"/>
                <w:color w:val="auto"/>
              </w:rPr>
            </w:pPr>
            <w:r>
              <w:rPr>
                <w:rFonts w:ascii="Arial" w:cs="Arial" w:eastAsia="Arial" w:hAnsi="Arial"/>
                <w:sz w:val="16"/>
                <w:szCs w:val="16"/>
                <w:color w:val="auto"/>
              </w:rPr>
              <w:t>May 14, 2021</w:t>
            </w:r>
          </w:p>
        </w:tc>
      </w:tr>
      <w:tr>
        <w:trPr>
          <w:trHeight w:val="229"/>
        </w:trPr>
        <w:tc>
          <w:tcPr>
            <w:tcW w:w="780" w:type="dxa"/>
            <w:vAlign w:val="bottom"/>
          </w:tcPr>
          <w:p>
            <w:pPr>
              <w:jc w:val="center"/>
              <w:spacing w:after="0"/>
              <w:rPr>
                <w:sz w:val="20"/>
                <w:szCs w:val="20"/>
                <w:color w:val="auto"/>
              </w:rPr>
            </w:pPr>
            <w:r>
              <w:rPr>
                <w:rFonts w:ascii="Arial" w:cs="Arial" w:eastAsia="Arial" w:hAnsi="Arial"/>
                <w:sz w:val="16"/>
                <w:szCs w:val="16"/>
                <w:color w:val="auto"/>
              </w:rPr>
              <w:t>S-1</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460" w:type="dxa"/>
            <w:vAlign w:val="bottom"/>
          </w:tcPr>
          <w:p>
            <w:pPr>
              <w:jc w:val="center"/>
              <w:spacing w:after="0"/>
              <w:rPr>
                <w:sz w:val="20"/>
                <w:szCs w:val="20"/>
                <w:color w:val="auto"/>
              </w:rPr>
            </w:pPr>
            <w:r>
              <w:rPr>
                <w:rFonts w:ascii="Arial" w:cs="Arial" w:eastAsia="Arial" w:hAnsi="Arial"/>
                <w:sz w:val="16"/>
                <w:szCs w:val="16"/>
                <w:color w:val="auto"/>
              </w:rPr>
              <w:t>May 14, 2021</w:t>
            </w:r>
          </w:p>
        </w:tc>
      </w:tr>
      <w:tr>
        <w:trPr>
          <w:trHeight w:val="405"/>
        </w:trPr>
        <w:tc>
          <w:tcPr>
            <w:tcW w:w="780" w:type="dxa"/>
            <w:vAlign w:val="bottom"/>
          </w:tcPr>
          <w:p>
            <w:pPr>
              <w:jc w:val="center"/>
              <w:spacing w:after="0"/>
              <w:rPr>
                <w:sz w:val="20"/>
                <w:szCs w:val="20"/>
                <w:color w:val="auto"/>
              </w:rPr>
            </w:pPr>
            <w:r>
              <w:rPr>
                <w:rFonts w:ascii="Arial" w:cs="Arial" w:eastAsia="Arial" w:hAnsi="Arial"/>
                <w:sz w:val="16"/>
                <w:szCs w:val="16"/>
                <w:color w:val="auto"/>
              </w:rPr>
              <w:t>S-1</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460" w:type="dxa"/>
            <w:vAlign w:val="bottom"/>
          </w:tcPr>
          <w:p>
            <w:pPr>
              <w:jc w:val="center"/>
              <w:spacing w:after="0"/>
              <w:rPr>
                <w:sz w:val="20"/>
                <w:szCs w:val="20"/>
                <w:color w:val="auto"/>
              </w:rPr>
            </w:pPr>
            <w:r>
              <w:rPr>
                <w:rFonts w:ascii="Arial" w:cs="Arial" w:eastAsia="Arial" w:hAnsi="Arial"/>
                <w:sz w:val="16"/>
                <w:szCs w:val="16"/>
                <w:color w:val="auto"/>
              </w:rPr>
              <w:t>May 14, 2021</w:t>
            </w:r>
          </w:p>
        </w:tc>
      </w:tr>
      <w:tr>
        <w:trPr>
          <w:trHeight w:val="405"/>
        </w:trPr>
        <w:tc>
          <w:tcPr>
            <w:tcW w:w="780" w:type="dxa"/>
            <w:vAlign w:val="bottom"/>
          </w:tcPr>
          <w:p>
            <w:pPr>
              <w:jc w:val="center"/>
              <w:spacing w:after="0"/>
              <w:rPr>
                <w:sz w:val="20"/>
                <w:szCs w:val="20"/>
                <w:color w:val="auto"/>
              </w:rPr>
            </w:pPr>
            <w:r>
              <w:rPr>
                <w:rFonts w:ascii="Arial" w:cs="Arial" w:eastAsia="Arial" w:hAnsi="Arial"/>
                <w:sz w:val="16"/>
                <w:szCs w:val="16"/>
                <w:color w:val="auto"/>
              </w:rPr>
              <w:t>S-1</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460" w:type="dxa"/>
            <w:vAlign w:val="bottom"/>
          </w:tcPr>
          <w:p>
            <w:pPr>
              <w:jc w:val="center"/>
              <w:spacing w:after="0"/>
              <w:rPr>
                <w:sz w:val="20"/>
                <w:szCs w:val="20"/>
                <w:color w:val="auto"/>
              </w:rPr>
            </w:pPr>
            <w:r>
              <w:rPr>
                <w:rFonts w:ascii="Arial" w:cs="Arial" w:eastAsia="Arial" w:hAnsi="Arial"/>
                <w:sz w:val="16"/>
                <w:szCs w:val="16"/>
                <w:color w:val="auto"/>
              </w:rPr>
              <w:t>May 14, 2021</w:t>
            </w:r>
          </w:p>
        </w:tc>
      </w:tr>
      <w:tr>
        <w:trPr>
          <w:trHeight w:val="405"/>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1460" w:type="dxa"/>
            <w:vAlign w:val="bottom"/>
          </w:tcPr>
          <w:p>
            <w:pPr>
              <w:jc w:val="center"/>
              <w:spacing w:after="0"/>
              <w:rPr>
                <w:sz w:val="20"/>
                <w:szCs w:val="20"/>
                <w:color w:val="auto"/>
              </w:rPr>
            </w:pPr>
            <w:r>
              <w:rPr>
                <w:rFonts w:ascii="Arial" w:cs="Arial" w:eastAsia="Arial" w:hAnsi="Arial"/>
                <w:sz w:val="16"/>
                <w:szCs w:val="16"/>
                <w:color w:val="auto"/>
              </w:rPr>
              <w:t>May 24, 2021</w:t>
            </w:r>
          </w:p>
        </w:tc>
      </w:tr>
      <w:tr>
        <w:trPr>
          <w:trHeight w:val="405"/>
        </w:trPr>
        <w:tc>
          <w:tcPr>
            <w:tcW w:w="780" w:type="dxa"/>
            <w:vAlign w:val="bottom"/>
          </w:tcPr>
          <w:p>
            <w:pPr>
              <w:jc w:val="center"/>
              <w:spacing w:after="0"/>
              <w:rPr>
                <w:sz w:val="20"/>
                <w:szCs w:val="20"/>
                <w:color w:val="auto"/>
              </w:rPr>
            </w:pPr>
            <w:r>
              <w:rPr>
                <w:rFonts w:ascii="Arial" w:cs="Arial" w:eastAsia="Arial" w:hAnsi="Arial"/>
                <w:sz w:val="16"/>
                <w:szCs w:val="16"/>
                <w:color w:val="auto"/>
              </w:rPr>
              <w:t>S-1</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4.8</w:t>
            </w:r>
          </w:p>
        </w:tc>
        <w:tc>
          <w:tcPr>
            <w:tcW w:w="1460" w:type="dxa"/>
            <w:vAlign w:val="bottom"/>
          </w:tcPr>
          <w:p>
            <w:pPr>
              <w:jc w:val="center"/>
              <w:spacing w:after="0"/>
              <w:rPr>
                <w:sz w:val="20"/>
                <w:szCs w:val="20"/>
                <w:color w:val="auto"/>
              </w:rPr>
            </w:pPr>
            <w:r>
              <w:rPr>
                <w:rFonts w:ascii="Arial" w:cs="Arial" w:eastAsia="Arial" w:hAnsi="Arial"/>
                <w:sz w:val="16"/>
                <w:szCs w:val="16"/>
                <w:color w:val="auto"/>
              </w:rPr>
              <w:t>May 14, 2021</w:t>
            </w:r>
          </w:p>
        </w:tc>
      </w:tr>
      <w:tr>
        <w:trPr>
          <w:trHeight w:val="405"/>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4.9</w:t>
            </w:r>
          </w:p>
        </w:tc>
        <w:tc>
          <w:tcPr>
            <w:tcW w:w="1460" w:type="dxa"/>
            <w:vAlign w:val="bottom"/>
          </w:tcPr>
          <w:p>
            <w:pPr>
              <w:jc w:val="center"/>
              <w:spacing w:after="0"/>
              <w:rPr>
                <w:sz w:val="20"/>
                <w:szCs w:val="20"/>
                <w:color w:val="auto"/>
              </w:rPr>
            </w:pPr>
            <w:r>
              <w:rPr>
                <w:rFonts w:ascii="Arial" w:cs="Arial" w:eastAsia="Arial" w:hAnsi="Arial"/>
                <w:sz w:val="16"/>
                <w:szCs w:val="16"/>
                <w:color w:val="auto"/>
              </w:rPr>
              <w:t>May 24, 2021</w:t>
            </w:r>
          </w:p>
        </w:tc>
      </w:tr>
      <w:tr>
        <w:trPr>
          <w:trHeight w:val="405"/>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460" w:type="dxa"/>
            <w:vAlign w:val="bottom"/>
          </w:tcPr>
          <w:p>
            <w:pPr>
              <w:jc w:val="center"/>
              <w:spacing w:after="0"/>
              <w:rPr>
                <w:sz w:val="20"/>
                <w:szCs w:val="20"/>
                <w:color w:val="auto"/>
              </w:rPr>
            </w:pPr>
            <w:r>
              <w:rPr>
                <w:rFonts w:ascii="Arial" w:cs="Arial" w:eastAsia="Arial" w:hAnsi="Arial"/>
                <w:sz w:val="16"/>
                <w:szCs w:val="16"/>
                <w:color w:val="auto"/>
              </w:rPr>
              <w:t>May 24, 2021</w:t>
            </w:r>
          </w:p>
        </w:tc>
      </w:tr>
      <w:tr>
        <w:trPr>
          <w:trHeight w:val="378"/>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460" w:type="dxa"/>
            <w:vAlign w:val="bottom"/>
          </w:tcPr>
          <w:p>
            <w:pPr>
              <w:jc w:val="center"/>
              <w:spacing w:after="0"/>
              <w:rPr>
                <w:sz w:val="20"/>
                <w:szCs w:val="20"/>
                <w:color w:val="auto"/>
              </w:rPr>
            </w:pPr>
            <w:r>
              <w:rPr>
                <w:rFonts w:ascii="Arial" w:cs="Arial" w:eastAsia="Arial" w:hAnsi="Arial"/>
                <w:sz w:val="16"/>
                <w:szCs w:val="16"/>
                <w:color w:val="auto"/>
              </w:rPr>
              <w:t>May 14, 2021</w:t>
            </w:r>
          </w:p>
        </w:tc>
      </w:tr>
      <w:tr>
        <w:trPr>
          <w:trHeight w:val="378"/>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460" w:type="dxa"/>
            <w:vAlign w:val="bottom"/>
          </w:tcPr>
          <w:p>
            <w:pPr>
              <w:jc w:val="center"/>
              <w:spacing w:after="0"/>
              <w:rPr>
                <w:sz w:val="20"/>
                <w:szCs w:val="20"/>
                <w:color w:val="auto"/>
              </w:rPr>
            </w:pPr>
            <w:r>
              <w:rPr>
                <w:rFonts w:ascii="Arial" w:cs="Arial" w:eastAsia="Arial" w:hAnsi="Arial"/>
                <w:sz w:val="16"/>
                <w:szCs w:val="16"/>
                <w:color w:val="auto"/>
              </w:rPr>
              <w:t>June 1, 2021</w:t>
            </w:r>
          </w:p>
        </w:tc>
      </w:tr>
      <w:tr>
        <w:trPr>
          <w:trHeight w:val="216"/>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460" w:type="dxa"/>
            <w:vAlign w:val="bottom"/>
          </w:tcPr>
          <w:p>
            <w:pPr>
              <w:jc w:val="center"/>
              <w:spacing w:after="0"/>
              <w:rPr>
                <w:sz w:val="20"/>
                <w:szCs w:val="20"/>
                <w:color w:val="auto"/>
              </w:rPr>
            </w:pPr>
            <w:r>
              <w:rPr>
                <w:rFonts w:ascii="Arial" w:cs="Arial" w:eastAsia="Arial" w:hAnsi="Arial"/>
                <w:sz w:val="16"/>
                <w:szCs w:val="16"/>
                <w:color w:val="auto"/>
              </w:rPr>
              <w:t>June 1, 2021</w:t>
            </w:r>
          </w:p>
        </w:tc>
      </w:tr>
      <w:tr>
        <w:trPr>
          <w:trHeight w:val="216"/>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460" w:type="dxa"/>
            <w:vAlign w:val="bottom"/>
          </w:tcPr>
          <w:p>
            <w:pPr>
              <w:jc w:val="center"/>
              <w:spacing w:after="0"/>
              <w:rPr>
                <w:sz w:val="20"/>
                <w:szCs w:val="20"/>
                <w:color w:val="auto"/>
              </w:rPr>
            </w:pPr>
            <w:r>
              <w:rPr>
                <w:rFonts w:ascii="Arial" w:cs="Arial" w:eastAsia="Arial" w:hAnsi="Arial"/>
                <w:sz w:val="16"/>
                <w:szCs w:val="16"/>
                <w:color w:val="auto"/>
              </w:rPr>
              <w:t>May 24, 2021</w:t>
            </w:r>
          </w:p>
        </w:tc>
      </w:tr>
      <w:tr>
        <w:trPr>
          <w:trHeight w:val="230"/>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460" w:type="dxa"/>
            <w:vAlign w:val="bottom"/>
          </w:tcPr>
          <w:p>
            <w:pPr>
              <w:jc w:val="center"/>
              <w:spacing w:after="0"/>
              <w:rPr>
                <w:sz w:val="20"/>
                <w:szCs w:val="20"/>
                <w:color w:val="auto"/>
              </w:rPr>
            </w:pPr>
            <w:r>
              <w:rPr>
                <w:rFonts w:ascii="Arial" w:cs="Arial" w:eastAsia="Arial" w:hAnsi="Arial"/>
                <w:sz w:val="16"/>
                <w:szCs w:val="16"/>
                <w:color w:val="auto"/>
              </w:rPr>
              <w:t>May 24, 2021</w:t>
            </w:r>
          </w:p>
        </w:tc>
      </w:tr>
      <w:tr>
        <w:trPr>
          <w:trHeight w:val="230"/>
        </w:trPr>
        <w:tc>
          <w:tcPr>
            <w:tcW w:w="7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1460" w:type="dxa"/>
            <w:vAlign w:val="bottom"/>
          </w:tcPr>
          <w:p>
            <w:pPr>
              <w:jc w:val="center"/>
              <w:spacing w:after="0"/>
              <w:rPr>
                <w:sz w:val="20"/>
                <w:szCs w:val="20"/>
                <w:color w:val="auto"/>
              </w:rPr>
            </w:pPr>
            <w:r>
              <w:rPr>
                <w:rFonts w:ascii="Arial" w:cs="Arial" w:eastAsia="Arial" w:hAnsi="Arial"/>
                <w:sz w:val="16"/>
                <w:szCs w:val="16"/>
                <w:color w:val="auto"/>
              </w:rPr>
              <w:t>May 24, 2021</w:t>
            </w:r>
          </w:p>
        </w:tc>
      </w:tr>
      <w:tr>
        <w:trPr>
          <w:trHeight w:val="230"/>
        </w:trPr>
        <w:tc>
          <w:tcPr>
            <w:tcW w:w="780" w:type="dxa"/>
            <w:vAlign w:val="bottom"/>
          </w:tcPr>
          <w:p>
            <w:pPr>
              <w:jc w:val="center"/>
              <w:spacing w:after="0"/>
              <w:rPr>
                <w:sz w:val="20"/>
                <w:szCs w:val="20"/>
                <w:color w:val="auto"/>
              </w:rPr>
            </w:pPr>
            <w:r>
              <w:rPr>
                <w:rFonts w:ascii="Arial" w:cs="Arial" w:eastAsia="Arial" w:hAnsi="Arial"/>
                <w:sz w:val="16"/>
                <w:szCs w:val="16"/>
                <w:color w:val="auto"/>
              </w:rPr>
              <w:t>S-1</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333-256154</w:t>
            </w:r>
          </w:p>
        </w:tc>
        <w:tc>
          <w:tcPr>
            <w:tcW w:w="940" w:type="dxa"/>
            <w:vAlign w:val="bottom"/>
          </w:tcPr>
          <w:p>
            <w:pPr>
              <w:jc w:val="center"/>
              <w:spacing w:after="0"/>
              <w:rPr>
                <w:sz w:val="20"/>
                <w:szCs w:val="20"/>
                <w:color w:val="auto"/>
              </w:rPr>
            </w:pPr>
            <w:r>
              <w:rPr>
                <w:rFonts w:ascii="Arial" w:cs="Arial" w:eastAsia="Arial" w:hAnsi="Arial"/>
                <w:sz w:val="16"/>
                <w:szCs w:val="16"/>
                <w:color w:val="auto"/>
              </w:rPr>
              <w:t>10.12</w:t>
            </w:r>
          </w:p>
        </w:tc>
        <w:tc>
          <w:tcPr>
            <w:tcW w:w="1460" w:type="dxa"/>
            <w:vAlign w:val="bottom"/>
          </w:tcPr>
          <w:p>
            <w:pPr>
              <w:jc w:val="center"/>
              <w:spacing w:after="0"/>
              <w:rPr>
                <w:sz w:val="20"/>
                <w:szCs w:val="20"/>
                <w:color w:val="auto"/>
              </w:rPr>
            </w:pPr>
            <w:r>
              <w:rPr>
                <w:rFonts w:ascii="Arial" w:cs="Arial" w:eastAsia="Arial" w:hAnsi="Arial"/>
                <w:sz w:val="16"/>
                <w:szCs w:val="16"/>
                <w:color w:val="auto"/>
              </w:rPr>
              <w:t>May 14, 2021</w:t>
            </w:r>
          </w:p>
        </w:tc>
      </w:tr>
    </w:tbl>
    <w:p>
      <w:pPr>
        <w:spacing w:after="0" w:line="3308" w:lineRule="exact"/>
        <w:rPr>
          <w:sz w:val="20"/>
          <w:szCs w:val="20"/>
          <w:color w:val="auto"/>
        </w:rPr>
      </w:pPr>
    </w:p>
    <w:p>
      <w:pPr>
        <w:sectPr>
          <w:pgSz w:w="11900" w:h="16838" w:orient="portrait"/>
          <w:cols w:equalWidth="0" w:num="2">
            <w:col w:w="6700" w:space="80"/>
            <w:col w:w="4460"/>
          </w:cols>
          <w:pgMar w:left="320" w:top="141"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7" w:name="page88"/>
    <w:bookmarkEnd w:id="8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0139"/>
          </w:cols>
          <w:pgMar w:left="32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101.LAB</w:t>
      </w:r>
      <w:r>
        <w:rPr>
          <w:rFonts w:ascii="Arial" w:cs="Arial" w:eastAsia="Arial" w:hAnsi="Arial"/>
          <w:sz w:val="21"/>
          <w:szCs w:val="21"/>
          <w:color w:val="auto"/>
          <w:vertAlign w:val="superscript"/>
        </w:rPr>
        <w:t>*</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p>
      <w:pPr>
        <w:spacing w:after="0" w:line="2"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Labels 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32" w:lineRule="exact"/>
        <w:rPr>
          <w:sz w:val="20"/>
          <w:szCs w:val="20"/>
          <w:color w:val="auto"/>
        </w:rPr>
      </w:pPr>
    </w:p>
    <w:p>
      <w:pPr>
        <w:ind w:right="3559"/>
        <w:spacing w:after="0" w:line="232" w:lineRule="auto"/>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171" w:lineRule="exact"/>
        <w:rPr>
          <w:sz w:val="20"/>
          <w:szCs w:val="20"/>
          <w:color w:val="auto"/>
        </w:rPr>
      </w:pPr>
    </w:p>
    <w:p>
      <w:pPr>
        <w:ind w:right="3539"/>
        <w:spacing w:after="0" w:line="225" w:lineRule="auto"/>
        <w:rPr>
          <w:sz w:val="20"/>
          <w:szCs w:val="20"/>
          <w:color w:val="auto"/>
        </w:rPr>
      </w:pPr>
      <w:r>
        <w:rPr>
          <w:rFonts w:ascii="Arial" w:cs="Arial" w:eastAsia="Arial" w:hAnsi="Arial"/>
          <w:sz w:val="16"/>
          <w:szCs w:val="16"/>
          <w:color w:val="auto"/>
        </w:rPr>
        <w:t>Certain confidential information contained in this exhibit has been omitted because it is both (i) not material and (ii) is the type that the Registrant treats as private or confidential.</w:t>
      </w:r>
    </w:p>
    <w:p>
      <w:pPr>
        <w:spacing w:after="0" w:line="185" w:lineRule="exact"/>
        <w:rPr>
          <w:sz w:val="20"/>
          <w:szCs w:val="20"/>
          <w:color w:val="auto"/>
        </w:rPr>
      </w:pPr>
    </w:p>
    <w:p>
      <w:pPr>
        <w:ind w:right="4299"/>
        <w:spacing w:after="0" w:line="232" w:lineRule="auto"/>
        <w:rPr>
          <w:sz w:val="20"/>
          <w:szCs w:val="20"/>
          <w:color w:val="auto"/>
        </w:rPr>
      </w:pPr>
      <w:r>
        <w:rPr>
          <w:rFonts w:ascii="Arial" w:cs="Arial" w:eastAsia="Arial" w:hAnsi="Arial"/>
          <w:sz w:val="16"/>
          <w:szCs w:val="16"/>
          <w:color w:val="auto"/>
        </w:rPr>
        <w:t>Indicates management contract or compensatory plan, contract or agreement.</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ind w:right="3479"/>
        <w:spacing w:after="0" w:line="218" w:lineRule="auto"/>
        <w:rPr>
          <w:sz w:val="20"/>
          <w:szCs w:val="20"/>
          <w:color w:val="auto"/>
        </w:rPr>
      </w:pPr>
      <w:r>
        <w:rPr>
          <w:rFonts w:ascii="Arial" w:cs="Arial" w:eastAsia="Arial" w:hAnsi="Arial"/>
          <w:sz w:val="16"/>
          <w:szCs w:val="16"/>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ectPr>
          <w:pgSz w:w="11900" w:h="16838" w:orient="portrait"/>
          <w:cols w:equalWidth="0" w:num="2">
            <w:col w:w="860" w:space="260"/>
            <w:col w:w="9019"/>
          </w:cols>
          <w:pgMar w:left="320" w:top="1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type w:val="continuous"/>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3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7560" w:type="dxa"/>
            <w:vAlign w:val="bottom"/>
            <w:gridSpan w:val="2"/>
          </w:tcPr>
          <w:p>
            <w:pPr>
              <w:ind w:left="2560"/>
              <w:spacing w:after="0"/>
              <w:rPr>
                <w:sz w:val="20"/>
                <w:szCs w:val="20"/>
                <w:color w:val="auto"/>
              </w:rPr>
            </w:pPr>
            <w:r>
              <w:rPr>
                <w:rFonts w:ascii="Arial" w:cs="Arial" w:eastAsia="Arial" w:hAnsi="Arial"/>
                <w:sz w:val="18"/>
                <w:szCs w:val="18"/>
                <w:b w:val="1"/>
                <w:bCs w:val="1"/>
                <w:color w:val="auto"/>
              </w:rPr>
              <w:t>MARQETA, INC.</w:t>
            </w:r>
          </w:p>
        </w:tc>
      </w:tr>
      <w:tr>
        <w:trPr>
          <w:trHeight w:val="499"/>
        </w:trPr>
        <w:tc>
          <w:tcPr>
            <w:tcW w:w="366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11, 2021</w:t>
            </w:r>
          </w:p>
        </w:tc>
        <w:tc>
          <w:tcPr>
            <w:tcW w:w="3680" w:type="dxa"/>
            <w:vAlign w:val="bottom"/>
          </w:tcPr>
          <w:p>
            <w:pPr>
              <w:ind w:left="2560"/>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Gardner</w:t>
            </w:r>
          </w:p>
        </w:tc>
      </w:tr>
      <w:tr>
        <w:trPr>
          <w:trHeight w:val="223"/>
        </w:trPr>
        <w:tc>
          <w:tcPr>
            <w:tcW w:w="3660" w:type="dxa"/>
            <w:vAlign w:val="bottom"/>
          </w:tcPr>
          <w:p>
            <w:pPr>
              <w:spacing w:after="0"/>
              <w:rPr>
                <w:sz w:val="19"/>
                <w:szCs w:val="19"/>
                <w:color w:val="auto"/>
              </w:rPr>
            </w:pPr>
          </w:p>
        </w:tc>
        <w:tc>
          <w:tcPr>
            <w:tcW w:w="3680" w:type="dxa"/>
            <w:vAlign w:val="bottom"/>
          </w:tcPr>
          <w:p>
            <w:pPr>
              <w:ind w:left="2560"/>
              <w:spacing w:after="0"/>
              <w:rPr>
                <w:sz w:val="20"/>
                <w:szCs w:val="20"/>
                <w:color w:val="auto"/>
              </w:rPr>
            </w:pPr>
            <w:r>
              <w:rPr>
                <w:rFonts w:ascii="Arial" w:cs="Arial" w:eastAsia="Arial" w:hAnsi="Arial"/>
                <w:sz w:val="18"/>
                <w:szCs w:val="18"/>
                <w:b w:val="1"/>
                <w:bCs w:val="1"/>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Jason Gardner</w:t>
            </w:r>
          </w:p>
        </w:tc>
      </w:tr>
      <w:tr>
        <w:trPr>
          <w:trHeight w:val="243"/>
        </w:trPr>
        <w:tc>
          <w:tcPr>
            <w:tcW w:w="3660" w:type="dxa"/>
            <w:vAlign w:val="bottom"/>
          </w:tcPr>
          <w:p>
            <w:pPr>
              <w:spacing w:after="0"/>
              <w:rPr>
                <w:sz w:val="21"/>
                <w:szCs w:val="21"/>
                <w:color w:val="auto"/>
              </w:rPr>
            </w:pPr>
          </w:p>
        </w:tc>
        <w:tc>
          <w:tcPr>
            <w:tcW w:w="3680" w:type="dxa"/>
            <w:vAlign w:val="bottom"/>
          </w:tcPr>
          <w:p>
            <w:pPr>
              <w:ind w:left="2560"/>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Chief Executive Officer (Principal</w:t>
            </w:r>
          </w:p>
        </w:tc>
      </w:tr>
      <w:tr>
        <w:trPr>
          <w:trHeight w:val="229"/>
        </w:trPr>
        <w:tc>
          <w:tcPr>
            <w:tcW w:w="36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Executive Officer)</w:t>
            </w:r>
          </w:p>
        </w:tc>
      </w:tr>
      <w:tr>
        <w:trPr>
          <w:trHeight w:val="499"/>
        </w:trPr>
        <w:tc>
          <w:tcPr>
            <w:tcW w:w="366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11, 2021</w:t>
            </w:r>
          </w:p>
        </w:tc>
        <w:tc>
          <w:tcPr>
            <w:tcW w:w="3680" w:type="dxa"/>
            <w:vAlign w:val="bottom"/>
          </w:tcPr>
          <w:p>
            <w:pPr>
              <w:ind w:left="2560"/>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Philip (Tripp) Faix</w:t>
            </w:r>
          </w:p>
        </w:tc>
      </w:tr>
      <w:tr>
        <w:trPr>
          <w:trHeight w:val="223"/>
        </w:trPr>
        <w:tc>
          <w:tcPr>
            <w:tcW w:w="3660" w:type="dxa"/>
            <w:vAlign w:val="bottom"/>
          </w:tcPr>
          <w:p>
            <w:pPr>
              <w:spacing w:after="0"/>
              <w:rPr>
                <w:sz w:val="19"/>
                <w:szCs w:val="19"/>
                <w:color w:val="auto"/>
              </w:rPr>
            </w:pPr>
          </w:p>
        </w:tc>
        <w:tc>
          <w:tcPr>
            <w:tcW w:w="3680" w:type="dxa"/>
            <w:vAlign w:val="bottom"/>
          </w:tcPr>
          <w:p>
            <w:pPr>
              <w:ind w:left="2560"/>
              <w:spacing w:after="0"/>
              <w:rPr>
                <w:sz w:val="20"/>
                <w:szCs w:val="20"/>
                <w:color w:val="auto"/>
              </w:rPr>
            </w:pPr>
            <w:r>
              <w:rPr>
                <w:rFonts w:ascii="Arial" w:cs="Arial" w:eastAsia="Arial" w:hAnsi="Arial"/>
                <w:sz w:val="18"/>
                <w:szCs w:val="18"/>
                <w:b w:val="1"/>
                <w:bCs w:val="1"/>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Philip (Tripp) Faix</w:t>
            </w:r>
          </w:p>
        </w:tc>
      </w:tr>
      <w:tr>
        <w:trPr>
          <w:trHeight w:val="243"/>
        </w:trPr>
        <w:tc>
          <w:tcPr>
            <w:tcW w:w="3660" w:type="dxa"/>
            <w:vAlign w:val="bottom"/>
          </w:tcPr>
          <w:p>
            <w:pPr>
              <w:spacing w:after="0"/>
              <w:rPr>
                <w:sz w:val="21"/>
                <w:szCs w:val="21"/>
                <w:color w:val="auto"/>
              </w:rPr>
            </w:pPr>
          </w:p>
        </w:tc>
        <w:tc>
          <w:tcPr>
            <w:tcW w:w="3680" w:type="dxa"/>
            <w:vAlign w:val="bottom"/>
          </w:tcPr>
          <w:p>
            <w:pPr>
              <w:ind w:left="2560"/>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Chief Financial Officer (Principal</w:t>
            </w:r>
          </w:p>
        </w:tc>
      </w:tr>
      <w:tr>
        <w:trPr>
          <w:trHeight w:val="230"/>
        </w:trPr>
        <w:tc>
          <w:tcPr>
            <w:tcW w:w="36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Financial Officer and Principal</w:t>
            </w:r>
          </w:p>
        </w:tc>
      </w:tr>
      <w:tr>
        <w:trPr>
          <w:trHeight w:val="243"/>
        </w:trPr>
        <w:tc>
          <w:tcPr>
            <w:tcW w:w="36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Accounting Officer)</w:t>
            </w:r>
          </w:p>
        </w:tc>
      </w:tr>
      <w:tr>
        <w:trPr>
          <w:trHeight w:val="918"/>
        </w:trPr>
        <w:tc>
          <w:tcPr>
            <w:tcW w:w="3660" w:type="dxa"/>
            <w:vAlign w:val="bottom"/>
          </w:tcPr>
          <w:p>
            <w:pPr>
              <w:spacing w:after="0"/>
              <w:rPr>
                <w:sz w:val="24"/>
                <w:szCs w:val="24"/>
                <w:color w:val="auto"/>
              </w:rPr>
            </w:pPr>
          </w:p>
        </w:tc>
        <w:tc>
          <w:tcPr>
            <w:tcW w:w="3680" w:type="dxa"/>
            <w:vAlign w:val="bottom"/>
          </w:tcPr>
          <w:p>
            <w:pPr>
              <w:ind w:left="1840"/>
              <w:spacing w:after="0"/>
              <w:rPr>
                <w:sz w:val="20"/>
                <w:szCs w:val="20"/>
                <w:color w:val="auto"/>
              </w:rPr>
            </w:pPr>
            <w:r>
              <w:rPr>
                <w:rFonts w:ascii="Arial" w:cs="Arial" w:eastAsia="Arial" w:hAnsi="Arial"/>
                <w:sz w:val="18"/>
                <w:szCs w:val="18"/>
                <w:color w:val="auto"/>
              </w:rPr>
              <w:t>86</w:t>
            </w:r>
          </w:p>
        </w:tc>
        <w:tc>
          <w:tcPr>
            <w:tcW w:w="3880" w:type="dxa"/>
            <w:vAlign w:val="bottom"/>
          </w:tcPr>
          <w:p>
            <w:pPr>
              <w:spacing w:after="0"/>
              <w:rPr>
                <w:sz w:val="24"/>
                <w:szCs w:val="24"/>
                <w:color w:val="auto"/>
              </w:rPr>
            </w:pPr>
          </w:p>
        </w:tc>
      </w:tr>
    </w:tbl>
    <w:p>
      <w:pPr>
        <w:sectPr>
          <w:pgSz w:w="11900" w:h="16838" w:orient="portrait"/>
          <w:cols w:equalWidth="0" w:num="1">
            <w:col w:w="11240"/>
          </w:cols>
          <w:pgMar w:left="320" w:top="14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Jason Gardner, certify that:</w:t>
      </w:r>
    </w:p>
    <w:p>
      <w:pPr>
        <w:spacing w:after="0" w:line="225"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Marqeta,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1"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1"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660" w:hanging="4"/>
        <w:spacing w:after="0" w:line="256" w:lineRule="auto"/>
        <w:tabs>
          <w:tab w:leader="none" w:pos="13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29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660" w:hanging="4"/>
        <w:spacing w:after="0" w:line="261" w:lineRule="auto"/>
        <w:tabs>
          <w:tab w:leader="none" w:pos="129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 /s/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1800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Jason Gardner</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2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 (Tripp) Faix, certify that:</w:t>
      </w:r>
    </w:p>
    <w:p>
      <w:pPr>
        <w:spacing w:after="0" w:line="225"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Marqeta,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1"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1"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hanging="644"/>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660" w:hanging="4"/>
        <w:spacing w:after="0" w:line="256" w:lineRule="auto"/>
        <w:tabs>
          <w:tab w:leader="none" w:pos="13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2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660" w:hanging="4"/>
        <w:spacing w:after="0" w:line="256" w:lineRule="auto"/>
        <w:tabs>
          <w:tab w:leader="none" w:pos="13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660" w:hanging="4"/>
        <w:spacing w:after="0" w:line="261" w:lineRule="auto"/>
        <w:tabs>
          <w:tab w:leader="none" w:pos="12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 /s/ Philip (Tripp) Faix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1800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Philip (Tripp) Faix</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Chief Financial Officer</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Financial and Accounting</w:t>
      </w:r>
    </w:p>
    <w:p>
      <w:pPr>
        <w:ind w:left="706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240"/>
          </w:cols>
          <w:pgMar w:left="320" w:top="92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 Jason Gardner, Chief Executive Officer of Marqeta, Inc., certify, pursuant to 18 U.S.C. Section 1350, as adopted pursuant to Section 906 of the Sarbanes-Oxley Act of 2002, that the Quarterly Report on Form 10-Q of Marqeta, Inc. for the quarter ended June 30, 2021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p>
      <w:pPr>
        <w:spacing w:after="0" w:line="247" w:lineRule="exact"/>
        <w:rPr>
          <w:sz w:val="20"/>
          <w:szCs w:val="20"/>
          <w:color w:val="auto"/>
        </w:rPr>
      </w:pPr>
    </w:p>
    <w:p>
      <w:pPr>
        <w:ind w:left="20"/>
        <w:spacing w:after="0"/>
        <w:tabs>
          <w:tab w:leader="none" w:pos="814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 /s/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10795</wp:posOffset>
            </wp:positionV>
            <wp:extent cx="18002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Jason Gardner</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2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 Philip (Tripp) Faix, Chief Financial Officer of Marqeta, Inc., certify, pursuant to 18 U.S.C. Section 1350, as adopted pursuant to Section 906 of the Sarbanes-Oxley Act of 2002, that the Quarterly Report on Form 10-Q of Marqeta, Inc. for the quarter ended June 30, 2021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p>
      <w:pPr>
        <w:spacing w:after="0" w:line="247" w:lineRule="exact"/>
        <w:rPr>
          <w:sz w:val="20"/>
          <w:szCs w:val="20"/>
          <w:color w:val="auto"/>
        </w:rPr>
      </w:pPr>
    </w:p>
    <w:p>
      <w:pPr>
        <w:ind w:left="20"/>
        <w:spacing w:after="0"/>
        <w:tabs>
          <w:tab w:leader="none" w:pos="814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5"/>
          <w:szCs w:val="15"/>
          <w:color w:val="auto"/>
        </w:rPr>
        <w:t>By: /s/ Philip (Tripp) Faix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10795</wp:posOffset>
            </wp:positionV>
            <wp:extent cx="18002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Philip (Tripp) Faix</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Chief Financial Officer</w:t>
      </w:r>
    </w:p>
    <w:p>
      <w:pPr>
        <w:spacing w:after="0" w:line="10"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(Principal Financial and Accounting</w:t>
      </w:r>
    </w:p>
    <w:p>
      <w:pPr>
        <w:ind w:left="8420"/>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1."/>
      <w:numFmt w:val="decimal"/>
      <w:start w:val="7"/>
    </w:lvl>
  </w:abstractNum>
  <w:abstractNum w:abstractNumId="9">
    <w:nsid w:val="2D1D5AE9"/>
    <w:multiLevelType w:val="hybridMultilevel"/>
    <w:lvl w:ilvl="0">
      <w:lvlJc w:val="left"/>
      <w:lvlText w:val="%1."/>
      <w:numFmt w:val="decimal"/>
      <w:start w:val="8"/>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2"/>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4"/>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18" Type="http://schemas.openxmlformats.org/officeDocument/2006/relationships/hyperlink" Target="http://www.sec.gov/Archives/edgar/data/0001522540/000119312521169619/d64065dex32.htm" TargetMode="External"/><Relationship Id="rId119" Type="http://schemas.openxmlformats.org/officeDocument/2006/relationships/hyperlink" Target="http://www.sec.gov/Archives/edgar/data/0001522540/000119312521169619/d64065dex34.htm" TargetMode="External"/><Relationship Id="rId120" Type="http://schemas.openxmlformats.org/officeDocument/2006/relationships/hyperlink" Target="http://www.sec.gov/Archives/edgar/data/0001522540/000119312521162113/d64065dex41.htm" TargetMode="External"/><Relationship Id="rId121" Type="http://schemas.openxmlformats.org/officeDocument/2006/relationships/hyperlink" Target="http://www.sec.gov/Archives/edgar/data/0001522540/000119312521162113/d64065dex42.htm" TargetMode="External"/><Relationship Id="rId122" Type="http://schemas.openxmlformats.org/officeDocument/2006/relationships/hyperlink" Target="http://www.sec.gov/Archives/edgar/data/0001522540/000119312521162113/d64065dex43.htm" TargetMode="External"/><Relationship Id="rId123" Type="http://schemas.openxmlformats.org/officeDocument/2006/relationships/hyperlink" Target="http://www.sec.gov/Archives/edgar/data/0001522540/000119312521162113/d64065dex44.htm" TargetMode="External"/><Relationship Id="rId124" Type="http://schemas.openxmlformats.org/officeDocument/2006/relationships/hyperlink" Target="http://www.sec.gov/Archives/edgar/data/0001522540/000119312521169619/d64065dex47.htm" TargetMode="External"/><Relationship Id="rId125" Type="http://schemas.openxmlformats.org/officeDocument/2006/relationships/hyperlink" Target="http://www.sec.gov/Archives/edgar/data/0001522540/000119312521162113/d64065dex48.htm" TargetMode="External"/><Relationship Id="rId126" Type="http://schemas.openxmlformats.org/officeDocument/2006/relationships/hyperlink" Target="http://www.sec.gov/Archives/edgar/data/0001522540/000119312521169619/d64065dex49.htm" TargetMode="External"/><Relationship Id="rId127" Type="http://schemas.openxmlformats.org/officeDocument/2006/relationships/hyperlink" Target="http://www.sec.gov/Archives/edgar/data/0001522540/000119312521169619/d64065dex101.htm" TargetMode="External"/><Relationship Id="rId128" Type="http://schemas.openxmlformats.org/officeDocument/2006/relationships/hyperlink" Target="http://www.sec.gov/Archives/edgar/data/1522540/000119312521169619/d64065dex102.htm" TargetMode="External"/><Relationship Id="rId129" Type="http://schemas.openxmlformats.org/officeDocument/2006/relationships/hyperlink" Target="http://www.sec.gov/Archives/edgar/data/0001522540/000119312521177861/d64065dex103.htm" TargetMode="External"/><Relationship Id="rId130" Type="http://schemas.openxmlformats.org/officeDocument/2006/relationships/hyperlink" Target="http://www.sec.gov/Archives/edgar/data/0001522540/000119312521177861/d64065dex104.htm" TargetMode="External"/><Relationship Id="rId131" Type="http://schemas.openxmlformats.org/officeDocument/2006/relationships/hyperlink" Target="http://www.sec.gov/Archives/edgar/data/0001522540/000119312521169619/d64065dex105.htm" TargetMode="External"/><Relationship Id="rId132" Type="http://schemas.openxmlformats.org/officeDocument/2006/relationships/hyperlink" Target="http://www.sec.gov/Archives/edgar/data/0001522540/000119312521169619/d64065dex106.htm" TargetMode="External"/><Relationship Id="rId133" Type="http://schemas.openxmlformats.org/officeDocument/2006/relationships/hyperlink" Target="http://www.sec.gov/Archives/edgar/data/0001522540/000119312521169619/d64065dex107.htm" TargetMode="External"/><Relationship Id="rId134" Type="http://schemas.openxmlformats.org/officeDocument/2006/relationships/hyperlink" Target="http://www.sec.gov/Archives/edgar/data/0001522540/000119312521162113/d64065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2021-08-11T15:44:32Z</dcterms:created>
  <dcterms:modified xsi:type="dcterms:W3CDTF">2021-08-11T15:44:32Z</dcterms:modified>
</cp:coreProperties>
</file>