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5</w:t>
      </w:r>
    </w:p>
    <w:p>
      <w:pPr>
        <w:spacing w:after="0" w:line="36" w:lineRule="exact"/>
        <w:rPr>
          <w:sz w:val="24"/>
          <w:szCs w:val="24"/>
          <w:color w:val="auto"/>
        </w:rPr>
      </w:pPr>
    </w:p>
    <w:p>
      <w:pPr>
        <w:jc w:val="center"/>
        <w:ind w:left="160"/>
        <w:spacing w:after="0"/>
        <w:rPr>
          <w:sz w:val="20"/>
          <w:szCs w:val="20"/>
          <w:color w:val="auto"/>
        </w:rPr>
      </w:pPr>
      <w:r>
        <w:rPr>
          <w:rFonts w:ascii="Arial" w:cs="Arial" w:eastAsia="Arial" w:hAnsi="Arial"/>
          <w:sz w:val="23"/>
          <w:szCs w:val="23"/>
          <w:b w:val="1"/>
          <w:bCs w:val="1"/>
          <w:color w:val="auto"/>
        </w:rPr>
        <w:t>FORM 5</w:t>
      </w:r>
    </w:p>
    <w:p>
      <w:pPr>
        <w:spacing w:after="0" w:line="129"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57150</wp:posOffset>
            </wp:positionV>
            <wp:extent cx="127635" cy="127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106"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88265</wp:posOffset>
            </wp:positionV>
            <wp:extent cx="127635" cy="127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155"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4 Transactions Reported.</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ind w:left="220"/>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4076065</wp:posOffset>
            </wp:positionH>
            <wp:positionV relativeFrom="paragraph">
              <wp:posOffset>-36195</wp:posOffset>
            </wp:positionV>
            <wp:extent cx="13398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9850" cy="6229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6440" w:type="dxa"/>
            <w:vAlign w:val="bottom"/>
          </w:tcPr>
          <w:p>
            <w:pPr>
              <w:jc w:val="center"/>
              <w:ind w:right="48"/>
              <w:spacing w:after="0"/>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17"/>
                <w:szCs w:val="17"/>
                <w:color w:val="auto"/>
              </w:rPr>
            </w:pPr>
          </w:p>
        </w:tc>
        <w:tc>
          <w:tcPr>
            <w:tcW w:w="2000" w:type="dxa"/>
            <w:vAlign w:val="bottom"/>
            <w:tcBorders>
              <w:top w:val="single" w:sz="8" w:color="2C2C2C"/>
              <w:bottom w:val="single" w:sz="8" w:color="808080"/>
            </w:tcBorders>
            <w:gridSpan w:val="2"/>
          </w:tcPr>
          <w:p>
            <w:pPr>
              <w:ind w:left="360"/>
              <w:spacing w:after="0"/>
              <w:rPr>
                <w:sz w:val="20"/>
                <w:szCs w:val="20"/>
                <w:color w:val="auto"/>
              </w:rPr>
            </w:pPr>
            <w:r>
              <w:rPr>
                <w:rFonts w:ascii="Arial" w:cs="Arial" w:eastAsia="Arial" w:hAnsi="Arial"/>
                <w:sz w:val="16"/>
                <w:szCs w:val="16"/>
                <w:color w:val="auto"/>
              </w:rPr>
              <w:t>OMB APPROVAL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restart"/>
          </w:tcPr>
          <w:p>
            <w:pPr>
              <w:jc w:val="center"/>
              <w:ind w:right="48"/>
              <w:spacing w:after="0"/>
              <w:rPr>
                <w:sz w:val="20"/>
                <w:szCs w:val="20"/>
                <w:color w:val="auto"/>
              </w:rPr>
            </w:pPr>
            <w:r>
              <w:rPr>
                <w:rFonts w:ascii="Arial" w:cs="Arial" w:eastAsia="Arial" w:hAnsi="Arial"/>
                <w:sz w:val="20"/>
                <w:szCs w:val="20"/>
                <w:b w:val="1"/>
                <w:bCs w:val="1"/>
                <w:color w:val="auto"/>
              </w:rPr>
              <w:t>ANNUAL STATEMENT OF CHANGES IN BENEFICIAL OWNERSHIP</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w w:val="98"/>
              </w:rPr>
              <w:t>3235-0362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40" w:type="dxa"/>
            <w:vAlign w:val="bottom"/>
            <w:vMerge w:val="restart"/>
          </w:tcPr>
          <w:p>
            <w:pPr>
              <w:jc w:val="center"/>
              <w:ind w:right="4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4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440" w:type="dxa"/>
            <w:vAlign w:val="bottom"/>
          </w:tcPr>
          <w:p>
            <w:pPr>
              <w:jc w:val="center"/>
              <w:ind w:right="48"/>
              <w:spacing w:after="0"/>
              <w:rPr>
                <w:sz w:val="20"/>
                <w:szCs w:val="20"/>
                <w:color w:val="auto"/>
              </w:rPr>
            </w:pPr>
            <w:r>
              <w:rPr>
                <w:rFonts w:ascii="Arial" w:cs="Arial" w:eastAsia="Arial" w:hAnsi="Arial"/>
                <w:sz w:val="13"/>
                <w:szCs w:val="13"/>
                <w:color w:val="auto"/>
                <w:w w:val="96"/>
              </w:rPr>
              <w:t>or Section 30(h) of the Investment Company Act of 1940</w:t>
            </w: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60325</wp:posOffset>
            </wp:positionV>
            <wp:extent cx="7048500" cy="5316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316220"/>
                    </a:xfrm>
                    <a:prstGeom prst="rect">
                      <a:avLst/>
                    </a:prstGeom>
                    <a:noFill/>
                  </pic:spPr>
                </pic:pic>
              </a:graphicData>
            </a:graphic>
          </wp:anchor>
        </w:drawing>
      </w:r>
    </w:p>
    <w:p>
      <w:pPr>
        <w:spacing w:after="0" w:line="156" w:lineRule="exact"/>
        <w:rPr>
          <w:sz w:val="24"/>
          <w:szCs w:val="24"/>
          <w:color w:val="auto"/>
        </w:rPr>
      </w:pPr>
    </w:p>
    <w:p>
      <w:pPr>
        <w:sectPr>
          <w:pgSz w:w="11900" w:h="16838" w:orient="portrait"/>
          <w:cols w:equalWidth="0" w:num="2">
            <w:col w:w="2200" w:space="220"/>
            <w:col w:w="8660"/>
          </w:cols>
          <w:pgMar w:left="460" w:top="219"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Gardner Jason M.</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180 GRAND AVENUE</w:t>
            </w:r>
          </w:p>
        </w:tc>
        <w:tc>
          <w:tcPr>
            <w:tcW w:w="1620" w:type="dxa"/>
            <w:vAlign w:val="bottom"/>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6TH FLOOR</w:t>
            </w: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OAKLAND</w:t>
            </w:r>
          </w:p>
        </w:tc>
        <w:tc>
          <w:tcPr>
            <w:tcW w:w="980" w:type="dxa"/>
            <w:vAlign w:val="bottom"/>
          </w:tcPr>
          <w:p>
            <w:pPr>
              <w:ind w:left="18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94612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4">
              <w:r>
                <w:rPr>
                  <w:rFonts w:ascii="Arial" w:cs="Arial" w:eastAsia="Arial" w:hAnsi="Arial"/>
                  <w:sz w:val="15"/>
                  <w:szCs w:val="15"/>
                  <w:color w:val="0000EE"/>
                </w:rPr>
                <w:t xml:space="preserve">Marqeta,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MQ</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140" w:type="dxa"/>
            <w:vAlign w:val="bottom"/>
            <w:gridSpan w:val="3"/>
          </w:tcPr>
          <w:p>
            <w:pPr>
              <w:ind w:left="60"/>
              <w:spacing w:after="0"/>
              <w:rPr>
                <w:sz w:val="20"/>
                <w:szCs w:val="20"/>
                <w:color w:val="auto"/>
              </w:rPr>
            </w:pPr>
            <w:r>
              <w:rPr>
                <w:rFonts w:ascii="Arial" w:cs="Arial" w:eastAsia="Arial" w:hAnsi="Arial"/>
                <w:sz w:val="16"/>
                <w:szCs w:val="16"/>
                <w:color w:val="0000FF"/>
              </w:rPr>
              <w:t>12/31/2021</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8"/>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jc w:val="right"/>
              <w:ind w:right="291"/>
              <w:spacing w:after="0"/>
              <w:rPr>
                <w:sz w:val="20"/>
                <w:szCs w:val="20"/>
                <w:color w:val="auto"/>
              </w:rPr>
            </w:pPr>
            <w:r>
              <w:rPr>
                <w:rFonts w:ascii="Arial" w:cs="Arial" w:eastAsia="Arial" w:hAnsi="Arial"/>
                <w:sz w:val="13"/>
                <w:szCs w:val="13"/>
                <w:color w:val="auto"/>
                <w:w w:val="95"/>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ind w:left="80"/>
              <w:spacing w:after="0"/>
              <w:rPr>
                <w:sz w:val="20"/>
                <w:szCs w:val="20"/>
                <w:color w:val="auto"/>
              </w:rPr>
            </w:pPr>
            <w:r>
              <w:rPr>
                <w:rFonts w:ascii="Arial" w:cs="Arial" w:eastAsia="Arial" w:hAnsi="Arial"/>
                <w:sz w:val="11"/>
                <w:szCs w:val="11"/>
                <w:b w:val="1"/>
                <w:bCs w:val="1"/>
                <w:color w:val="auto"/>
              </w:rPr>
              <w:t>1. Title of Security (Instr. 3)</w:t>
            </w:r>
          </w:p>
        </w:tc>
        <w:tc>
          <w:tcPr>
            <w:tcW w:w="1600" w:type="dxa"/>
            <w:vAlign w:val="bottom"/>
          </w:tcPr>
          <w:p>
            <w:pPr>
              <w:ind w:left="6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4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1600" w:type="dxa"/>
            <w:vAlign w:val="bottom"/>
          </w:tcPr>
          <w:p>
            <w:pPr>
              <w:ind w:left="62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4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 (Instr. 3, 4 and 5)</w:t>
            </w:r>
          </w:p>
        </w:tc>
        <w:tc>
          <w:tcPr>
            <w:tcW w:w="94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1600" w:type="dxa"/>
            <w:vAlign w:val="bottom"/>
          </w:tcPr>
          <w:p>
            <w:pPr>
              <w:ind w:left="62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 or</w:t>
            </w:r>
          </w:p>
        </w:tc>
        <w:tc>
          <w:tcPr>
            <w:tcW w:w="9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71"/>
        </w:trPr>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6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Owned at end of</w:t>
            </w:r>
          </w:p>
        </w:tc>
        <w:tc>
          <w:tcPr>
            <w:tcW w:w="900" w:type="dxa"/>
            <w:vAlign w:val="bottom"/>
            <w:vMerge w:val="restart"/>
          </w:tcPr>
          <w:p>
            <w:pPr>
              <w:ind w:left="120"/>
              <w:spacing w:after="0" w:line="126" w:lineRule="exact"/>
              <w:rPr>
                <w:sz w:val="20"/>
                <w:szCs w:val="20"/>
                <w:color w:val="auto"/>
              </w:rPr>
            </w:pPr>
            <w:r>
              <w:rPr>
                <w:rFonts w:ascii="Arial" w:cs="Arial" w:eastAsia="Arial" w:hAnsi="Arial"/>
                <w:sz w:val="11"/>
                <w:szCs w:val="11"/>
                <w:b w:val="1"/>
                <w:bCs w:val="1"/>
                <w:color w:val="auto"/>
              </w:rPr>
              <w:t>Indirect (I)</w:t>
            </w:r>
          </w:p>
        </w:tc>
        <w:tc>
          <w:tcPr>
            <w:tcW w:w="98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(A) or</w:t>
            </w:r>
          </w:p>
        </w:tc>
        <w:tc>
          <w:tcPr>
            <w:tcW w:w="94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Issuer's Fiscal</w:t>
            </w:r>
          </w:p>
        </w:tc>
        <w:tc>
          <w:tcPr>
            <w:tcW w:w="9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(Instr. 4)</w:t>
            </w:r>
          </w:p>
        </w:tc>
        <w:tc>
          <w:tcPr>
            <w:tcW w:w="9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700" w:type="dxa"/>
            <w:vAlign w:val="bottom"/>
            <w:vMerge w:val="continue"/>
          </w:tcPr>
          <w:p>
            <w:pPr>
              <w:spacing w:after="0"/>
              <w:rPr>
                <w:sz w:val="5"/>
                <w:szCs w:val="5"/>
                <w:color w:val="auto"/>
              </w:rPr>
            </w:pPr>
          </w:p>
        </w:tc>
        <w:tc>
          <w:tcPr>
            <w:tcW w:w="940" w:type="dxa"/>
            <w:vAlign w:val="bottom"/>
            <w:vMerge w:val="restart"/>
          </w:tcPr>
          <w:p>
            <w:pPr>
              <w:ind w:left="100"/>
              <w:spacing w:after="0" w:line="126" w:lineRule="exact"/>
              <w:rPr>
                <w:sz w:val="20"/>
                <w:szCs w:val="20"/>
                <w:color w:val="auto"/>
              </w:rPr>
            </w:pPr>
            <w:r>
              <w:rPr>
                <w:rFonts w:ascii="Arial" w:cs="Arial" w:eastAsia="Arial" w:hAnsi="Arial"/>
                <w:sz w:val="11"/>
                <w:szCs w:val="11"/>
                <w:b w:val="1"/>
                <w:bCs w:val="1"/>
                <w:color w:val="auto"/>
              </w:rPr>
              <w:t>Price</w:t>
            </w:r>
          </w:p>
        </w:tc>
        <w:tc>
          <w:tcPr>
            <w:tcW w:w="11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Year (Instr. 3 and</w:t>
            </w: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9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vMerge w:val="restart"/>
          </w:tcPr>
          <w:p>
            <w:pPr>
              <w:ind w:left="360"/>
              <w:spacing w:after="0"/>
              <w:rPr>
                <w:sz w:val="20"/>
                <w:szCs w:val="20"/>
                <w:color w:val="auto"/>
              </w:rPr>
            </w:pPr>
            <w:r>
              <w:rPr>
                <w:rFonts w:ascii="Arial" w:cs="Arial" w:eastAsia="Arial" w:hAnsi="Arial"/>
                <w:sz w:val="13"/>
                <w:szCs w:val="13"/>
                <w:color w:val="0000FF"/>
                <w:w w:val="88"/>
              </w:rPr>
              <w:t>156,463</w:t>
            </w:r>
            <w:r>
              <w:rPr>
                <w:rFonts w:ascii="Arial" w:cs="Arial" w:eastAsia="Arial" w:hAnsi="Arial"/>
                <w:sz w:val="20"/>
                <w:szCs w:val="20"/>
                <w:color w:val="008000"/>
                <w:w w:val="88"/>
                <w:vertAlign w:val="superscript"/>
              </w:rPr>
              <w:t>(2)</w:t>
            </w: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34"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1"/>
              <w:spacing w:after="0" w:line="134" w:lineRule="exact"/>
              <w:rPr>
                <w:sz w:val="20"/>
                <w:szCs w:val="20"/>
                <w:color w:val="auto"/>
              </w:rPr>
            </w:pPr>
            <w:r>
              <w:rPr>
                <w:rFonts w:ascii="Arial" w:cs="Arial" w:eastAsia="Arial" w:hAnsi="Arial"/>
                <w:sz w:val="13"/>
                <w:szCs w:val="13"/>
                <w:color w:val="0000FF"/>
              </w:rPr>
              <w:t>12/06/2021</w:t>
            </w:r>
          </w:p>
        </w:tc>
        <w:tc>
          <w:tcPr>
            <w:tcW w:w="1040" w:type="dxa"/>
            <w:vAlign w:val="bottom"/>
          </w:tcPr>
          <w:p>
            <w:pPr>
              <w:spacing w:after="0"/>
              <w:rPr>
                <w:sz w:val="3"/>
                <w:szCs w:val="3"/>
                <w:color w:val="auto"/>
              </w:rPr>
            </w:pPr>
          </w:p>
        </w:tc>
        <w:tc>
          <w:tcPr>
            <w:tcW w:w="780" w:type="dxa"/>
            <w:vAlign w:val="bottom"/>
            <w:vMerge w:val="restart"/>
          </w:tcPr>
          <w:p>
            <w:pPr>
              <w:ind w:left="340"/>
              <w:spacing w:after="0" w:line="134" w:lineRule="exact"/>
              <w:rPr>
                <w:sz w:val="20"/>
                <w:szCs w:val="20"/>
                <w:color w:val="auto"/>
              </w:rPr>
            </w:pPr>
            <w:r>
              <w:rPr>
                <w:rFonts w:ascii="Arial" w:cs="Arial" w:eastAsia="Arial" w:hAnsi="Arial"/>
                <w:sz w:val="13"/>
                <w:szCs w:val="13"/>
                <w:color w:val="0000FF"/>
              </w:rPr>
              <w:t>G</w:t>
            </w: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7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9"/>
              </w:rPr>
              <w:t>156,463</w:t>
            </w:r>
          </w:p>
        </w:tc>
        <w:tc>
          <w:tcPr>
            <w:tcW w:w="660" w:type="dxa"/>
            <w:vAlign w:val="bottom"/>
            <w:vMerge w:val="restart"/>
          </w:tcPr>
          <w:p>
            <w:pPr>
              <w:ind w:left="28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6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9"/>
              </w:rPr>
              <w:t>468,537</w:t>
            </w:r>
          </w:p>
        </w:tc>
        <w:tc>
          <w:tcPr>
            <w:tcW w:w="700" w:type="dxa"/>
            <w:vAlign w:val="bottom"/>
            <w:vMerge w:val="restart"/>
          </w:tcPr>
          <w:p>
            <w:pPr>
              <w:ind w:left="340"/>
              <w:spacing w:after="0" w:line="134"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ind w:left="520"/>
              <w:spacing w:after="0" w:line="89" w:lineRule="exact"/>
              <w:rPr>
                <w:sz w:val="20"/>
                <w:szCs w:val="20"/>
                <w:color w:val="auto"/>
              </w:rPr>
            </w:pP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vMerge w:val="restart"/>
          </w:tcPr>
          <w:p>
            <w:pPr>
              <w:ind w:left="360"/>
              <w:spacing w:after="0"/>
              <w:rPr>
                <w:sz w:val="20"/>
                <w:szCs w:val="20"/>
                <w:color w:val="auto"/>
              </w:rPr>
            </w:pPr>
            <w:r>
              <w:rPr>
                <w:rFonts w:ascii="Arial" w:cs="Arial" w:eastAsia="Arial" w:hAnsi="Arial"/>
                <w:sz w:val="13"/>
                <w:szCs w:val="13"/>
                <w:color w:val="0000FF"/>
                <w:w w:val="88"/>
              </w:rPr>
              <w:t>156,463</w:t>
            </w:r>
            <w:r>
              <w:rPr>
                <w:rFonts w:ascii="Arial" w:cs="Arial" w:eastAsia="Arial" w:hAnsi="Arial"/>
                <w:sz w:val="20"/>
                <w:szCs w:val="20"/>
                <w:color w:val="008000"/>
                <w:w w:val="88"/>
                <w:vertAlign w:val="superscript"/>
              </w:rPr>
              <w:t>(4)</w:t>
            </w: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34"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1"/>
              <w:spacing w:after="0" w:line="134" w:lineRule="exact"/>
              <w:rPr>
                <w:sz w:val="20"/>
                <w:szCs w:val="20"/>
                <w:color w:val="auto"/>
              </w:rPr>
            </w:pPr>
            <w:r>
              <w:rPr>
                <w:rFonts w:ascii="Arial" w:cs="Arial" w:eastAsia="Arial" w:hAnsi="Arial"/>
                <w:sz w:val="13"/>
                <w:szCs w:val="13"/>
                <w:color w:val="0000FF"/>
              </w:rPr>
              <w:t>12/06/2021</w:t>
            </w:r>
          </w:p>
        </w:tc>
        <w:tc>
          <w:tcPr>
            <w:tcW w:w="1040" w:type="dxa"/>
            <w:vAlign w:val="bottom"/>
          </w:tcPr>
          <w:p>
            <w:pPr>
              <w:spacing w:after="0"/>
              <w:rPr>
                <w:sz w:val="3"/>
                <w:szCs w:val="3"/>
                <w:color w:val="auto"/>
              </w:rPr>
            </w:pPr>
          </w:p>
        </w:tc>
        <w:tc>
          <w:tcPr>
            <w:tcW w:w="780" w:type="dxa"/>
            <w:vAlign w:val="bottom"/>
            <w:vMerge w:val="restart"/>
          </w:tcPr>
          <w:p>
            <w:pPr>
              <w:ind w:left="340"/>
              <w:spacing w:after="0" w:line="134" w:lineRule="exact"/>
              <w:rPr>
                <w:sz w:val="20"/>
                <w:szCs w:val="20"/>
                <w:color w:val="auto"/>
              </w:rPr>
            </w:pPr>
            <w:r>
              <w:rPr>
                <w:rFonts w:ascii="Arial" w:cs="Arial" w:eastAsia="Arial" w:hAnsi="Arial"/>
                <w:sz w:val="13"/>
                <w:szCs w:val="13"/>
                <w:color w:val="0000FF"/>
              </w:rPr>
              <w:t>G</w:t>
            </w: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7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9"/>
              </w:rPr>
              <w:t>156,463</w:t>
            </w:r>
          </w:p>
        </w:tc>
        <w:tc>
          <w:tcPr>
            <w:tcW w:w="660" w:type="dxa"/>
            <w:vAlign w:val="bottom"/>
            <w:vMerge w:val="restart"/>
          </w:tcPr>
          <w:p>
            <w:pPr>
              <w:ind w:left="28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6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9"/>
              </w:rPr>
              <w:t>468,537</w:t>
            </w:r>
          </w:p>
        </w:tc>
        <w:tc>
          <w:tcPr>
            <w:tcW w:w="700" w:type="dxa"/>
            <w:vAlign w:val="bottom"/>
            <w:vMerge w:val="restart"/>
          </w:tcPr>
          <w:p>
            <w:pPr>
              <w:ind w:left="340"/>
              <w:spacing w:after="0" w:line="134"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ind w:left="520"/>
              <w:spacing w:after="0" w:line="89" w:lineRule="exact"/>
              <w:rPr>
                <w:sz w:val="20"/>
                <w:szCs w:val="20"/>
                <w:color w:val="auto"/>
              </w:rPr>
            </w:pPr>
            <w:r>
              <w:rPr>
                <w:rFonts w:ascii="Arial" w:cs="Arial" w:eastAsia="Arial" w:hAnsi="Arial"/>
                <w:sz w:val="10"/>
                <w:szCs w:val="10"/>
                <w:color w:val="008000"/>
              </w:rPr>
              <w:t>(5)</w:t>
            </w: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3"/>
              </w:rPr>
              <w:t>40,235,479</w:t>
            </w:r>
            <w:r>
              <w:rPr>
                <w:rFonts w:ascii="Arial" w:cs="Arial" w:eastAsia="Arial" w:hAnsi="Arial"/>
                <w:sz w:val="20"/>
                <w:szCs w:val="20"/>
                <w:color w:val="008000"/>
                <w:w w:val="83"/>
                <w:vertAlign w:val="superscript"/>
              </w:rPr>
              <w:t>(2)(4)</w:t>
            </w:r>
          </w:p>
        </w:tc>
        <w:tc>
          <w:tcPr>
            <w:tcW w:w="7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34"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7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6"/>
              </w:rPr>
              <w:t>40,235,479</w:t>
            </w:r>
          </w:p>
        </w:tc>
        <w:tc>
          <w:tcPr>
            <w:tcW w:w="6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00" w:type="dxa"/>
            <w:vAlign w:val="bottom"/>
            <w:vMerge w:val="restart"/>
          </w:tcPr>
          <w:p>
            <w:pPr>
              <w:ind w:left="340"/>
              <w:spacing w:after="0" w:line="134"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ind w:left="520"/>
              <w:spacing w:after="0" w:line="89" w:lineRule="exact"/>
              <w:rPr>
                <w:sz w:val="20"/>
                <w:szCs w:val="20"/>
                <w:color w:val="auto"/>
              </w:rPr>
            </w:pPr>
            <w:r>
              <w:rPr>
                <w:rFonts w:ascii="Arial" w:cs="Arial" w:eastAsia="Arial" w:hAnsi="Arial"/>
                <w:sz w:val="10"/>
                <w:szCs w:val="10"/>
                <w:color w:val="008000"/>
              </w:rPr>
              <w:t>(6)</w:t>
            </w: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6"/>
              </w:rPr>
              <w:t>8,000,000</w:t>
            </w:r>
          </w:p>
        </w:tc>
        <w:tc>
          <w:tcPr>
            <w:tcW w:w="660" w:type="dxa"/>
            <w:vAlign w:val="bottom"/>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6"/>
              </w:rPr>
              <w:t>8,000,000</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vMerge w:val="restart"/>
          </w:tcPr>
          <w:p>
            <w:pPr>
              <w:ind w:left="8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share of Class B Common Stock is convertible into one share of Class A Common Stock at the option of the holder and upon the occurrence of other events set forth in the Issuer's Certificate of Incorporation.</w:t>
      </w:r>
    </w:p>
    <w:p>
      <w:pPr>
        <w:spacing w:after="0" w:line="73" w:lineRule="exact"/>
        <w:rPr>
          <w:rFonts w:ascii="Arial" w:cs="Arial" w:eastAsia="Arial" w:hAnsi="Arial"/>
          <w:sz w:val="10"/>
          <w:szCs w:val="10"/>
          <w:color w:val="008000"/>
        </w:rPr>
      </w:pPr>
    </w:p>
    <w:p>
      <w:pPr>
        <w:ind w:left="40" w:right="30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 2021, the Jason Gardner 2020 GRAT, dated November 23, 2020, of which the Reporting Person is trustee, transferred 156,463 shares of Class B common Stock to The Gardner 2008 Living Trust dated March 22, 2008, of which the Reporting Person and his spouse are trustees.</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Reporting Person, as trustee of the Jason Gardner 2020 GRAT, dated November 23, 2020.</w:t>
      </w:r>
    </w:p>
    <w:p>
      <w:pPr>
        <w:spacing w:after="0" w:line="38" w:lineRule="exact"/>
        <w:rPr>
          <w:rFonts w:ascii="Arial" w:cs="Arial" w:eastAsia="Arial" w:hAnsi="Arial"/>
          <w:sz w:val="13"/>
          <w:szCs w:val="13"/>
          <w:color w:val="008000"/>
        </w:rPr>
      </w:pPr>
    </w:p>
    <w:p>
      <w:pPr>
        <w:ind w:left="40" w:right="34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 2021, the Jocelyne Gardner 2020 GRAT, dated November 23, 2020, of which the Reporting Person's spouse is trustee, transferred 156,463 shares of Class B common Stock to The Gardner 2008 Living Trust dated March 22, 2008, of which the Reporting Person and his spouse are trustees.</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spouse of the Reporting Person, as trustee of the Jocelyne Gardner 2020 GRAT, dated November 23, 2020.</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Reporting Person and his spouse as trustees of The Gardner 2008 Living Trust dated March 22, 2008.</w:t>
      </w:r>
    </w:p>
    <w:p>
      <w:pPr>
        <w:spacing w:after="0" w:line="38" w:lineRule="exact"/>
        <w:rPr>
          <w:rFonts w:ascii="Arial" w:cs="Arial" w:eastAsia="Arial" w:hAnsi="Arial"/>
          <w:sz w:val="13"/>
          <w:szCs w:val="13"/>
          <w:color w:val="008000"/>
        </w:rPr>
      </w:pPr>
    </w:p>
    <w:p>
      <w:pPr>
        <w:ind w:left="40" w:right="16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trusts for the benefit of the Reporting Person's children and of which the trustee is an independent institution. The Reporting Person disclaims beneficial ownership of the shares held in the trusts for the benefit of the Reporting Person's children.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Christine Paster, Attorney-in- </w:t>
      </w:r>
      <w:r>
        <w:rPr>
          <w:rFonts w:ascii="Arial" w:cs="Arial" w:eastAsia="Arial" w:hAnsi="Arial"/>
          <w:sz w:val="32"/>
          <w:szCs w:val="32"/>
          <w:color w:val="0000FF"/>
          <w:vertAlign w:val="subscript"/>
        </w:rPr>
        <w:t>02/10/2022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3"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430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2022-02-11T23:37:56Z</dcterms:created>
  <dcterms:modified xsi:type="dcterms:W3CDTF">2022-02-11T23:37:56Z</dcterms:modified>
</cp:coreProperties>
</file>