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60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333-256154</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45,454,546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214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4"/>
          <w:szCs w:val="24"/>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$27.00 per share. We have been approved to list our Class A common stock on the Nasdaq Global Select Market under the symbol “MQ.”</w:t>
      </w:r>
    </w:p>
    <w:p>
      <w:pPr>
        <w:spacing w:after="0" w:line="131" w:lineRule="exact"/>
        <w:rPr>
          <w:sz w:val="24"/>
          <w:szCs w:val="24"/>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99.1% of the voting power of our outstanding capital stock following this offering.</w:t>
      </w:r>
    </w:p>
    <w:p>
      <w:pPr>
        <w:spacing w:after="0" w:line="167" w:lineRule="exact"/>
        <w:rPr>
          <w:sz w:val="24"/>
          <w:szCs w:val="24"/>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21 to read about factors you should consider before buying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120" w:type="dxa"/>
        <w:tblCellMar>
          <w:top w:w="0" w:type="dxa"/>
          <w:left w:w="0" w:type="dxa"/>
          <w:bottom w:w="0" w:type="dxa"/>
          <w:right w:w="0" w:type="dxa"/>
        </w:tblCellMar>
      </w:tblPr>
      <w:tr>
        <w:trPr>
          <w:trHeight w:val="209"/>
        </w:trPr>
        <w:tc>
          <w:tcPr>
            <w:tcW w:w="8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color w:val="auto"/>
              </w:rPr>
              <w:t>Per Share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6"/>
                <w:szCs w:val="16"/>
                <w:color w:val="auto"/>
              </w:rPr>
              <w:t>Total</w:t>
            </w:r>
          </w:p>
        </w:tc>
      </w:tr>
      <w:tr>
        <w:trPr>
          <w:trHeight w:val="19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1,227,272,742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1.755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79,772,728</w:t>
            </w:r>
          </w:p>
        </w:tc>
      </w:tr>
      <w:tr>
        <w:trPr>
          <w:trHeight w:val="202"/>
        </w:trPr>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1,147,500,014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4"/>
          <w:szCs w:val="24"/>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underwriters have the option to purchase up to an additional 6,818,181 shares of Class A common stock from us at the initial public offering price less the underwriting discount.</w:t>
      </w:r>
    </w:p>
    <w:p>
      <w:pPr>
        <w:spacing w:after="0" w:line="13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underwriters expect to deliver the shares against payment in New York, New York on June 11, 2021.</w:t>
      </w:r>
    </w:p>
    <w:p>
      <w:pPr>
        <w:sectPr>
          <w:pgSz w:w="11900" w:h="16838" w:orient="portrait"/>
          <w:cols w:equalWidth="0" w:num="1">
            <w:col w:w="11140"/>
          </w:cols>
          <w:pgMar w:left="320" w:top="230" w:right="439" w:bottom="1440" w:gutter="0" w:footer="0" w:header="0"/>
        </w:sectPr>
      </w:pPr>
    </w:p>
    <w:p>
      <w:pPr>
        <w:spacing w:after="0" w:line="248" w:lineRule="exact"/>
        <w:rPr>
          <w:sz w:val="24"/>
          <w:szCs w:val="24"/>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4"/>
          <w:szCs w:val="24"/>
          <w:color w:val="auto"/>
        </w:rPr>
      </w:pPr>
    </w:p>
    <w:p>
      <w:pPr>
        <w:sectPr>
          <w:pgSz w:w="11900" w:h="16838" w:orient="portrait"/>
          <w:cols w:equalWidth="0" w:num="2">
            <w:col w:w="9100" w:space="720"/>
            <w:col w:w="1320"/>
          </w:cols>
          <w:pgMar w:left="320" w:top="230" w:right="439" w:bottom="1440" w:gutter="0" w:footer="0" w:header="0"/>
          <w:type w:val="continuous"/>
        </w:sectPr>
      </w:pPr>
    </w:p>
    <w:p>
      <w:pPr>
        <w:spacing w:after="0" w:line="48" w:lineRule="exact"/>
        <w:rPr>
          <w:sz w:val="24"/>
          <w:szCs w:val="24"/>
          <w:color w:val="auto"/>
        </w:rPr>
      </w:pPr>
    </w:p>
    <w:p>
      <w:pPr>
        <w:ind w:left="134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Barclays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KeyBanc Capital Markets</w:t>
      </w:r>
    </w:p>
    <w:p>
      <w:pPr>
        <w:spacing w:after="0" w:line="178" w:lineRule="exact"/>
        <w:rPr>
          <w:sz w:val="24"/>
          <w:szCs w:val="24"/>
          <w:color w:val="auto"/>
        </w:rPr>
      </w:pPr>
    </w:p>
    <w:p>
      <w:pPr>
        <w:sectPr>
          <w:pgSz w:w="11900" w:h="16838" w:orient="portrait"/>
          <w:cols w:equalWidth="0" w:num="4">
            <w:col w:w="2360" w:space="720"/>
            <w:col w:w="900" w:space="720"/>
            <w:col w:w="2100" w:space="720"/>
            <w:col w:w="3620"/>
          </w:cols>
          <w:pgMar w:left="320" w:top="230" w:right="439" w:bottom="1440" w:gutter="0" w:footer="0" w:header="0"/>
          <w:type w:val="continuous"/>
        </w:sectPr>
      </w:pPr>
    </w:p>
    <w:p>
      <w:pPr>
        <w:ind w:left="2540"/>
        <w:spacing w:after="0"/>
        <w:rPr>
          <w:sz w:val="20"/>
          <w:szCs w:val="20"/>
          <w:color w:val="auto"/>
        </w:rPr>
      </w:pPr>
      <w:r>
        <w:rPr>
          <w:rFonts w:ascii="Arial" w:cs="Arial" w:eastAsia="Arial" w:hAnsi="Arial"/>
          <w:sz w:val="18"/>
          <w:szCs w:val="18"/>
          <w:b w:val="1"/>
          <w:bCs w:val="1"/>
          <w:color w:val="auto"/>
        </w:rPr>
        <w:t>Nomura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p>
      <w:pPr>
        <w:spacing w:after="0" w:line="211" w:lineRule="exact"/>
        <w:rPr>
          <w:sz w:val="24"/>
          <w:szCs w:val="24"/>
          <w:color w:val="auto"/>
        </w:rPr>
      </w:pPr>
    </w:p>
    <w:p>
      <w:pPr>
        <w:sectPr>
          <w:pgSz w:w="11900" w:h="16838" w:orient="portrait"/>
          <w:cols w:equalWidth="0" w:num="4">
            <w:col w:w="3240" w:space="440"/>
            <w:col w:w="540" w:space="400"/>
            <w:col w:w="1920" w:space="400"/>
            <w:col w:w="4200"/>
          </w:cols>
          <w:pgMar w:left="320" w:top="230" w:right="439" w:bottom="1440" w:gutter="0" w:footer="0" w:header="0"/>
          <w:type w:val="continuous"/>
        </w:sectPr>
      </w:pPr>
    </w:p>
    <w:p>
      <w:pPr>
        <w:spacing w:after="0" w:line="36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Prospectus dated June 8,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220345</wp:posOffset>
            </wp:positionV>
            <wp:extent cx="6557645" cy="909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220345</wp:posOffset>
            </wp:positionV>
            <wp:extent cx="6557645" cy="9095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220345</wp:posOffset>
            </wp:positionV>
            <wp:extent cx="6875145" cy="9095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4"/>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8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640" w:type="dxa"/>
            <w:vAlign w:val="bottom"/>
            <w:gridSpan w:val="2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9"/>
        </w:trPr>
        <w:tc>
          <w:tcPr>
            <w:tcW w:w="10640" w:type="dxa"/>
            <w:vAlign w:val="bottom"/>
            <w:gridSpan w:val="25"/>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12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Special Note Regarding Forward-Looking Statements</w:t>
              </w:r>
            </w:hyperlink>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Industry and Market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88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Dividend Policy</w:t>
              </w:r>
            </w:hyperlink>
          </w:p>
        </w:tc>
        <w:tc>
          <w:tcPr>
            <w:tcW w:w="94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Capitalization</w:t>
              </w:r>
            </w:hyperlink>
          </w:p>
        </w:tc>
        <w:tc>
          <w:tcPr>
            <w:tcW w:w="96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Dilution</w:t>
              </w:r>
            </w:hyperlink>
          </w:p>
        </w:tc>
        <w:tc>
          <w:tcPr>
            <w:tcW w:w="100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Selected Consolidated Financial and Other Data</w:t>
              </w:r>
            </w:hyperlink>
          </w:p>
        </w:tc>
        <w:tc>
          <w:tcPr>
            <w:tcW w:w="71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Letter from Jason Gardner, Founder and Chief Executive Officer</w:t>
              </w:r>
            </w:hyperlink>
          </w:p>
        </w:tc>
        <w:tc>
          <w:tcPr>
            <w:tcW w:w="59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04">
              <w:r>
                <w:rPr>
                  <w:rFonts w:ascii="Arial" w:cs="Arial" w:eastAsia="Arial" w:hAnsi="Arial"/>
                  <w:sz w:val="18"/>
                  <w:szCs w:val="18"/>
                  <w:color w:val="0000EE"/>
                  <w:w w:val="84"/>
                </w:rPr>
                <w:t>Business</w:t>
              </w:r>
            </w:hyperlink>
          </w:p>
        </w:tc>
        <w:tc>
          <w:tcPr>
            <w:tcW w:w="1000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2">
              <w:r>
                <w:rPr>
                  <w:rFonts w:ascii="Arial" w:cs="Arial" w:eastAsia="Arial" w:hAnsi="Arial"/>
                  <w:sz w:val="18"/>
                  <w:szCs w:val="18"/>
                  <w:color w:val="0000EE"/>
                  <w:w w:val="87"/>
                </w:rPr>
                <w:t>Management</w:t>
              </w:r>
            </w:hyperlink>
          </w:p>
        </w:tc>
        <w:tc>
          <w:tcPr>
            <w:tcW w:w="97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Executive Compensation</w:t>
              </w:r>
            </w:hyperlink>
          </w:p>
        </w:tc>
        <w:tc>
          <w:tcPr>
            <w:tcW w:w="884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Certain Relationships and Related Party Transactions</w:t>
              </w:r>
            </w:hyperlink>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Shares Eligible for Future Sale</w:t>
              </w:r>
            </w:hyperlink>
          </w:p>
        </w:tc>
        <w:tc>
          <w:tcPr>
            <w:tcW w:w="842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Material U.S. Federal Income Tax Consequences to Non-U.S. Holders of our Class A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73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Underwriting</w:t>
              </w:r>
            </w:hyperlink>
          </w:p>
        </w:tc>
        <w:tc>
          <w:tcPr>
            <w:tcW w:w="3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5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Experts</w:t>
              </w:r>
            </w:hyperlink>
          </w:p>
        </w:tc>
        <w:tc>
          <w:tcPr>
            <w:tcW w:w="96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5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86">
              <w:r>
                <w:rPr>
                  <w:rFonts w:ascii="Arial" w:cs="Arial" w:eastAsia="Arial" w:hAnsi="Arial"/>
                  <w:sz w:val="18"/>
                  <w:szCs w:val="18"/>
                  <w:color w:val="0000EE"/>
                  <w:w w:val="95"/>
                </w:rPr>
                <w:t>Additional Information</w:t>
              </w:r>
            </w:hyperlink>
          </w:p>
        </w:tc>
        <w:tc>
          <w:tcPr>
            <w:tcW w:w="89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87">
              <w:r>
                <w:rPr>
                  <w:rFonts w:ascii="Arial" w:cs="Arial" w:eastAsia="Arial" w:hAnsi="Arial"/>
                  <w:sz w:val="18"/>
                  <w:szCs w:val="18"/>
                  <w:color w:val="0000EE"/>
                  <w:w w:val="89"/>
                </w:rPr>
                <w:t>Index to Consolidated Financial Statements</w:t>
              </w:r>
            </w:hyperlink>
          </w:p>
        </w:tc>
        <w:tc>
          <w:tcPr>
            <w:tcW w:w="750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7"/>
          <w:szCs w:val="17"/>
          <w:b w:val="1"/>
          <w:bCs w:val="1"/>
          <w:color w:val="auto"/>
        </w:rPr>
        <w:t>Through and including July 3,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Square’s Cash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w:t>
      </w:r>
      <w:r>
        <w:rPr>
          <w:rFonts w:ascii="Arial" w:cs="Arial" w:eastAsia="Arial" w:hAnsi="Arial"/>
          <w:sz w:val="14"/>
          <w:szCs w:val="14"/>
          <w:color w:val="auto"/>
        </w:rPr>
        <w:t>1</w:t>
      </w:r>
      <w:r>
        <w:rPr>
          <w:rFonts w:ascii="Arial" w:cs="Arial" w:eastAsia="Arial" w:hAnsi="Arial"/>
          <w:sz w:val="17"/>
          <w:szCs w:val="17"/>
          <w:color w:val="auto"/>
        </w:rPr>
        <w:t xml:space="preserve"> of over 200% for each of the years ended December 31, 2019 and 2020.</w:t>
      </w:r>
    </w:p>
    <w:p>
      <w:pPr>
        <w:spacing w:after="0" w:line="176"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In the three months ended March 31, 2021, the Marqeta Platform processed $24.0 billion of total processing volume, or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in 2019,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For the three months ended March 31, 2020 and 2021, our net revenue was $48.4 million and $108.0 million, respectively, an increase of 123%. We incurred net losses of $58.2 million and $47.7 million for the years ended December 31, 2019 and 2020, respectively, a decrease of 18%. For the three months ended March 31, 2020 and 2021, we incurred net losses of $14.5 million and $12.8 million, respectively, a decrease of 12%.</w:t>
      </w:r>
    </w:p>
    <w:p>
      <w:pPr>
        <w:spacing w:after="0" w:line="156" w:lineRule="exact"/>
        <w:rPr>
          <w:sz w:val="20"/>
          <w:szCs w:val="20"/>
          <w:color w:val="auto"/>
        </w:rPr>
      </w:pPr>
    </w:p>
    <w:p>
      <w:pPr>
        <w:jc w:val="both"/>
        <w:ind w:left="600" w:hanging="302"/>
        <w:spacing w:after="0" w:line="233" w:lineRule="auto"/>
        <w:tabs>
          <w:tab w:leader="none" w:pos="600" w:val="left"/>
        </w:tabs>
        <w:numPr>
          <w:ilvl w:val="0"/>
          <w:numId w:val="1"/>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96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796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92"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89"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6160" w:hanging="179"/>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Issuing:</w:t>
      </w:r>
      <w:r>
        <w:rPr>
          <w:rFonts w:ascii="Arial" w:cs="Arial" w:eastAsia="Arial" w:hAnsi="Arial"/>
          <w:sz w:val="18"/>
          <w:szCs w:val="18"/>
          <w:color w:val="auto"/>
        </w:rPr>
        <w:t xml:space="preserve"> 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w:t>
      </w:r>
    </w:p>
    <w:p>
      <w:pPr>
        <w:spacing w:after="0" w:line="98" w:lineRule="exact"/>
        <w:rPr>
          <w:sz w:val="20"/>
          <w:szCs w:val="20"/>
          <w:color w:val="auto"/>
        </w:rPr>
      </w:pPr>
    </w:p>
    <w:p>
      <w:pPr>
        <w:jc w:val="both"/>
        <w:ind w:left="6160" w:hanging="179"/>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Processing:</w:t>
      </w:r>
      <w:r>
        <w:rPr>
          <w:rFonts w:ascii="Arial" w:cs="Arial" w:eastAsia="Arial" w:hAnsi="Arial"/>
          <w:sz w:val="18"/>
          <w:szCs w:val="18"/>
          <w:color w:val="auto"/>
        </w:rPr>
        <w:t xml:space="preserve"> Our Platform can process transactions with control and speed for our Customers, leveraging certain of our core competencies.</w:t>
      </w:r>
    </w:p>
    <w:p>
      <w:pPr>
        <w:spacing w:after="0" w:line="89" w:lineRule="exact"/>
        <w:rPr>
          <w:sz w:val="20"/>
          <w:szCs w:val="20"/>
          <w:color w:val="auto"/>
        </w:rPr>
      </w:pPr>
    </w:p>
    <w:p>
      <w:pPr>
        <w:jc w:val="both"/>
        <w:ind w:left="6160" w:hanging="179"/>
        <w:spacing w:after="0" w:line="27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Marqeta Applications:</w:t>
      </w:r>
      <w:r>
        <w:rPr>
          <w:rFonts w:ascii="Arial" w:cs="Arial" w:eastAsia="Arial" w:hAnsi="Arial"/>
          <w:sz w:val="17"/>
          <w:szCs w:val="17"/>
          <w:color w:val="auto"/>
        </w:rPr>
        <w:t xml:space="preserve"> Using the Marqeta Platform, Customers can leverage applications that cover the entire payments lifecycle, including development tools; program administration; and fraud, cases, and chargebacks. These applications help ensure their programs are as successful as possible.</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9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b w:val="1"/>
          <w:bCs w:val="1"/>
          <w:i w:val="1"/>
          <w:iCs w:val="1"/>
          <w:color w:val="auto"/>
        </w:rPr>
        <w:t xml:space="preserve">Modern Card Issuing Trailblazer: </w:t>
      </w:r>
      <w:r>
        <w:rPr>
          <w:rFonts w:ascii="Arial" w:cs="Arial" w:eastAsia="Arial" w:hAnsi="Arial"/>
          <w:sz w:val="16"/>
          <w:szCs w:val="16"/>
          <w:color w:val="auto"/>
        </w:rPr>
        <w:t>Marqeta created modern card issuing. We believe we have the first-mover advantage and have leveraged it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 technology, customer, and industry expertise. Our modern Platform offers multiple issuing and processing innovations, including open</w:t>
      </w:r>
    </w:p>
    <w:p>
      <w:pPr>
        <w:spacing w:after="0" w:line="126" w:lineRule="exact"/>
        <w:rPr>
          <w:sz w:val="20"/>
          <w:szCs w:val="20"/>
          <w:color w:val="auto"/>
        </w:rPr>
      </w:pPr>
    </w:p>
    <w:p>
      <w:pPr>
        <w:ind w:left="600" w:hanging="302"/>
        <w:spacing w:after="0"/>
        <w:tabs>
          <w:tab w:leader="none" w:pos="600" w:val="left"/>
        </w:tabs>
        <w:numPr>
          <w:ilvl w:val="0"/>
          <w:numId w:val="3"/>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93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APIs, JIT Funding, and Tokenization as a Service. We continue to innovate on our Platform, and we believe that this innovation, coupled with our deep expertise, keeps us in a market-leading position.</w:t>
      </w:r>
    </w:p>
    <w:p>
      <w:pPr>
        <w:spacing w:after="0" w:line="62"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b w:val="1"/>
          <w:bCs w:val="1"/>
          <w:i w:val="1"/>
          <w:iCs w:val="1"/>
          <w:color w:val="auto"/>
        </w:rPr>
        <w:t xml:space="preserve">Enduring Customer Relationships: </w:t>
      </w:r>
      <w:r>
        <w:rPr>
          <w:rFonts w:ascii="Arial" w:cs="Arial" w:eastAsia="Arial" w:hAnsi="Arial"/>
          <w:sz w:val="17"/>
          <w:szCs w:val="17"/>
          <w:color w:val="auto"/>
        </w:rPr>
        <w:t>Our dollar-based net revenue retention was over 200% for each of the years ended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2020, 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7"/>
          <w:szCs w:val="17"/>
          <w:i w:val="1"/>
          <w:iCs w:val="1"/>
          <w:color w:val="auto"/>
        </w:rPr>
        <w:t>technically</w:t>
      </w:r>
      <w:r>
        <w:rPr>
          <w:rFonts w:ascii="Arial" w:cs="Arial" w:eastAsia="Arial" w:hAnsi="Arial"/>
          <w:sz w:val="17"/>
          <w:szCs w:val="17"/>
          <w:color w:val="auto"/>
        </w:rPr>
        <w:t xml:space="preserve"> integrated within their products and solutions, </w:t>
      </w:r>
      <w:r>
        <w:rPr>
          <w:rFonts w:ascii="Arial" w:cs="Arial" w:eastAsia="Arial" w:hAnsi="Arial"/>
          <w:sz w:val="17"/>
          <w:szCs w:val="17"/>
          <w:i w:val="1"/>
          <w:iCs w:val="1"/>
          <w:color w:val="auto"/>
        </w:rPr>
        <w:t>operationally</w:t>
      </w:r>
      <w:r>
        <w:rPr>
          <w:rFonts w:ascii="Arial" w:cs="Arial" w:eastAsia="Arial" w:hAnsi="Arial"/>
          <w:sz w:val="17"/>
          <w:szCs w:val="17"/>
          <w:color w:val="auto"/>
        </w:rPr>
        <w:t xml:space="preserve"> integrated as Customers develop core processes around our tools and platform, and </w:t>
      </w:r>
      <w:r>
        <w:rPr>
          <w:rFonts w:ascii="Arial" w:cs="Arial" w:eastAsia="Arial" w:hAnsi="Arial"/>
          <w:sz w:val="17"/>
          <w:szCs w:val="17"/>
          <w:i w:val="1"/>
          <w:iCs w:val="1"/>
          <w:color w:val="auto"/>
        </w:rPr>
        <w:t>culturally</w:t>
      </w:r>
      <w:r>
        <w:rPr>
          <w:rFonts w:ascii="Arial" w:cs="Arial" w:eastAsia="Arial" w:hAnsi="Arial"/>
          <w:sz w:val="17"/>
          <w:szCs w:val="17"/>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0"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 have created an environment where everyone belongs, and employees are empowered to do the best work of their lives.</w:t>
      </w:r>
    </w:p>
    <w:p>
      <w:pPr>
        <w:spacing w:after="0" w:line="161"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8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have elected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or the Sarbanes Oxley Act,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1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45,454,546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45,454,546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484,791,355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6,818,181 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530,245,901 shares (or 537,064,082 shares if the underwriters’ option to purchase additional shares in this offering is exercised in full).</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 selling in this offering will be approximately $1,132.5 million (or approximately $1,304.6 million if the underwriters’ option to purchase additional shares in this offering is exercised in full), based upon the initial public offering price of $27.00 per share, and after deducting underwriting discounts and commissions and estimated offering expenses payable by us and tax withholdings related to the settlement of RSUs.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intend to use the net proceeds of this offering for working capital, other general corporate purposes, and to fund our growth strategies discussed in this prospectus.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200" w:lineRule="exact"/>
        <w:rPr>
          <w:sz w:val="20"/>
          <w:szCs w:val="20"/>
          <w:color w:val="auto"/>
        </w:rPr>
      </w:pPr>
    </w:p>
    <w:p>
      <w:pPr>
        <w:sectPr>
          <w:pgSz w:w="11900" w:h="16838" w:orient="portrait"/>
          <w:cols w:equalWidth="0" w:num="2">
            <w:col w:w="5660" w:space="160"/>
            <w:col w:w="5120"/>
          </w:cols>
          <w:pgMar w:left="320" w:top="459" w:right="6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64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have two classes of common stock: Class A common stock and Class B common stock.</w:t>
      </w:r>
    </w:p>
    <w:p>
      <w:pPr>
        <w:spacing w:after="0" w:line="197"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Shares of our Class A common stock are entitled to one vote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B common stock are entitled to 10 votes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Holders of our Class A common stock and Class B common stock will</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generally vote together as a single class, unless otherwise required by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law or our amended and restated certificate of incorporation that will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 in effect on the completion of this offering. The holders of our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outstanding Class B common stock will hold approximately 99.1% of</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voting power of our outstanding capital stock following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completion of this offering and will have the ability to control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outcome  of  matters  submitted  to  our  stockholders  for  approval,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including the election of our directors and the approval of any change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control transaction. See the sections titled “Principal Stockholders”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“Description of Capital Stock” for additional information.</w:t>
      </w:r>
    </w:p>
    <w:p>
      <w:pPr>
        <w:sectPr>
          <w:pgSz w:w="11900" w:h="16838" w:orient="portrait"/>
          <w:cols w:equalWidth="0" w:num="1">
            <w:col w:w="10940"/>
          </w:cols>
          <w:pgMar w:left="320" w:top="459" w:right="639" w:bottom="1440" w:gutter="0" w:footer="0" w:header="0"/>
          <w:type w:val="continuous"/>
        </w:sectPr>
      </w:pPr>
    </w:p>
    <w:p>
      <w:pPr>
        <w:spacing w:after="0" w:line="23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completion of this offering, our executive officers and directors, and their affiliates, will beneficially own, in the aggregate, approximately 32.0% of our outstanding shares of common stock, representing approximately 34.5% of the voting power of our outstanding shares of common stock.</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See the section titled “Risk Factors” for a discussion of factors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“MQ.”</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39"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484,791,355 shares of our Class B common stock outstanding including our redeemable convertible preferred stock on as-converted basis as of March 31, 2021, and excludes:</w:t>
      </w:r>
    </w:p>
    <w:p>
      <w:pPr>
        <w:spacing w:after="0" w:line="89" w:lineRule="exact"/>
        <w:rPr>
          <w:sz w:val="20"/>
          <w:szCs w:val="20"/>
          <w:color w:val="auto"/>
        </w:rPr>
      </w:pPr>
    </w:p>
    <w:p>
      <w:pPr>
        <w:ind w:left="1020" w:right="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2021 through June 1, 2021, with a weighted-average exercise price of $21.617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 through June 1, 2021;</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10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or Uber, dated September 15, 2020, with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 or the Uber Warrant Milestones;</w:t>
      </w:r>
    </w:p>
    <w:p>
      <w:pPr>
        <w:spacing w:after="0" w:line="93"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certain milestones relating to Square’s creation of a specified percentage of new cardholders on our Platform each year over a three-year period, or the Square Warrant Milestones;</w:t>
      </w:r>
    </w:p>
    <w:p>
      <w:pPr>
        <w:spacing w:after="0" w:line="92"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or Ramp, dated March 31, 2021, with an exercise price of $0.01 per share, none of which are currently exercisable and all of which are exercisable upon attaining certain milestones relating to Ramp’s creation of a specified percentage of new cardholders on our Platform each year over a three-year period, or the Ramp Warrant Milestones;</w:t>
      </w:r>
    </w:p>
    <w:p>
      <w:pPr>
        <w:spacing w:after="0" w:line="92"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Amended and Restated 2011 Equity Incentive Plan, as amended, or our 2011 Plan; and</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Stock Option and Incentive Plan, or our 2021 Plan; and</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2021 Employee Stock Purchase Plan, or our ESPP.</w:t>
      </w:r>
    </w:p>
    <w:p>
      <w:pPr>
        <w:spacing w:after="0" w:line="17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and ESPP each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 Employee Benefits and Stock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21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021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into an aggregate of 351,844,340 shares of our Class B common stock, the conversion of which will occur immediately prior to the completion of this offering;</w:t>
      </w:r>
    </w:p>
    <w:p>
      <w:pPr>
        <w:spacing w:after="0" w:line="51" w:lineRule="exact"/>
        <w:rPr>
          <w:rFonts w:ascii="Arial" w:cs="Arial" w:eastAsia="Arial" w:hAnsi="Arial"/>
          <w:sz w:val="17"/>
          <w:szCs w:val="17"/>
          <w:color w:val="auto"/>
        </w:rPr>
      </w:pPr>
    </w:p>
    <w:p>
      <w:pPr>
        <w:ind w:left="10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issuance of 428,675 shares of our Class B common stock issuable pursuant to the vesting and settlement of 739,095 RSUs for which the service condition was satisfied as of March 31, 2021, and for which the liquidity condition was satisfied in connection with this offering (based on an assumed 42% tax withholding rate);</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6,818,181 shares of Class A common stock from us in this offering; and</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or settlement of outstanding RSUs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We derived the summary consolidated statements of operations data for the three months ended March 31, 2020 and 2021, and the consolidated balance sheet data as of March 31, 2021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13"/>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per share amounts or as noted)</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3"/>
              </w:rPr>
              <w:t>$290,292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48,388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107,983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200" w:type="dxa"/>
            <w:vAlign w:val="bottom"/>
            <w:shd w:val="clear" w:color="auto" w:fill="CCEEFF"/>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All other operating expenses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(58,863)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(10,652)</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(47,695)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(12,838)</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loss per share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Class A and Class B common stockholders, basic and diluted</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113,852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118,478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130,841</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net loss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(29,730)</w:t>
            </w: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8"/>
              </w:rPr>
              <w:t>Pro forma net loss per share attributable to Class A and Class B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shares used in computing pro forma net loss per share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attributable to Class A and Class B common stockholders, basic and 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469,360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483,415</w:t>
            </w:r>
          </w:p>
        </w:tc>
        <w:tc>
          <w:tcPr>
            <w:tcW w:w="200" w:type="dxa"/>
            <w:vAlign w:val="bottom"/>
            <w:shd w:val="clear" w:color="auto" w:fill="CCEEFF"/>
          </w:tcPr>
          <w:p>
            <w:pPr>
              <w:spacing w:after="0"/>
              <w:rPr>
                <w:sz w:val="20"/>
                <w:szCs w:val="20"/>
                <w:color w:val="auto"/>
              </w:rPr>
            </w:pPr>
          </w:p>
        </w:tc>
      </w:tr>
    </w:tbl>
    <w:p>
      <w:pPr>
        <w:spacing w:after="0" w:line="179" w:lineRule="exact"/>
        <w:rPr>
          <w:sz w:val="20"/>
          <w:szCs w:val="20"/>
          <w:color w:val="auto"/>
        </w:rPr>
      </w:pPr>
    </w:p>
    <w:p>
      <w:pPr>
        <w:jc w:val="both"/>
        <w:ind w:left="820" w:hanging="522"/>
        <w:spacing w:after="0" w:line="265"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820" w:hanging="52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4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42475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hanging="522"/>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$ 247,630</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$247,630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$1,383,960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7,800</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140,145</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140,145</w:t>
            </w:r>
          </w:p>
        </w:tc>
        <w:tc>
          <w:tcPr>
            <w:tcW w:w="900" w:type="dxa"/>
            <w:vAlign w:val="bottom"/>
          </w:tcPr>
          <w:p>
            <w:pPr>
              <w:jc w:val="right"/>
              <w:spacing w:after="0"/>
              <w:rPr>
                <w:sz w:val="20"/>
                <w:szCs w:val="20"/>
                <w:color w:val="auto"/>
              </w:rPr>
            </w:pPr>
            <w:r>
              <w:rPr>
                <w:rFonts w:ascii="Arial" w:cs="Arial" w:eastAsia="Arial" w:hAnsi="Arial"/>
                <w:sz w:val="18"/>
                <w:szCs w:val="18"/>
                <w:color w:val="auto"/>
              </w:rPr>
              <w:t>140,145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289,370</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280,989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481,803</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481,803</w:t>
            </w:r>
          </w:p>
        </w:tc>
        <w:tc>
          <w:tcPr>
            <w:tcW w:w="900" w:type="dxa"/>
            <w:vAlign w:val="bottom"/>
          </w:tcPr>
          <w:p>
            <w:pPr>
              <w:jc w:val="right"/>
              <w:spacing w:after="0"/>
              <w:rPr>
                <w:sz w:val="20"/>
                <w:szCs w:val="20"/>
                <w:color w:val="auto"/>
              </w:rPr>
            </w:pPr>
            <w:r>
              <w:rPr>
                <w:rFonts w:ascii="Arial" w:cs="Arial" w:eastAsia="Arial" w:hAnsi="Arial"/>
                <w:sz w:val="18"/>
                <w:szCs w:val="18"/>
                <w:color w:val="auto"/>
              </w:rPr>
              <w:t>1,613,387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193,497</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197,051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501,881</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(213,575)</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284,752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20" w:hanging="522"/>
        <w:spacing w:after="0" w:line="282" w:lineRule="auto"/>
        <w:tabs>
          <w:tab w:leader="none" w:pos="8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the liquidity condition was satisfied in connection with this offering (based on an assumed 42% tax withholding rate), (vi) the increase in other accrued liabilities and an equivalent decrease in additional paid-in capital of $8.4 million in connection with tax withholding and remittance obligations related to such RSUs, based upon the initial public offering price of $27.00 per share, all of which will occur immediately prior to the completion of this offering, as if such actions had occurred on March 31, 2021, and (vii) $19.2 million of cumulative share-based compensation expense related to the RSUs for which the service condition was satisfied as of March 31, 2021 and for which the liquidity condition was satisfied in connection with this offering.</w:t>
      </w:r>
    </w:p>
    <w:p>
      <w:pPr>
        <w:spacing w:after="0" w:line="1" w:lineRule="exact"/>
        <w:rPr>
          <w:rFonts w:ascii="Arial" w:cs="Arial" w:eastAsia="Arial" w:hAnsi="Arial"/>
          <w:sz w:val="15"/>
          <w:szCs w:val="15"/>
          <w:color w:val="auto"/>
        </w:rPr>
      </w:pPr>
    </w:p>
    <w:p>
      <w:pPr>
        <w:ind w:left="820" w:hanging="522"/>
        <w:spacing w:after="0"/>
        <w:tabs>
          <w:tab w:leader="none" w:pos="8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rFonts w:ascii="Arial" w:cs="Arial" w:eastAsia="Arial" w:hAnsi="Arial"/>
          <w:sz w:val="15"/>
          <w:szCs w:val="15"/>
          <w:color w:val="auto"/>
        </w:rPr>
      </w:pPr>
    </w:p>
    <w:p>
      <w:pPr>
        <w:jc w:val="both"/>
        <w:ind w:left="820"/>
        <w:spacing w:after="0" w:line="276" w:lineRule="auto"/>
        <w:rPr>
          <w:rFonts w:ascii="Arial" w:cs="Arial" w:eastAsia="Arial" w:hAnsi="Arial"/>
          <w:sz w:val="15"/>
          <w:szCs w:val="15"/>
          <w:color w:val="auto"/>
        </w:rPr>
      </w:pPr>
      <w:r>
        <w:rPr>
          <w:rFonts w:ascii="Arial" w:cs="Arial" w:eastAsia="Arial" w:hAnsi="Arial"/>
          <w:sz w:val="16"/>
          <w:szCs w:val="16"/>
          <w:color w:val="auto"/>
        </w:rPr>
        <w:t>(b) our receipt of estimated net proceeds from the sale and issuance by us of 45,454,546 shares of our Class A common stock in this offering, based on the initial public offering price of $27.00 per share, after deducting the underwriting discounts and commissions and estimated offering expenses payable by us, and the use of proceeds to satisfy the withholding tax and remittance obligations described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21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621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$(58,200)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$(47,695)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(14,530)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$(34,026)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$(15,378)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(10,411)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79" w:lineRule="exact"/>
        <w:rPr>
          <w:sz w:val="20"/>
          <w:szCs w:val="20"/>
          <w:color w:val="auto"/>
        </w:rPr>
      </w:pPr>
    </w:p>
    <w:p>
      <w:pPr>
        <w:ind w:left="820" w:hanging="52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right="20" w:hanging="522"/>
        <w:spacing w:after="0" w:line="264"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an equity method investment.</w:t>
      </w:r>
    </w:p>
    <w:p>
      <w:pPr>
        <w:ind w:left="820" w:hanging="522"/>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 chargebacks,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contribute to our TPV.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Total processing volume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TPV</w:t>
      </w:r>
      <w:r>
        <w:rPr>
          <w:rFonts w:ascii="Arial" w:cs="Arial" w:eastAsia="Arial" w:hAnsi="Arial"/>
          <w:sz w:val="16"/>
          <w:szCs w:val="16"/>
          <w:color w:val="auto"/>
        </w:rPr>
        <w:t>. TPV is the total dollar amount of payments processed through the Marqeta Platform, net of returns and chargebacks.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have experienced rapid growth in recent periods. Our net revenue was $143.3 million and $290.3 million for the years ended December 31, 2019 and 2020, respectively, representing a growth rate of 103%. Our net revenue was $48.4 million and $108.0 million during the three months ended March 30, 2020 and 2021, respectively, representing a growth rate of 123%.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82"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 experienced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and we are unable to predict the duration, degree, or volatility of future growth with any certainty.</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9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TPV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Some of our Customer contracts provide for a termination clause that allows our Customers to terminate their contract at any time following a limited notice period. In addition, our Customers generally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86"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largest Customer, Square, and the loss or decline in net revenue from Square could adversely affect our business, results of operations, and financial condition.</w:t>
      </w:r>
    </w:p>
    <w:p>
      <w:pPr>
        <w:spacing w:after="0" w:line="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2019 and 2020, Square accounted for 60% and 70% of our net revenue, respectively. For the three months ended March 31, 2020 and 2021, we generated 66% and 73%, respectively, of our net revenue from Square.</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stop using our Platform or use our Platform in a reduced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76"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Customer contracts generally do not contain long-term commitments from our Customers, and our Customers may be able to terminate their agreements with us prior to expiration of the contract’s term. The current term of our agreement with Square for Square Card expires in December 2024, and the current term of our agreement with Square for Cash App expires in March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have incurred significant net losses in each year since our inception, including net losses of $58.2 million and $47.7 million in the years ended December 31, 2019 and 2020, respectively, and net losses of $14.5 million and $12.8 million in the three months ended March 31, 2020 and 2021,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8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jc w:val="right"/>
        <w:ind w:left="5540" w:right="5420" w:hanging="4884"/>
        <w:spacing w:after="0" w:line="535" w:lineRule="auto"/>
        <w:tabs>
          <w:tab w:leader="none" w:pos="8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demand for our Platform, products, and services by our Customers; 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 extent of increases in share-based compensation expense (including with respect to the CEO Long-Term Performance Award);</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market and economic volatility caused by the COVID-19 pandemic on our business and the businesses of our Customers;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The COVID-19 pandemic and the cancellation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part due to the COVID-19 pandemic, we have also experienced increased processing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 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To the extent the COVID-19 pandemic adversely affects our business, results of operations, and financial condition, it may also have the effect of heightening many of the other risks described in this “Risk Factors” section.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and the three months ended March 31, 2020 and 2021, approximately 97%, 96%, 95%, and 94%,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5"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 Customers are unable to access the Platform within a reasonable amount of time, or at all, our business would be adversely affected.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87"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9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 and vendors, through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66"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are not able to organize certain marketing and promotional events and in-person meetings to facilitate Customer adoption and generate leads with potential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Customers. If we fail to successfully promote and maintain our brand or if we incur excessive expense in this effort, our business could be materially and adversely affected.</w:t>
      </w:r>
    </w:p>
    <w:p>
      <w:pPr>
        <w:spacing w:after="0" w:line="170"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 in developing modifications, enhancements, and improvements, 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bringing them to market quickly or cost-effectively in response to market demands, or at modifying our Platform to remain compliant with applicable legal and regulatory requirements.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the year ended December 31, 2020, we derived less than 2%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8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78"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addition, to maintain and grow our business, we must attract and retain highly qualified personnel. Competition for highly qualified personnel in the San Francisco Bay Area, where our headquarters is located, and 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 compounded during the COVID-19 pandemic. Any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6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We, our vendors, our partners, and our Customers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 Card Networks that we partner with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ensure such compliance could expose us to liability or claims from our Customers or partners. Furthermore,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and the enforcement of certain protections under applicable regulations.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6"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68"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 establish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85"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 additional cost and liability to us, damage our reputation, inhibit sales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9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7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 required to provide an annual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report on the effectiveness of our internal control over financial reporting commencing with our second annual report on Form 10-K.</w:t>
      </w:r>
    </w:p>
    <w:p>
      <w:pPr>
        <w:spacing w:after="0" w:line="34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such as, for example, President Biden’s plan to increase the U.S. federal corporate income tax rate,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9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16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61"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impair our ability to compete.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17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the COVID-19 pandemic.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offering in this offering, has one vote per share. Following this offering, our directors, executive officers, and their affiliates, will beneficially own in the aggregate 34.5% of the voting power of our capital stock as of March 31, 2021.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tenth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8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 indices. In July 2017, FTSE Russell announced that it would require new constituents of its indices to have greater than 5%</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Our Class A common stock is approved for listing on Nasdaq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trading price of our Class A common stock may be more volatile.</w:t>
      </w:r>
    </w:p>
    <w:p>
      <w:pPr>
        <w:spacing w:after="0" w:line="16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March 31, 2021, upon completion of this offering, we will have outstanding a total of 45,454,546 shares of Class A common stock and 484,791,355 shares of Class B common stock. This assumes no exercise of outstanding options and gives effect to the conversion of all of our outstanding shares of redeemable convertible preferred stock into shares of Class B common stock, the net issuance of common stock issuable pursuant to the vesting and settlement of RSUs for which the service condition was satisfied as of March 31, 2021, and the issuance of 45,454,546 shares of Class A common stock on the completion of this offering.</w:t>
      </w:r>
    </w:p>
    <w:p>
      <w:pPr>
        <w:spacing w:after="0" w:line="17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 sold 180 days after the date of the final prospectus relating to the offering, subject to earlier release of our officers, directors, and other holders from the restrictions contained in such agreements on the earlier of (i) the opening of trading on the second trading day immediately following our release of earnings for the quarter ended September 30, 2021 and (ii) 180 days after the date of this prospectus.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as further described and subject to the conditions set forth in “Shares Eligible for Future Sale”:</w:t>
      </w:r>
    </w:p>
    <w:p>
      <w:pPr>
        <w:spacing w:after="0" w:line="131" w:lineRule="exact"/>
        <w:rPr>
          <w:sz w:val="20"/>
          <w:szCs w:val="20"/>
          <w:color w:val="auto"/>
        </w:rPr>
      </w:pPr>
    </w:p>
    <w:p>
      <w:pPr>
        <w:jc w:val="both"/>
        <w:ind w:left="880" w:right="20" w:hanging="224"/>
        <w:spacing w:after="0" w:line="25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for which all vesting conditions are satisfied may be sold in the public market beginning at the commencement of the second trading day after the date that we publicly announce earnings for the quarter ended June 30, 2021, or the Post-Offering Earnings Release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for which all vesting conditions are satisfied may be sold in the public market beginning at the commencement of the second trading day after the Post-Offering Earnings Release Date; and</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by all of our other stockholders parties to such lock-up agreements may be sold in the public market beginning at the commencement of the second trading day after the Post-Offering Earnings Release Date.</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addition, as of March 31, 2021, we had 24,332,915 options outstanding that, if fully exercised, would result in the issuance of shares of Class B common stock, as well as 6,503,203 shares of common stock subject to RSU awards. All of the shares of Class B common stock issuable upon the exercise of stock options, subject to RSU awards,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7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362,319,118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you will experience immediate dilution of $24.31 per share, representing the difference between the price per share you pay for our Class A common stock based upon the initial public offering price of $27.00 per share, and the pro forma net tangible book value per share as of March 31, 2021, after giving effect to the issuance of shares of our Class A common stock in this offering. See the section titled “Dilution”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 and could negatively affect our results of operations.</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 For example, in April and May 2021, our board of directors granted stock options to Mr. Gardner, covering a maximum of 19,740,923 shares and 47,267 shares, respectively, of our Class B common stock, which we refer to collectively as the CEO Long-Term Performance Award. The aggregate grant date fair value of these awards was $208.4 million, which will be recognized as share-based compensation over the derived service period using the accelerated attribution method. Further,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March 31, 2021, no share-based compensation expense had been recognized for RSUs because the liquidity condition had not occurred. If our initial public offering had occurred on March 31, 2021, we would have recognized $19.2 million of cumulative share-based compensation expense on that date.</w:t>
      </w:r>
    </w:p>
    <w:p>
      <w:pPr>
        <w:spacing w:after="0" w:line="2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 and restated certificate of incorporation and amended and restated bylaws, which will become effective upon the completion of this offering, will include provisions that:</w:t>
      </w:r>
    </w:p>
    <w:p>
      <w:pPr>
        <w:spacing w:after="0" w:line="89"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 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Bain &amp; Company, </w:t>
      </w:r>
      <w:r>
        <w:rPr>
          <w:rFonts w:ascii="Arial" w:cs="Arial" w:eastAsia="Arial" w:hAnsi="Arial"/>
          <w:sz w:val="18"/>
          <w:szCs w:val="18"/>
          <w:i w:val="1"/>
          <w:iCs w:val="1"/>
          <w:color w:val="auto"/>
        </w:rPr>
        <w:t>The Covid-19 Tipping Point for Digital Payments</w:t>
      </w:r>
      <w:r>
        <w:rPr>
          <w:rFonts w:ascii="Arial" w:cs="Arial" w:eastAsia="Arial" w:hAnsi="Arial"/>
          <w:sz w:val="18"/>
          <w:szCs w:val="18"/>
          <w:color w:val="auto"/>
        </w:rPr>
        <w:t>, April 29,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McKinsey &amp; Company, </w:t>
      </w:r>
      <w:r>
        <w:rPr>
          <w:rFonts w:ascii="Arial" w:cs="Arial" w:eastAsia="Arial" w:hAnsi="Arial"/>
          <w:sz w:val="18"/>
          <w:szCs w:val="18"/>
          <w:i w:val="1"/>
          <w:iCs w:val="1"/>
          <w:color w:val="auto"/>
        </w:rPr>
        <w:t>The 2020 McKinsey Global Payments Report</w:t>
      </w:r>
      <w:r>
        <w:rPr>
          <w:rFonts w:ascii="Arial" w:cs="Arial" w:eastAsia="Arial" w:hAnsi="Arial"/>
          <w:sz w:val="18"/>
          <w:szCs w:val="18"/>
          <w:color w:val="auto"/>
        </w:rPr>
        <w:t>,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2020</w:t>
      </w:r>
      <w:r>
        <w:rPr>
          <w:rFonts w:ascii="Arial" w:cs="Arial" w:eastAsia="Arial" w:hAnsi="Arial"/>
          <w:sz w:val="18"/>
          <w:szCs w:val="18"/>
          <w:color w:val="auto"/>
        </w:rPr>
        <w:t>, Issue 1191, February 2021</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estimate that the net proceeds from the sale of shares of our Class A common stock that we are selling in this offering will be approximately $1,132.5 million, based upon the initial public offering price of $27.00 per share, and after deducting underwriting discounts and commissions and estimated offering expenses payable by us and tax withholdings related to the settlement of RSUs. If the underwriters’ option to purchase additional shares of our Class A common stock from us is exercised in full, we estimate that our net proceeds would be approximately $1,304.6 million, after deducting underwriting discounts and commissions and estimated offering expenses payable by us and tax withholdings related to the settlement of RSUs.</w:t>
      </w:r>
    </w:p>
    <w:p>
      <w:pPr>
        <w:spacing w:after="0" w:line="19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March 31, 2021 as follows:</w:t>
      </w:r>
    </w:p>
    <w:p>
      <w:pPr>
        <w:spacing w:after="0" w:line="76"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880" w:hanging="224"/>
        <w:spacing w:after="0" w:line="287"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the liquidity condition was satisfied in connection with this offering (based on an assumed 42% tax withholding rate), (vi) the increase in other accrued liabilities and an equivalent decrease in additional paid-in capital of $8.4 million in connection with tax withholding and remittance obligations related to such RSUs, based upon the initial public offering price of $27.00 per share, all of which will occur immediately prior to the completion of this offering, as if such actions had occurred on March 31, 2021, and (vii) $19.2 million of cumulative share-based compensation expense related to the RSUs for which the service condition was satisfied as of March 31, 2021 and for which the liquidity condition was satisfied in connection with this offering; and</w:t>
      </w:r>
    </w:p>
    <w:p>
      <w:pPr>
        <w:spacing w:after="0" w:line="77" w:lineRule="exact"/>
        <w:rPr>
          <w:rFonts w:ascii="Arial" w:cs="Arial" w:eastAsia="Arial" w:hAnsi="Arial"/>
          <w:sz w:val="16"/>
          <w:szCs w:val="16"/>
          <w:color w:val="auto"/>
        </w:rPr>
      </w:pPr>
    </w:p>
    <w:p>
      <w:pPr>
        <w:jc w:val="both"/>
        <w:ind w:left="880" w:hanging="224"/>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set forth above and (ii) the sale and issuance by us of 45,454,546 shares of our Class A common stock in this offering, based on the initial public offering price of $27.00 per share, after deducting the underwriting discounts and commissions and estimated offering expenses payable by us, and the use of proceeds to satisfy the withholding tax obligations described above.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19"/>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gridSpan w:val="8"/>
          </w:tcPr>
          <w:p>
            <w:pPr>
              <w:jc w:val="center"/>
              <w:ind w:right="36"/>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data)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cash equivalents, restricted cash and marketable securities </w:t>
            </w:r>
            <w:r>
              <w:rPr>
                <w:rFonts w:ascii="Arial" w:cs="Arial" w:eastAsia="Arial" w:hAnsi="Arial"/>
                <w:sz w:val="15"/>
                <w:szCs w:val="15"/>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395,575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395,575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$ 1,531,905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Redeemable convertible preferred stock, $0.0001 par value; 352,047,950 shares authorized; 351,844,340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shares issued and outstanding, actual; no shares authorized, issued, and outstanding, pro forma and pro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501,881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 actual;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100,000,000 shares authorized, no shares issued and outstanding, pro forma and pro forma 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$0.0001 par value; 545,000,000 shares authorized, 132,518,340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w w:val="91"/>
              </w:rPr>
              <w:t>outstanding, actual; no shares authorized, no shares issued and outstanding, pro forma; no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rPr>
              <w:t>authorized, no shares issued and outstanding, pro forma 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Class A common stock, $0.0001 par value; no shares authorized, issued and outstanding, actual;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1,500,000,000 shares authorized, no shares issued and outstanding, pro forma; and 1,500,000,000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authorized, 45,454,546 shares issued and outstanding, pro 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4"/>
              </w:rPr>
              <w:t>Class B common stock, $0.0001 par value; no shares authorized, issued and outstanding, actual;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w w:val="97"/>
              </w:rPr>
              <w:t>600,000,000 shares authorized, 484,791,355 shares issued and outstanding, pro forma;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w w:val="90"/>
              </w:rPr>
              <w:t>600,000,000 shares authorized, 484,791,355 shares issued and outstanding, pro forma 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570,288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1,711,143</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(266,362)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(285,564)</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(285,564)</w:t>
            </w: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(213,575)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284,752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1,425,612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293,133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284,752</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$ 1,425,612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660" w:right="20" w:hanging="544"/>
        <w:spacing w:after="0" w:line="263"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pro forma as adjusted amount of cash, cash equivalents, restricted cash and marketable securities assumes net proceeds from the sale of shares of our Class A common stock in this offering of approximately $1,132.5 million, which amount includes $3.8 million of offering expenses associated with this offering and paid as of March 31, 2021.</w:t>
      </w:r>
    </w:p>
    <w:p>
      <w:pPr>
        <w:spacing w:after="0" w:line="18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equity (deficit), total capitalization, and shares of Class A common stock issued and outstanding as of March 31, 2021 would be $1.7 billion, $1.9 billion, $1.6 billion, $1.6 billion, and 52,272,727 shares, respectively.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484,791,355 shares of our Class B common stock outstanding as of March 31, 2021, and excludes:</w:t>
      </w:r>
    </w:p>
    <w:p>
      <w:pPr>
        <w:spacing w:after="0" w:line="76" w:lineRule="exact"/>
        <w:rPr>
          <w:sz w:val="20"/>
          <w:szCs w:val="20"/>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2021 through June 1, 2021, with a weighted-average exercise price of $21.617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 through June 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320" w:hanging="435"/>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Plan; and</w:t>
      </w:r>
    </w:p>
    <w:p>
      <w:pPr>
        <w:spacing w:after="0" w:line="130" w:lineRule="exact"/>
        <w:rPr>
          <w:rFonts w:ascii="Arial" w:cs="Arial" w:eastAsia="Arial" w:hAnsi="Arial"/>
          <w:sz w:val="18"/>
          <w:szCs w:val="18"/>
          <w:color w:val="auto"/>
        </w:rPr>
      </w:pPr>
    </w:p>
    <w:p>
      <w:pPr>
        <w:ind w:left="1320" w:hanging="435"/>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ESPP.</w:t>
      </w:r>
    </w:p>
    <w:p>
      <w:pPr>
        <w:spacing w:after="0" w:line="22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Our pro forma net tangible book value as of March 31, 2021 was $284.8 million, or $0.59 per share, based on the total number of shares of our common stock outstanding as of March 31, 2021, after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w:t>
      </w:r>
    </w:p>
    <w:p>
      <w:pPr>
        <w:spacing w:after="0" w:line="1" w:lineRule="exact"/>
        <w:rPr>
          <w:sz w:val="20"/>
          <w:szCs w:val="20"/>
          <w:color w:val="auto"/>
        </w:rPr>
      </w:pPr>
    </w:p>
    <w:p>
      <w:pPr>
        <w:jc w:val="both"/>
        <w:ind w:left="120" w:hanging="4"/>
        <w:spacing w:after="0" w:line="281" w:lineRule="auto"/>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the liquidity condition was satisfied in connection with this offering (based on an assumed 42% tax withholding rate),</w:t>
      </w:r>
    </w:p>
    <w:p>
      <w:pPr>
        <w:spacing w:after="0" w:line="1" w:lineRule="exact"/>
        <w:rPr>
          <w:rFonts w:ascii="Arial" w:cs="Arial" w:eastAsia="Arial" w:hAnsi="Arial"/>
          <w:sz w:val="16"/>
          <w:szCs w:val="16"/>
          <w:color w:val="auto"/>
        </w:rPr>
      </w:pPr>
    </w:p>
    <w:p>
      <w:pPr>
        <w:jc w:val="both"/>
        <w:ind w:left="120" w:right="20" w:hanging="4"/>
        <w:spacing w:after="0" w:line="295" w:lineRule="auto"/>
        <w:tabs>
          <w:tab w:leader="none" w:pos="4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increase in other accrued liabilities and an equivalent decrease in additional paid-in capital of $8.4 million in connection with tax withholding and remittance obligations related to such RSUs, based upon the initial public offering price of $27.00 per share, all of which will occur immediately prior to the completion of this offering, and (vii) $19.2 million of cumulative share-based compensation expense related to the RSUs for which the service condition was satisfied as of March 31, 2021 and for which the liquidity condition was satisfied in connection with this offering.</w:t>
      </w:r>
    </w:p>
    <w:p>
      <w:pPr>
        <w:spacing w:after="0" w:line="16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After giving effect to the sale by us of 45,454,546 shares of our Class A common stock in this offering at the initial public offering price of $27.00 per share, after deducting underwriting discounts and commissions and estimated offering expenses payable by us, and the use of proceeds to satisfy the withholding tax obligations described above. Our pro forma as adjusted net tangible book value as of March 31, 2021 would have been $1.4 billion, or $2.69 per share. This represents an immediate increase in pro forma net tangible book value of $2.10 per share to our existing stockholders and immediate dilution of $24.31 per share to investors purchasing shares of our Class A common stock in this offering. The following table illustrates this dilution:</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$27.00</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Pro forma net tangible book value per share as of March 31, 2021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$0.59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0"/>
                <w:szCs w:val="20"/>
                <w:color w:val="auto"/>
              </w:rPr>
            </w:pPr>
          </w:p>
        </w:tc>
      </w:tr>
      <w:tr>
        <w:trPr>
          <w:trHeight w:val="23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$24.31</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extent any outstanding options to purchase Class B common stock are exercised, new investors would experience further dilution. If the underwriters exercise their option to purchase 6,818,181 additional shares of our Class A common stock from us in full, the pro forma as adjusted net tangible book value per share of our common stock immediately after this offering would be $2.97 per share, and the dilution in pro forma net tangible book value per share to new investors in this offering would be $24.03 per share.</w:t>
      </w:r>
    </w:p>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following table presents, on a pro forma as adjusted basis as of March 31, 2021,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number of shares purchased from us, the total consideration paid or to be paid to us, which includes net proceeds received from the issuance of common stock and redeemable convertible preferred stock, and the average price per share paid or to be paid to us at the initial public offering price of $27.00 per share, before deducting underwriting discounts and commissions and estimated offering expenses payable by us and tax withholdings related to the settlement of RSUs: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960" w:type="dxa"/>
            <w:vAlign w:val="bottom"/>
            <w:gridSpan w:val="3"/>
            <w:vMerge w:val="restart"/>
          </w:tcPr>
          <w:p>
            <w:pPr>
              <w:jc w:val="right"/>
              <w:ind w:right="355"/>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right"/>
              <w:ind w:right="155"/>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vMerge w:val="restart"/>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5740" w:type="dxa"/>
            <w:vAlign w:val="bottom"/>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740" w:type="dxa"/>
            <w:vAlign w:val="bottom"/>
          </w:tcPr>
          <w:p>
            <w:pPr>
              <w:spacing w:after="0"/>
              <w:rPr>
                <w:sz w:val="4"/>
                <w:szCs w:val="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5"/>
              </w:rPr>
              <w:t>Percent</w:t>
            </w: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484,791,355</w:t>
            </w:r>
            <w:r>
              <w:rPr>
                <w:rFonts w:ascii="Arial" w:cs="Arial" w:eastAsia="Arial" w:hAnsi="Arial"/>
                <w:sz w:val="15"/>
                <w:szCs w:val="15"/>
                <w:color w:val="auto"/>
                <w:w w:val="94"/>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554,688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45,454,546</w:t>
            </w:r>
          </w:p>
        </w:tc>
        <w:tc>
          <w:tcPr>
            <w:tcW w:w="5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1,227,273</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530,245,901</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1,781,961</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660" w:hanging="544"/>
        <w:spacing w:after="0" w:line="27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the net issuance of 428,675 shares of our common stock issuable pursuant to the vesting and settlement of 739,095 RSUs for which the service condition was satisfied as of March 31, 2021, and for which the liquidity condition was satisfied in connection with this offering (based on an assumed 42% tax withholding rate).</w:t>
      </w:r>
    </w:p>
    <w:p>
      <w:pPr>
        <w:spacing w:after="0" w:line="18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90.3% and our new investors would own 9.7% of the total number of shares of our common stock outstanding upon the completion of this offering.</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484,791,355 shares of our Class B common stock outstanding including our redeemable convertible preferred stock on as-converted basis as of March 31, 2021 and the net issuance of common stock issuable pursuant to the vesting and settlement of RSUs for which the service condition was satisfied as of March 31, 2021, and excludes:</w:t>
      </w:r>
    </w:p>
    <w:p>
      <w:pPr>
        <w:spacing w:after="0" w:line="92" w:lineRule="exact"/>
        <w:rPr>
          <w:sz w:val="20"/>
          <w:szCs w:val="20"/>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2020 through June 1, 2021, with a weighted-average exercise price of $21.617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 through June 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hanging="224"/>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hanging="224"/>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320" w:hanging="435"/>
        <w:spacing w:after="0"/>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Plan; and</w:t>
      </w:r>
    </w:p>
    <w:p>
      <w:pPr>
        <w:spacing w:after="0" w:line="130" w:lineRule="exact"/>
        <w:rPr>
          <w:rFonts w:ascii="Arial" w:cs="Arial" w:eastAsia="Arial" w:hAnsi="Arial"/>
          <w:sz w:val="18"/>
          <w:szCs w:val="18"/>
          <w:color w:val="auto"/>
        </w:rPr>
      </w:pPr>
    </w:p>
    <w:p>
      <w:pPr>
        <w:ind w:left="1320" w:hanging="435"/>
        <w:spacing w:after="0"/>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ESPP.</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The following selected consolidated statements of operations data for the three months ended March 31, 2020 and 2021 and the consolidated balance sheet data as of March 31, 2021 have been derived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84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19"/>
        </w:trPr>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6"/>
          </w:tcPr>
          <w:p>
            <w:pPr>
              <w:jc w:val="right"/>
              <w:ind w:right="581"/>
              <w:spacing w:after="0" w:line="119" w:lineRule="exact"/>
              <w:rPr>
                <w:sz w:val="20"/>
                <w:szCs w:val="20"/>
                <w:color w:val="auto"/>
              </w:rPr>
            </w:pPr>
            <w:r>
              <w:rPr>
                <w:rFonts w:ascii="Arial" w:cs="Arial" w:eastAsia="Arial" w:hAnsi="Arial"/>
                <w:sz w:val="13"/>
                <w:szCs w:val="13"/>
                <w:b w:val="1"/>
                <w:bCs w:val="1"/>
                <w:color w:val="auto"/>
              </w:rPr>
              <w:t>(in thousands, except per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w w:val="89"/>
              </w:rPr>
              <w:t>share amounts or as noted)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143,267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290,292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48,388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107,983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82,814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172,385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29,826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58,126</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117,907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2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126,861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44,839</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All other 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38,133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15,670</w:t>
            </w: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(58,863)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2"/>
              </w:rPr>
              <w:t>(15,013)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(10,652)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(2,167)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(47,695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(14,530</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Net loss per share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 Class 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and Class B common stockholders, basic and diluted</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113,852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122,933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w w:val="86"/>
              </w:rPr>
              <w:t>118,478</w:t>
            </w:r>
          </w:p>
        </w:tc>
        <w:tc>
          <w:tcPr>
            <w:tcW w:w="10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130,841</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net loss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(29,730)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2"/>
              </w:rPr>
              <w:t>Pro forma net loss per share attributable to Class A and Class B common stockholders,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(0.06)</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Weighted-average shares used in computing pro forma net loss per share attributable to</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and Class B common stockholders, basic and 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469,360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483,415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jc w:val="both"/>
        <w:ind w:left="660" w:hanging="544"/>
        <w:spacing w:after="0" w:line="26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79"/>
              </w:rPr>
              <w:t>As of</w:t>
            </w:r>
          </w:p>
        </w:tc>
        <w:tc>
          <w:tcPr>
            <w:tcW w:w="1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60,344</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$ 220,433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$ 247,630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95,225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149,903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140,145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132,894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289,808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289,370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223,191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457,680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481,803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85,849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169,516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193,497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335,748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501,881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501,881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(198,406)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(213,717)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(213,575)</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$(58,200)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$(47,695)</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(14,530)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$(34,026)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$(15,378)</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(10,411)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Marqeta Platform processed $60.1 billion of TPV, up 177% from $21.7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3008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a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320 million cards issued through the Marqeta Platform as of March 31, 2021,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b w:val="1"/>
          <w:bCs w:val="1"/>
          <w:color w:val="auto"/>
        </w:rPr>
        <w:t xml:space="preserve">Our growth is aligned with our Customers’ growth. </w:t>
      </w:r>
      <w:r>
        <w:rPr>
          <w:rFonts w:ascii="Arial" w:cs="Arial" w:eastAsia="Arial" w:hAnsi="Arial"/>
          <w:sz w:val="17"/>
          <w:szCs w:val="17"/>
          <w:color w:val="auto"/>
        </w:rPr>
        <w:t>We believe our growth, future success, and performance is closely aligned with that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We employ a usage-based model, based on processing volume,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processing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largest Customer (Square). Some of our Customers have experienced incredible growth in the time they have been on our Platform and we remain a key operating partner that continues to support and benefit from their success. For example, Square became a Customer in 2016. Square launched the initial version of their Square Card program on our Platform in 2018. As processing volume with Square has grown, our net revenue has also grown such that Square is now our largest Customer, representing 60%, 70%, 66% and 73% of our net revenue in the years ended December 31, 2019 and 2020, and the three months ended March 31, 2020 and 2021, respectively. If Square were to see a slowdown in its business or use our Platform in a reduced capacity, our business, results of operations, and financial condition could be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254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749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revenue results across the quarters.</w:t>
      </w:r>
    </w:p>
    <w:p>
      <w:pPr>
        <w:spacing w:after="0" w:line="18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processing volumes on our Platform. Revenue Share provisions include increased rates of Revenue Share when processing volumes reach specified volume tiers. As Customers’ processing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processing volume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15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 structured based on volume tiers; as our processing volumes grow, these fees as a percentage of processing volume decline. These fees are reflected in our costs of revenue.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throughout 2020. While the U.S. economy improved in the first quarter of 2021 with millions of Americans receiving the COVID-19 vaccine, decreases in general unemployment, and states and municipalities easing shelter-in-place restrictions, the path of the U.S. economy continues to depend on the course of the COVID-19 virus.</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response to the COVID-19 pandemic, we implemented measures to focus on employee safety and Customer support, while at the same time seeking to mitigate any negative impact on our financial position and operations. We implemented remote working capabilities for our entire company and, to date, there has been minimal disruption to our operations.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restaurant, travel, and hospitality sectors of the U.S. economy have been significantly and adversely affected by the COVID-19 pandemic. We believe this has accelerated the shift of purchasing activities from offline to online and the growth of on-demand delivery services, along with the growth of the buy-now-pay-later solution providers. Many of these service providers are our Customers, and are experiencing accelerated adoption of virtual and contactless forms of payments.</w:t>
      </w:r>
    </w:p>
    <w:p>
      <w:pPr>
        <w:spacing w:after="0" w:line="18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Overall, these trends significantly contributed to the increases in our net revenue of $147.0 million, or 103%, and in our gross profit of $57.5 million, or 95%, for 2020 as compared to 2019, and to the increases in our net revenue of $59.6 million, or 123%, and in our gross profit of $31.3 million, or 169%, for the three months ended March 31, 2021 compared to the same period in 2020. Further, in March 2021, the Coronavirus Aid, Relief, and Economic Security (CARES) Act, as extended by the Coronavirus Response and Relief Supplemental Appropriations Act of 2021, among other things, provided individuals affected by the COVID-19 pandemic with stimulus cash payments. While we cannot estimate the actual effect on our TPV and net revenue during the first quarter of 2021, we believe these stimulus payments contributed to the increase in our TPV and net revenue for the three months ended March 31, 2021 compared to the three months ended December 31, 2020. Compared to the fourth quarter of 2020, TPV and net revenue increased in the first quarter of 2021 by $5.3 billion, or 28%, and $19.8 million, or 22%, respectively. It is uncertain what effect a lifting of shelter-in-place orders, social distancing, and other restrictions will have on the processing volumes of our Customers, and on our results of operations.</w:t>
      </w:r>
    </w:p>
    <w:p>
      <w:pPr>
        <w:spacing w:after="0" w:line="16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COVID-19 pandemic and related economic uncertainty has also led the Card Networks to postpone their regular changes to interchange rates, which play an important role in our business and impact net revenue. The Card Networks publish changes to interchange rates in April and October each year. Visa and Mastercard had postponed nearly all of their interchange rate updates for April and October 2020, and in March 2021 again announced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further postponements in interchange rate changes through April 2022 as a result of COVID-19’s impact to the U.S. economy. The net Interchange Fees we earn are affected by a multiple of factors. These factors include changes to the published interchange rates, the size of the individual transaction, and the mix of transactions between signature-based and PIN-based, consumer card and commercial card product types, and merchant categories, and Card Network-negotiated merchant rates. Although the Card Networks have announced some expected interchange rate changes for April 2022, it is uncertain if there will be more changes implemented after lifting the current postponements. Additionally, as in the normal course of updating interchange rates, the Card Networks continually assess the influence of improved payments technology, industry trends, and the ongoing need to maintain balance of the payments ecosystem. All these factors combined can affect how future changes in interchange rates will impact our net revenue.</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$ 60,075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$(58,200)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$(47,695)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(14,530)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$(34,026)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$(15,378)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(10,411)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198"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businesses and scale of our business.</w:t>
      </w:r>
    </w:p>
    <w:p>
      <w:pPr>
        <w:spacing w:after="0" w:line="176"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Adjusted EBITDA is a non-GAAP financial measure that is calculated as net income (loss) adjusted to exclude share-based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expense; depreciation and amortization; income tax expense; and other income (expense) net, which consists of interest expense from a bank loan, interest income from our marketable securities portfolio, changes in the fair value of redeemable convertible preferred stock warrant liabilities, impairment of equity method investments, realized foreign currency gains and losses, and interest income from our marketable securities.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 See the section titled “Limitations of Non-GAAP Financial Measures” for a discussion of the use of non-GAAP measures and a reconciliation of the net loss to Adjusted EBITDA.</w:t>
      </w:r>
    </w:p>
    <w:p>
      <w:pPr>
        <w:spacing w:after="0" w:line="172"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reconciliation of net loss to adjusted EBITDA for the years ended December 31, 2019 and 2020 and the three months ended March 31, 2020 and 2021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00" w:type="dxa"/>
            <w:vAlign w:val="bottom"/>
            <w:gridSpan w:val="5"/>
          </w:tcPr>
          <w:p>
            <w:pPr>
              <w:jc w:val="right"/>
              <w:ind w:right="1079"/>
              <w:spacing w:after="0" w:line="142" w:lineRule="exact"/>
              <w:rPr>
                <w:sz w:val="20"/>
                <w:szCs w:val="20"/>
                <w:color w:val="auto"/>
              </w:rPr>
            </w:pPr>
            <w:r>
              <w:rPr>
                <w:rFonts w:ascii="Arial" w:cs="Arial" w:eastAsia="Arial" w:hAnsi="Arial"/>
                <w:sz w:val="14"/>
                <w:szCs w:val="14"/>
                <w:b w:val="1"/>
                <w:bCs w:val="1"/>
                <w:color w:val="auto"/>
              </w:rPr>
              <w:t>(dollars in thousands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$143,267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$290,292</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$ 48,388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107,983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720" w:type="dxa"/>
            <w:vAlign w:val="bottom"/>
            <w:gridSpan w:val="3"/>
            <w:shd w:val="clear" w:color="auto" w:fill="CCEEFF"/>
          </w:tcPr>
          <w:p>
            <w:pPr>
              <w:jc w:val="right"/>
              <w:ind w:right="479"/>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3,080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3,498</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740" w:type="dxa"/>
            <w:vAlign w:val="bottom"/>
            <w:gridSpan w:val="3"/>
          </w:tcPr>
          <w:p>
            <w:pPr>
              <w:jc w:val="right"/>
              <w:ind w:right="719"/>
              <w:spacing w:after="0"/>
              <w:rPr>
                <w:sz w:val="20"/>
                <w:szCs w:val="20"/>
                <w:color w:val="auto"/>
              </w:rPr>
            </w:pPr>
            <w:r>
              <w:rPr>
                <w:rFonts w:ascii="Arial" w:cs="Arial" w:eastAsia="Arial" w:hAnsi="Arial"/>
                <w:sz w:val="18"/>
                <w:szCs w:val="18"/>
                <w:color w:val="auto"/>
              </w:rPr>
              <w:t>21,757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28,211</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(698)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480" w:type="dxa"/>
            <w:vAlign w:val="bottom"/>
            <w:gridSpan w:val="2"/>
          </w:tcPr>
          <w:p>
            <w:pPr>
              <w:jc w:val="right"/>
              <w:ind w:right="719"/>
              <w:spacing w:after="0"/>
              <w:rPr>
                <w:sz w:val="20"/>
                <w:szCs w:val="20"/>
                <w:color w:val="auto"/>
              </w:rPr>
            </w:pPr>
            <w:r>
              <w:rPr>
                <w:rFonts w:ascii="Arial" w:cs="Arial" w:eastAsia="Arial" w:hAnsi="Arial"/>
                <w:sz w:val="18"/>
                <w:szCs w:val="18"/>
                <w:color w:val="auto"/>
              </w:rPr>
              <w:t>35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 (34,026)</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 (15,378)</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 (10,411)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80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Platform services revenue, net. </w:t>
      </w:r>
      <w:r>
        <w:rPr>
          <w:rFonts w:ascii="Arial" w:cs="Arial" w:eastAsia="Arial" w:hAnsi="Arial"/>
          <w:sz w:val="18"/>
          <w:szCs w:val="18"/>
          <w:color w:val="auto"/>
        </w:rPr>
        <w:t>Platform services revenue includes Interchange Fees, net of Revenue Share and other service level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Processing and other fees include fees earned when end users use payment cards at automated teller machines and minimum processing fees if Customers’ processing volumes fall below certain thresholds.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15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have separate marketing and incentive arrangements with Card Networks that provide us with monetary incentives for processing volume via the respective Card Network. The amount of the incentives is determined 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 during a six-month or annual measurement period. For certain incentive arrangements with an annual measurement period, the one-year period may not align with our fiscal year.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Compensation and benefits consist primarily of salaries, employee benefits, incentive compensation, and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and March 31, 2021, no share-based compensation expense had been recognized for RSUs because the liquidity condition had not occurred. If our initial public offering had occurred on December 31, 2020, we would have recognized $9.8 million of cumulative share-based compensation expense related to these RSUs on that date. If our initial public offering had occurred on March 31, 2021, we would have recognized $19.2 million of cumulative share-based compensation expense related to these RSUs on that date.</w:t>
      </w:r>
    </w:p>
    <w:p>
      <w:pPr>
        <w:spacing w:after="0" w:line="18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Further, in April and May 2021, our board of directors granted our Chief Executive Officer equity incentive awards in the form of performance-based stock options covering 19,740,923 and 47,267 shares of our Class B common stock, respectively. The awards vest only upon the satisfaction of certain service and performance conditions including the achievement of certain stock price targets. The awards will have a term ending on the seventh anniversary of our IPO date and are eligible to vest based on our stock price performance over a performance period beginning upon the expiration of the lock-up period associated with an underwritten public offering of our Class A common stock. The aggregate grant date fair value of these awards was $208.4 million, which will be recognized as share-based compensation over the derived service period using the accelerated attribution method.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 training, charitable donations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As a result, we expect that our operating expenses will increase in absolute dollars as our business grows.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7"/>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3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5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5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80" w:type="dxa"/>
            <w:vAlign w:val="bottom"/>
            <w:gridSpan w:val="5"/>
            <w:shd w:val="clear" w:color="auto" w:fill="CCEEFF"/>
          </w:tcPr>
          <w:p>
            <w:pPr>
              <w:jc w:val="right"/>
              <w:ind w:right="841"/>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143,267</w:t>
            </w:r>
          </w:p>
        </w:tc>
        <w:tc>
          <w:tcPr>
            <w:tcW w:w="300" w:type="dxa"/>
            <w:vAlign w:val="bottom"/>
          </w:tcPr>
          <w:p>
            <w:pPr>
              <w:spacing w:after="0"/>
              <w:rPr>
                <w:sz w:val="18"/>
                <w:szCs w:val="18"/>
                <w:color w:val="auto"/>
              </w:rPr>
            </w:pP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290,292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48,388</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107,983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82,814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172,385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29,826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58,126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86,506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126,861</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24,982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44,839</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10,129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6,261</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13,239</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5,626</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1,086</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907</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7,117</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5,260</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1,295</w:t>
            </w:r>
          </w:p>
        </w:tc>
      </w:tr>
      <w:tr>
        <w:trPr>
          <w:trHeight w:val="27"/>
        </w:trPr>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164,994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60,509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(47,608)</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 as a percentage of our net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Costs of revenue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Occupancy</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Marketing and advertising</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5420"/>
              <w:spacing w:after="0"/>
              <w:rPr>
                <w:sz w:val="20"/>
                <w:szCs w:val="20"/>
                <w:color w:val="auto"/>
              </w:rPr>
            </w:pPr>
            <w:r>
              <w:rPr>
                <w:rFonts w:ascii="Arial" w:cs="Arial" w:eastAsia="Arial" w:hAnsi="Arial"/>
                <w:sz w:val="18"/>
                <w:szCs w:val="18"/>
                <w:color w:val="auto"/>
              </w:rPr>
              <w:t>78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Fiscal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116,469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234,397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$ 117,928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600" w:type="dxa"/>
            <w:vAlign w:val="bottom"/>
          </w:tcPr>
          <w:p>
            <w:pPr>
              <w:ind w:left="720"/>
              <w:spacing w:after="0"/>
              <w:rPr>
                <w:sz w:val="20"/>
                <w:szCs w:val="20"/>
                <w:color w:val="auto"/>
              </w:rPr>
            </w:pPr>
            <w:r>
              <w:rPr>
                <w:rFonts w:ascii="Arial" w:cs="Arial" w:eastAsia="Arial" w:hAnsi="Arial"/>
                <w:sz w:val="18"/>
                <w:szCs w:val="18"/>
                <w:color w:val="auto"/>
              </w:rPr>
              <w:t>Total platform services, net</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137,418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144,868</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600" w:type="dxa"/>
            <w:vAlign w:val="bottom"/>
          </w:tcPr>
          <w:p>
            <w:pPr>
              <w:ind w:left="1080"/>
              <w:spacing w:after="0"/>
              <w:rPr>
                <w:sz w:val="20"/>
                <w:szCs w:val="20"/>
                <w:color w:val="auto"/>
              </w:rPr>
            </w:pPr>
            <w:r>
              <w:rPr>
                <w:rFonts w:ascii="Arial" w:cs="Arial" w:eastAsia="Arial" w:hAnsi="Arial"/>
                <w:sz w:val="18"/>
                <w:szCs w:val="18"/>
                <w:color w:val="auto"/>
              </w:rPr>
              <w:t>Total net revenue</w:t>
            </w: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143,267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147,025</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60,075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$ 38,401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Total net revenue increased by $147.0 million, or 103%, for the year ended December 31, 2020 compared to the year ended December 31, 2019, of which $117.7 million was generated by Square. The increase was primarily driven by a 177% increase in TPV. This increase was due to a 170% increase in processing volume generated from Square, and a 188% increase in processing volume generated from all other programs, excluding Square. This increase in TPV drove a $117.9 million, or 101%, increase in net Interchange Fees. In relation to the growth in TPV, net revenue grew slower in the year ended December 31, 2020, primarily due to the change in processing mix. Specifically, the consumer card processing volume and PIN network volume, which generates lower Interchange Fees, grew faster than the commercial processing volume, which typically generates higher Interchange Fees. The increase in TPV also drove a 161% increase in Revenue Share in the year ended December 31, 2020 compared to the year ended December 31, 2019. Processing and other fees increased $26.9 million, or 129%, in the year ended December 31, 2020 compared to the year ended December 31, 2019, due to an increase in automated teller machine processing volume.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of revenue:</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64,947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145,617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$80,670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6,983</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$57,454</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Costs of revenue increased by $89.6 million, or 108%, for the year ended December 31, 2020 compared to the year ended December 31, 2019. The increase was primarily due to increased Card Network fees as the result of the 177% increase in TPV and 112% increase in the number of transactions. Such fees are net of monetary incentives earned from Card Networks for processing volume via the respective Card Networks during the period. Issuing Bank fees are typically structured based on volume tiers; as our processing volumes grow, these fees as a percentage of processing volume decline. Issuing Bank fees increased $7.3 million, or 58%, which was lower than the percentage of increase in TPV as a result of volume tiers being met at Sutton Bank.</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gross profit increased by $57.5 million, or 95%, for the year ended December 31, 2020 compared to the year ended December 31,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Gross margin decreased from 42% during the year ended December 31, 2019 to 41% during the year ended December 31, 2020, primarily due to the increase in Revenue Share amounts paid to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$33,901</w:t>
            </w:r>
          </w:p>
        </w:tc>
        <w:tc>
          <w:tcPr>
            <w:tcW w:w="5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21,757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28,211</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6,454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126,861</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Compensation and benefits expenses increased by $40.4 million, or 47%, for the year ended December 31, 2020 compared to the year ended December 31, 2019. The increase was primarily due to a $33.9 million increase in employee-related costs due to an increase in the number of employees, and a $6.5 million increase in share-based compensation related to employees’ stock options and secondary common stock sale transactions.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employees grouped by functional area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9"/>
          </w:tcPr>
          <w:p>
            <w:pPr>
              <w:ind w:left="6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&amp; Technology</w:t>
            </w: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149</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 Operations</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0"/>
                <w:szCs w:val="20"/>
                <w:color w:val="auto"/>
              </w:rPr>
            </w:pPr>
            <w:r>
              <w:rPr>
                <w:rFonts w:ascii="Arial" w:cs="Arial" w:eastAsia="Arial" w:hAnsi="Arial"/>
                <w:sz w:val="18"/>
                <w:szCs w:val="18"/>
                <w:b w:val="1"/>
                <w:bCs w:val="1"/>
                <w:color w:val="auto"/>
              </w:rPr>
              <w:t>Professional Services</w:t>
            </w: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24"/>
                <w:szCs w:val="24"/>
                <w:color w:val="auto"/>
              </w:rPr>
            </w:pPr>
          </w:p>
        </w:tc>
        <w:tc>
          <w:tcPr>
            <w:tcW w:w="306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8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4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Professional services expenses increased by $1.2 million, or 13%, for the year ended December 31, 2020 compared to the year ended December 31, 2019. The increase was primarily due to a $1.2 million increase in accounting, consulting, and legal fees, and a $0.9 million increase in contractors fees, which were partially offset by a $0.9 million decrease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$ 5,443</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Technology expenses increased by $5.4 million, or 70%, for the year ended December 31, 2020 compared to the year ended December 31, 2019. The increase was primarily due to a $3.3 million increase in hosting costs to support our continued growth and increase in TPV and a $2.1 million increase in software licensing costs.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3,777</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Occupancy expense increased by $0.6 million, or 15%, for the year ended December 31, 2020 compared to the year ended December 31, 2019. The increase was primarily due to an increase in rent and related charges for an office space that we committed to add, prior to the enactment of shelter-in-place orders, as a result of the expected increase in the number of employees. With the increase of the number of our employees working remotely, we will continue to evaluate the need for additional office space.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3,080</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Depreciation and amortization increased by $0.4 million, or 14%, for the year ended December 31, 2020 compared to the year ended December 31, 2019. The increase was primarily due to depreciation on fixed assets used to support continued headcount and business growth.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Marketing and advertising expenses decreased by $0.4 million, or 20%, for the year ended December 31, 2020 compared to the year ended December 31, 2019. The decrease was primarily due to participation in fewer trade shows and conferences as a result of the COVID-19 pandemic. We continue to monitor the pandemic situation and if authorities continue to loosen restrictions related to COVID-19, we expect these expenses to increase.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(1,857)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Other operating expenses decreased by $1.9 million, or 26%, for the year ended December 31, 2020 compared to the year ended December 31, 2019.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$2.2 million and reduced office meals by $1.2 million during the year ended December 31, 2020 compared to the year ended December 31, 2019. When shelter-in-place orders are lifted, and we open our offices and allow business travel, we expect these expenses to increase. The decrease was partially offset by an increase in various state and local taxes of $0.8 million, an increase in charitable donations of $0.5 million and an increase in other miscellaneous operating expenses of $0.2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(1,219)</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Other income (expense), net decreased by $1.2 million, or 175%, for the year ended December 31, 2020 compared to the year ended December 31, 2019. The decrease was primarily due to $1.9 million increase in the fair value of the redeemable convertible preferred stock warrant liabilities and $0.6 million decrease in interest income from our marketable securities. These changes were partially offset by a $0.8 million expense in 2019 related to an impairment of our equity method investment that did not recur in 2020 and a $0.5 million decrease in interest expense on our loan and security agreement that was paid off in December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solutions are helping to power market disruptors, with scalable card issuing programs that have experienced rapid adoption. The outperformance of innovators such as Square has underpinned our rapid growth, while we add new innovators to our Platform.</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an indicator of the strength of our relationships, we achieved dollar-based net revenue retention</w:t>
      </w:r>
      <w:r>
        <w:rPr>
          <w:rFonts w:ascii="Arial" w:cs="Arial" w:eastAsia="Arial" w:hAnsi="Arial"/>
          <w:sz w:val="15"/>
          <w:szCs w:val="15"/>
          <w:color w:val="auto"/>
        </w:rPr>
        <w:t>3</w:t>
      </w:r>
      <w:r>
        <w:rPr>
          <w:rFonts w:ascii="Arial" w:cs="Arial" w:eastAsia="Arial" w:hAnsi="Arial"/>
          <w:sz w:val="18"/>
          <w:szCs w:val="18"/>
          <w:color w:val="auto"/>
        </w:rPr>
        <w:t xml:space="preserve"> of over 200% for each of the years ended December 31, 2019 and 2020.</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we continue to onboard new Customers and they begin to increase their processing volumes on our Platform, we expect meaningful processing volume and net revenue diversification over time.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we generated 60% and 70% of our net revenue from our largest Customer, Square. For the three months ended March 31, 2020 and 2021, we generated 66% and 73%, respectively, of our net revenue from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jc w:val="both"/>
        <w:ind w:left="440" w:right="20" w:hanging="324"/>
        <w:spacing w:after="0" w:line="264" w:lineRule="auto"/>
        <w:tabs>
          <w:tab w:leader="none" w:pos="440" w:val="left"/>
        </w:tabs>
        <w:numPr>
          <w:ilvl w:val="0"/>
          <w:numId w:val="39"/>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Three Months Ended March 31, 2020 and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39,108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87,254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$48,146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720"/>
              <w:spacing w:after="0"/>
              <w:rPr>
                <w:sz w:val="20"/>
                <w:szCs w:val="20"/>
                <w:color w:val="auto"/>
              </w:rPr>
            </w:pPr>
            <w:r>
              <w:rPr>
                <w:rFonts w:ascii="Arial" w:cs="Arial" w:eastAsia="Arial" w:hAnsi="Arial"/>
                <w:sz w:val="18"/>
                <w:szCs w:val="18"/>
                <w:color w:val="auto"/>
              </w:rPr>
              <w:t>Total platform services, net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46,757</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106,233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$59,476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08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48,388</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107,983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Total net revenue increased by $59.6 million, or 123%, for the three months ended March 31, 2021 compared to the same period in 2020, of which $47.9 million was generated by Square. The increase in net revenue was primarily driven by a 167% increase in TPV. This increase was due to a 168% increase in processing volume generated from Square and a 165% increase in processing volume generated from all other Customers, excluding Square. This increase in TPV drove a $48.1 million, or 123%, increase in net Interchange Fees. The increase in net Interchange Fees due to the increase in TPV was partially offset by a decrease in Interchange Fees due to a change in processing mix. Interchange rates may vary due to changes in transaction volume type, including average transaction size, merchant classifications, and consumer versus commercial classification. Consistent with the increase in TPV, Revenue Share increased 164% in the three months ended March 31, 2021 compared to the same period in 2020. TPV was affected by the COVID-19 pandemic and the stimulus payments as discussed in the section above under the caption “Impact of COVID-19.” Processing and other fees increased $11.3 million or 148% in the three months ended March 31, 2021 compared to the same period in 2020 due to an increase in automated teller machine processing volume.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24,311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49,829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$25,518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vMerge w:val="continue"/>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49,857</w:t>
            </w:r>
          </w:p>
        </w:tc>
        <w:tc>
          <w:tcPr>
            <w:tcW w:w="3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$31,295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Costs of revenue increased by $28.3 million, or 95%, for the three months ended March 31, 2021 compared to the same period in 2020. The increase was primarily due to increased Card Network fees as the result of the 167% increase in TPV and 103% increase in the number of corresponding transactions. Network fees are net of monetary incentives from Card Networks for processing volume through the respective Card Networks during the period. Card Network fees for the three months ended March 31, 2021 reflect a reduction of $4.6 million related to monetary incentives that we earned as a result of processing volumes reaching a specified threshold in March 2021. The additional incentive rates were applied to all relevant processing volumes once the threshold was reached in March 31, 2021. The processing volume thresholds resulting in additional incentives were not reached in the three months ended March 31, 2020.</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Issuing Bank fees increased $2.4 million, or 59%, for the three months ended March 31, 2021 compared to the same period in 2020, which was lower than the percentage of increase in TPV as a result of volume tiers being met at Sutton Bank. Issuing Bank fees are typically structured based on volume tiers; as our processing volumes grow, these fees as a percentage of processing volume decline.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our gross profit increased by $31.3 million, or 169%, for the three months ended March 31, 2021 compared to the same period in 2020.</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gross margin increased to 46% during the three months ended March 31, 2021—including the benefit of the monetary incentives mentioned above —from 38% during the same period in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7"/>
              </w:rPr>
              <w:t>Three Months Ended March 31,</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4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33,447</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$12,210</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11,392</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7,647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44,839</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534</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Compensation and benefits expenses increased by $19.9 million, or 79%, for the three months ended March 31, 2021 compared to the same period in 2020. The increase was primarily due to a $12.2 million increase in employee-related costs due to the increase in the number of employees, and a $7.6 million increase in share-based compensation related to employees’ stock options and secondary sales of common stock. Share-based compensation expense in the three months ended March 31, 2020 and 2021 included $1.4 million and $5.9 million, respectively, associated with secondary sales of common stock by employees. We do not expect to record share-based compensation expense associated with secondary sales of common stock in periods after the completion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Professional Services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Professional services expenses increased by $3.9 million, or 167%, for the three months ended March 31, 2021 compared to the same period in 2020. The increase was primarily due to a $2.3 million increase in accounting, consulting, and legal fees, a $1.4 million increase in contractors cost, and a $0.2 million increase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$ 3,187</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Technology expenses increased by $3.2 million, or 131%, for the three months ended March 31, 2021 compared to the same period in 2020. The increase was primarily due to a $2.0 million increase in third-party hosting costs to support our continued growth and increase in TPV and a $1.2 million increase in software licensing costs as we continue implementing new systems and tools.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 March 31,</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Occupancy expense remained relatively flat for the three months ended March 31, 2021 compared to the same period in 2020 as a result of the enactment of shelter-in-place orders and the increase in the number of our employees working remotely. We will continue to evaluate the need for additional office space.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remained relatively flat for the three months ended March 31, 2021 compared to the same period in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495</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Marketing and advertising expenses increased by $0.2 million, or 46%, for the three months ended March 31, 2021 compared to the same period in 2020. The increase was primarily related to advertising and brand awareness investments to further grow our customer base.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operating expenses decreased by $0.2 million, or 15%, for the three months ended March 31, 2021 compared to the same period in 2020.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$0.3 million and reduced office meals by $0.2 million during the three months ended March 31, 2021 compared to the same period in 2020. When shelter-in-place orders are lifted and we open our offices and allow business travel, we expect these expenses to increase. The decrease was partially offset by an increase in various state and local taxes of $0.2 million and an increase in other miscellaneous operating expenses of $0.1 million.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98"/>
              </w:rPr>
              <w:t>Three Months Ended March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(2,662)</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Other income (expense), net decreased by $2.7 million, or 538%, for the three months ended March 31, 2021 compared to the same period in 2020. The decrease was primarily due to a $2.4 million increase in the expense related to the change in the fair value of the redeemable convertible preferred stock warrant liabilities and a $0.3 million decrease in interest income from our marketable securities portfolio.</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March 31, 2021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 30,</w:t>
            </w: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Dec 31,</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Sep 30,</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6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$ 35,572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$ 39,184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$ 42,806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$ 48,388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$69,402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$ 84,306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$ 88,196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$107,983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Costs of revenue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18,936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22,575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25,297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29,826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41,785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49,024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51,750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58,126</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30,493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38,231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2,502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2,137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2,283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2,132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3,172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6,261</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1,080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1,070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1,086</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371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495</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r>
      <w:tr>
        <w:trPr>
          <w:trHeight w:val="230"/>
        </w:trPr>
        <w:tc>
          <w:tcPr>
            <w:tcW w:w="3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(22,342)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(12,172)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(2,167)</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(12,255)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(7,107)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(13,760)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(12,838)</w:t>
            </w: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gridSpan w:val="4"/>
          </w:tcPr>
          <w:p>
            <w:pPr>
              <w:jc w:val="right"/>
              <w:ind w:right="60"/>
              <w:spacing w:after="0" w:line="119" w:lineRule="exact"/>
              <w:rPr>
                <w:sz w:val="20"/>
                <w:szCs w:val="20"/>
                <w:color w:val="auto"/>
              </w:rPr>
            </w:pPr>
            <w:r>
              <w:rPr>
                <w:rFonts w:ascii="Arial" w:cs="Arial" w:eastAsia="Arial" w:hAnsi="Arial"/>
                <w:sz w:val="13"/>
                <w:szCs w:val="13"/>
                <w:b w:val="1"/>
                <w:bCs w:val="1"/>
                <w:color w:val="auto"/>
                <w:w w:val="98"/>
              </w:rPr>
              <w:t>Jun 30,</w:t>
            </w:r>
          </w:p>
        </w:tc>
        <w:tc>
          <w:tcPr>
            <w:tcW w:w="460" w:type="dxa"/>
            <w:vAlign w:val="bottom"/>
          </w:tcPr>
          <w:p>
            <w:pPr>
              <w:spacing w:after="0"/>
              <w:rPr>
                <w:sz w:val="10"/>
                <w:szCs w:val="10"/>
                <w:color w:val="auto"/>
              </w:rPr>
            </w:pPr>
          </w:p>
        </w:tc>
        <w:tc>
          <w:tcPr>
            <w:tcW w:w="4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w w:val="78"/>
              </w:rPr>
              <w:t>Sep 30,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6"/>
          </w:tcPr>
          <w:p>
            <w:pPr>
              <w:jc w:val="right"/>
              <w:ind w:right="33"/>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1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(14)%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384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4920" w:type="dxa"/>
            <w:vAlign w:val="bottom"/>
            <w:gridSpan w:val="9"/>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13"/>
              <w:spacing w:after="0" w:line="119" w:lineRule="exact"/>
              <w:rPr>
                <w:sz w:val="20"/>
                <w:szCs w:val="20"/>
                <w:color w:val="auto"/>
              </w:rPr>
            </w:pPr>
            <w:r>
              <w:rPr>
                <w:rFonts w:ascii="Arial" w:cs="Arial" w:eastAsia="Arial" w:hAnsi="Arial"/>
                <w:sz w:val="13"/>
                <w:szCs w:val="13"/>
                <w:b w:val="1"/>
                <w:bCs w:val="1"/>
                <w:color w:val="auto"/>
              </w:rPr>
              <w:t>Jun 30,</w:t>
            </w:r>
          </w:p>
        </w:tc>
        <w:tc>
          <w:tcPr>
            <w:tcW w:w="260" w:type="dxa"/>
            <w:vAlign w:val="bottom"/>
          </w:tcPr>
          <w:p>
            <w:pPr>
              <w:spacing w:after="0"/>
              <w:rPr>
                <w:sz w:val="10"/>
                <w:szCs w:val="10"/>
                <w:color w:val="auto"/>
              </w:rPr>
            </w:pPr>
          </w:p>
        </w:tc>
        <w:tc>
          <w:tcPr>
            <w:tcW w:w="740" w:type="dxa"/>
            <w:vAlign w:val="bottom"/>
            <w:gridSpan w:val="4"/>
          </w:tcPr>
          <w:p>
            <w:pPr>
              <w:jc w:val="right"/>
              <w:ind w:right="131"/>
              <w:spacing w:after="0" w:line="119" w:lineRule="exact"/>
              <w:rPr>
                <w:sz w:val="20"/>
                <w:szCs w:val="20"/>
                <w:color w:val="auto"/>
              </w:rPr>
            </w:pPr>
            <w:r>
              <w:rPr>
                <w:rFonts w:ascii="Arial" w:cs="Arial" w:eastAsia="Arial" w:hAnsi="Arial"/>
                <w:sz w:val="13"/>
                <w:szCs w:val="13"/>
                <w:b w:val="1"/>
                <w:bCs w:val="1"/>
                <w:color w:val="auto"/>
              </w:rPr>
              <w:t>Sep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98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940" w:type="dxa"/>
            <w:vAlign w:val="bottom"/>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90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90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Dec 31,</w:t>
            </w:r>
          </w:p>
        </w:tc>
        <w:tc>
          <w:tcPr>
            <w:tcW w:w="660" w:type="dxa"/>
            <w:vAlign w:val="bottom"/>
            <w:gridSpan w:val="3"/>
          </w:tcPr>
          <w:p>
            <w:pPr>
              <w:jc w:val="right"/>
              <w:ind w:right="17"/>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182"/>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Processing Volume (TPV) (in</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4,793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7"/>
              </w:rPr>
              <w:t>5,922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84"/>
              </w:rPr>
              <w:t>7,105</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w w:val="92"/>
              </w:rPr>
              <w:t>$15,082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17,250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18,748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23,998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(21,846)</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$(10,115)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w w:val="86"/>
              </w:rPr>
              <w:t>(14,360)</w:t>
            </w:r>
          </w:p>
        </w:tc>
        <w:tc>
          <w:tcPr>
            <w:tcW w:w="20" w:type="dxa"/>
            <w:vAlign w:val="bottom"/>
          </w:tcPr>
          <w:p>
            <w:pPr>
              <w:spacing w:after="0"/>
              <w:rPr>
                <w:sz w:val="18"/>
                <w:szCs w:val="18"/>
                <w:color w:val="auto"/>
              </w:rPr>
            </w:pPr>
          </w:p>
        </w:tc>
        <w:tc>
          <w:tcPr>
            <w:tcW w:w="920" w:type="dxa"/>
            <w:vAlign w:val="bottom"/>
            <w:gridSpan w:val="6"/>
          </w:tcPr>
          <w:p>
            <w:pPr>
              <w:jc w:val="right"/>
              <w:ind w:right="90"/>
              <w:spacing w:after="0"/>
              <w:rPr>
                <w:sz w:val="20"/>
                <w:szCs w:val="20"/>
                <w:color w:val="auto"/>
              </w:rPr>
            </w:pPr>
            <w:r>
              <w:rPr>
                <w:rFonts w:ascii="Arial" w:cs="Arial" w:eastAsia="Arial" w:hAnsi="Arial"/>
                <w:sz w:val="18"/>
                <w:szCs w:val="18"/>
                <w:color w:val="auto"/>
                <w:w w:val="93"/>
              </w:rPr>
              <w:t>$(14,530)</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(7,107)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(12,298)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(13,760)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(8,325)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ind w:right="90"/>
              <w:spacing w:after="0"/>
              <w:rPr>
                <w:sz w:val="20"/>
                <w:szCs w:val="20"/>
                <w:color w:val="auto"/>
              </w:rPr>
            </w:pPr>
            <w:r>
              <w:rPr>
                <w:rFonts w:ascii="Arial" w:cs="Arial" w:eastAsia="Arial" w:hAnsi="Arial"/>
                <w:sz w:val="18"/>
                <w:szCs w:val="18"/>
                <w:color w:val="auto"/>
                <w:w w:val="86"/>
              </w:rPr>
              <w:t>(10,411)</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(3,029)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(2,624)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365"/>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87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March 31, 2021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98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880" w:type="dxa"/>
            <w:vAlign w:val="bottom"/>
            <w:gridSpan w:val="2"/>
          </w:tcPr>
          <w:p>
            <w:pPr>
              <w:jc w:val="right"/>
              <w:ind w:right="35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1100" w:type="dxa"/>
            <w:vAlign w:val="bottom"/>
            <w:gridSpan w:val="2"/>
          </w:tcPr>
          <w:p>
            <w:pPr>
              <w:jc w:val="right"/>
              <w:ind w:right="430"/>
              <w:spacing w:after="0" w:line="119" w:lineRule="exact"/>
              <w:rPr>
                <w:sz w:val="20"/>
                <w:szCs w:val="20"/>
                <w:color w:val="auto"/>
              </w:rPr>
            </w:pPr>
            <w:r>
              <w:rPr>
                <w:rFonts w:ascii="Arial" w:cs="Arial" w:eastAsia="Arial" w:hAnsi="Arial"/>
                <w:sz w:val="13"/>
                <w:szCs w:val="13"/>
                <w:b w:val="1"/>
                <w:bCs w:val="1"/>
                <w:color w:val="auto"/>
              </w:rPr>
              <w:t>Mar 31,</w:t>
            </w:r>
          </w:p>
        </w:tc>
        <w:tc>
          <w:tcPr>
            <w:tcW w:w="10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Dec 31,</w:t>
            </w:r>
          </w:p>
        </w:tc>
        <w:tc>
          <w:tcPr>
            <w:tcW w:w="100" w:type="dxa"/>
            <w:vAlign w:val="bottom"/>
          </w:tcPr>
          <w:p>
            <w:pPr>
              <w:spacing w:after="0"/>
              <w:rPr>
                <w:sz w:val="10"/>
                <w:szCs w:val="10"/>
                <w:color w:val="auto"/>
              </w:rPr>
            </w:pPr>
          </w:p>
        </w:tc>
        <w:tc>
          <w:tcPr>
            <w:tcW w:w="58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8"/>
              </w:rPr>
              <w:t>35,572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4"/>
              </w:rPr>
              <w:t>39,184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42,806</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$ 48,388</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$69,402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88,196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107,983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w w:val="89"/>
              </w:rPr>
              <w:t>(21,846)</w:t>
            </w:r>
          </w:p>
        </w:tc>
        <w:tc>
          <w:tcPr>
            <w:tcW w:w="10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8"/>
                <w:szCs w:val="18"/>
                <w:color w:val="auto"/>
                <w:w w:val="86"/>
              </w:rPr>
              <w:t>(10,115)</w:t>
            </w: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(14,360)</w:t>
            </w:r>
          </w:p>
        </w:tc>
        <w:tc>
          <w:tcPr>
            <w:tcW w:w="1200" w:type="dxa"/>
            <w:vAlign w:val="bottom"/>
            <w:gridSpan w:val="3"/>
          </w:tcPr>
          <w:p>
            <w:pPr>
              <w:jc w:val="right"/>
              <w:ind w:right="270"/>
              <w:spacing w:after="0"/>
              <w:rPr>
                <w:sz w:val="20"/>
                <w:szCs w:val="20"/>
                <w:color w:val="auto"/>
              </w:rPr>
            </w:pPr>
            <w:r>
              <w:rPr>
                <w:rFonts w:ascii="Arial" w:cs="Arial" w:eastAsia="Arial" w:hAnsi="Arial"/>
                <w:sz w:val="18"/>
                <w:szCs w:val="18"/>
                <w:color w:val="auto"/>
              </w:rPr>
              <w:t>(14,530)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(13,760)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(12,838)</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855</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line="201" w:lineRule="exact"/>
              <w:rPr>
                <w:sz w:val="20"/>
                <w:szCs w:val="20"/>
                <w:color w:val="auto"/>
              </w:rPr>
            </w:pPr>
            <w:r>
              <w:rPr>
                <w:rFonts w:ascii="Arial" w:cs="Arial" w:eastAsia="Arial" w:hAnsi="Arial"/>
                <w:sz w:val="18"/>
                <w:szCs w:val="18"/>
                <w:color w:val="auto"/>
                <w:w w:val="96"/>
              </w:rPr>
              <w:t>Share-based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5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w w:val="98"/>
              </w:rPr>
              <w:t>15,500</w:t>
            </w:r>
          </w:p>
        </w:tc>
        <w:tc>
          <w:tcPr>
            <w:tcW w:w="10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3,461</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3,745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9"/>
              </w:rPr>
              <w:t>$ (10,411)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 (3,029)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net revenue increased in each of the quarters presented and is generally highly correlated to TPV. Net revenue for the second quarter of 2020 increased significantly due to additional processing volume from on-demand delivery Customers as a result of the changing spending patterns caused by the COVID-19 pandemic. Net revenue for the first quarter of 2021 increased significantly due, in part, to additional processing volume attributable to COVID-19 pandemic-related stimulus cash payments from the U.S. government. See the section titled “Impact of COVID-19” for further discussion.</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processing volume and can fluctuate period to period due to the timing of Card Network incentives, as incentives arrangements are typically structured based on volume tiers.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gross profit also increased in each of the quarters presented with a significant increase in the quarter ended March 31, 2021 due to the impact of the COVID-19 pandemic on some of our largest on-demand delivery and buy-now-pay-later Customers and the benefit of the monetary incentives discussed above. Net revenue and gross profit were each negatively affected by service level agreement payments to Customers that totaled $2.8 million in the quarter ended March 31, 2019.</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Gross margin fluctuated across the quarters presented. The declining gross margin in the quarter ended June 30, 2020 was a function of increased processing volume and the Revenue Share arrangements with Customers that provide increased rates of Revenue Share when processing volumes reach specified volume tiers.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major component of our operating expenses is compensation and benefits. Over the last eight quarters we have invested heavily in product development, operations, customer delivery, and general and administrative functions, and as such, compensation and benefits expense has grown. In the second quarter of 2019, the third and fourth quarters of 2020 and the first quarter of 2021, compensation and benefits includes share-based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compensation of $13.7 million, $9.0 million, $6.8 million, and $5.9 million, respectively, related to secondary sales of common stock by our employees and former employees that were purchased by our existing stockholders. In the fourth quarter of 2020 and the first quarter of 2021, as a result of our continuous expansion and growth, professional services expenses increased due to the hiring of additional contractors and consultants as well as full-time employees that resulted in an increase of recruiting fees. Our technology cost increased during the fourth quarter of 2020 as a result of the increase in our costs of cloud computing services and software licenses driven by increase in TPV. As we continue investing in our Platform infrastructure, we expect those costs to continue to increase. For the fourth quarter of 2019, marketing and advertising expenses increased due to our participation in Money20/20, an annual global fintech conference. We expect such increase in marketing and advertising expenses to occur every fourth quarter because of the conference, other than in the fourth quarter of 2020 during which, due to the COVID-19 pandemic, only a few virtual events were held. Our marketing and advertising expenses increased in the fourth quarter of 2020 as we invested in marketing and promotional campaigns to grow our brand and increase engagement with potential customers.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Other income (expense), net reflects interest income on our marketable securities portfolio, that commenced in the second quarter of 2019, interest expense from a bank loan that was paid off in the fourth quarter of 2019, an impairment loss on an equity method investment of $0.8 million in the fourth quarter of 2019, and the expense related to the change in the fair value of the redeemable convertible preferred stock warrant liabilities that significantly increased in the second, third, and fourth quarters of 2020 to reach $0.9 million in the fourth quarter of 2020 and $2.3 million in the first quarter of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increases in TPV over the years ended December 31, 2019 and 2020 and the three months ended March 31, 2020 and 2021 as we continue to add new Customers and as our existing Customers grow their businesses. Our adjusted EBITDA margin has generally improved across the periods demonstrating the leverage in our operating model as we have been able to grow revenue and gross profit at a faster pace than operating expenses. TPV, adjusted EBITDA, and adjusted EBITDA margin for the second, third, and fourth quarters of 2020 were positively affected by increased processing volumes from on-demand delivery Customers as a result of the changing spending patterns caused by the COVID-19 pandemic. See the section titled “Impact of COVID-19” for further discussion.</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calculation of pro forma net loss per share attributable to common stockholders gives effect to the conversion of our redeemable convertible preferred stock using the if-converted method as though the conversion had occurred as of the beginning of the period or on the date of issuance, if later. The pro forma share amounts also give effect to the RSUs subject to both a service condition and a liquidity condition for which the service condition has been satisfied as of December 31, 2020 and March 31, 2021 on a weighted-average basis.</w:t>
      </w:r>
    </w:p>
    <w:p>
      <w:pPr>
        <w:spacing w:after="0" w:line="18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net loss used in computing unaudited pro forma basic net loss per share has been adjusted to remove gains or losses resulting from the remeasurement of the redeemable convertible preferred stock warrant liabilities. The net loss used in computing unaudited pro forma basic net loss per share also gives effect to the share-based compensation expense associated with our RSUs. If a qualifying liquidity condition had occurred on December 31, 2020, we would have recognized approximately $9.8 million of cumulative share-based compensation on that date. If a qualifying liquidity condition had occurred on March 31, 2021, we would have recognized approximately $19.2 million of cumulative share-based compensation on that date. Unaudited pro forma diluted net loss per share is the same as the unaudited pro forma basic net loss per share for the period as the impact of any potentially dilutive securities was anti-dilutive.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calculated unaudited pro forma basic and diluted net loss per share is as follows (in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72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(47,695)</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convertible preferred stock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Share-based compensation expense for RSUs with vesting conditions contingent upon 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(9,795)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(19,202)</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(55,542)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(29,730)</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122,932,556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130,841,306</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Pro forma adjustment for the automatic conversion of all outstanding shares of redeemable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convertible preferred stock into shares of common stock</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346,203,754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351,844,340</w:t>
            </w: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adjustment for the vesting of RSUs with vesting conditions contingent upon 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223,856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729,720</w:t>
            </w:r>
          </w:p>
        </w:tc>
      </w:tr>
      <w:tr>
        <w:trPr>
          <w:trHeight w:val="209"/>
        </w:trPr>
        <w:tc>
          <w:tcPr>
            <w:tcW w:w="7260" w:type="dxa"/>
            <w:vAlign w:val="bottom"/>
          </w:tcPr>
          <w:p>
            <w:pPr>
              <w:spacing w:after="0"/>
              <w:rPr>
                <w:sz w:val="20"/>
                <w:szCs w:val="20"/>
                <w:color w:val="auto"/>
              </w:rPr>
            </w:pPr>
            <w:r>
              <w:rPr>
                <w:rFonts w:ascii="Arial" w:cs="Arial" w:eastAsia="Arial" w:hAnsi="Arial"/>
                <w:sz w:val="18"/>
                <w:szCs w:val="18"/>
                <w:color w:val="auto"/>
                <w:w w:val="95"/>
              </w:rPr>
              <w:t>Pro forma weighted-average shares used in computing pro forma net loss per share attributable</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to common stockholders, basic and 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469,360,166</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483,415,366</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r>
      <w:tr>
        <w:trPr>
          <w:trHeight w:val="20"/>
        </w:trPr>
        <w:tc>
          <w:tcPr>
            <w:tcW w:w="7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Since our inception through December 31, 2020 and March 31, 2021, we have financed our operations primarily through private sales of equity securities for net proceeds of $422.1 million and, to a lesser extent, bank debt financing of $20.0 million. As of December 31, 2020 and March 31, 2021, our principal sources of liquidity included cash, cash equivalents, and marketable securities totaling $370.3 million and $387.8 million, respectively,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and March 31, 2021, we had $7.8 million in restricted cash. This restricted cash includes $6.3 million held at our Issuing Banks to provide the Issuing Banks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4"/>
          </w:tcPr>
          <w:p>
            <w:pPr>
              <w:jc w:val="right"/>
              <w:ind w:right="1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50,273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w w:val="90"/>
              </w:rPr>
              <w:t>(100,318)</w:t>
            </w:r>
          </w:p>
        </w:tc>
        <w:tc>
          <w:tcPr>
            <w:tcW w:w="100" w:type="dxa"/>
            <w:vAlign w:val="bottom"/>
          </w:tcPr>
          <w:p>
            <w:pPr>
              <w:spacing w:after="0"/>
              <w:rPr>
                <w:sz w:val="18"/>
                <w:szCs w:val="18"/>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w w:val="92"/>
              </w:rPr>
              <w:t>(57,562)</w:t>
            </w:r>
          </w:p>
        </w:tc>
        <w:tc>
          <w:tcPr>
            <w:tcW w:w="14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20,995</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8,760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139,049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6"/>
              </w:rPr>
              <w:t>167,378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160,089</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6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Card Network and Issuing Bank fees, and employee-related expenditures.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16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2020, cash provided by operating activities was $50.3 million primarily due to our net loss of $47.7 million, adjusted for non-cash charges of $36.2 million and net cash inflows of $61.8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$48.4 million increase in Revenue Share payable and a $35.0 million increase in accrued expenses and other current liabilities, partially offset by a $9.4 million increase in network incentives receivable, a $4.5 million increase in accounts receivable and a $3.0 million increase in settlements receivable.</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During the three months ended March 31, 2020, cash used in operating activities was $8.5 million primarily due to our net loss of $14.5 million, adjusted for non-cash charges of $5.1 million and net cash inflows of $0.9 million from changes in our operating assets and liabilities. Non-cash charges primarily consisted of share-based compensation, the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$6.2 million increase in Revenue Share payable and a $1.2 million decrease in prepaid and other assets, partially offset by a $3.5 million increase in network incentives receivable, a $1.4 million decrease in accrued expenses and other liabilities, and a $0.8 million increase in settlements receivable.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During the three months ended March 31, 2021, cash provided by operating activities was $17.9 million, primarily due to our net loss of $12.8 million, adjusted for non-cash charges of $15.5 million and net cash inflows of $15.2 million from changes in our operating assets and liabilities. Non-cash charges primarily consisted of share-based compensation,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$14.1 million increase in Revenue Share payable, a $7.8 million increase in accrued expenses and other liabilities, a $5.0 million decrease in accounts receivable as a result of new offsetting programs in effect during the quarter, a $1.5 million decrease in settlements receivable, partially offset by a $12.1 million increase in network incentives receivable, a $0.7 million decrease in operating lease liabilities, and a $0.4 million increase in prepaid expenses and other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property and equipment, and strategic investments of $5.6 million, partially offset by maturities of marketable securities of $433.6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of $57.6 million was primarily attributable to purchases of marketable securities of $216.2 million and purchases of property and equipment of $2.4 million, partially offset by sales and maturities of marketable securities of $161.0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2020 of $21.0 million was primarily attributable to maturities of marketable securities of $40.5 million partially offset by purchases of marketable securities of $18.9 million and purchases of property and equipment of $0.5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2021 of $8.8 million was primarily attributable to maturities of marketable securities of $16.4 million partially offset by purchases of marketable securities of $7.0 million and purchases of property and equipment of $0.6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 preferred stock, net of issuance costs, and $1.0 million in proceeds from the exercise of stock options, partially offset by the bank loan repayment of $5.0 million.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of $167.4 million was primarily the result of $166.9 million in net proceeds from the issuance of Series E-1 redeemable convertible preferred stock, net of issuance costs and $3.2 million in proceeds from the exercise of stock options, partially offset by the payment of deferred offering costs of $2.7 million.</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Net cash provided by financing activities during the three months ended March 31, 2020 of $0.3 million was primarily the result of $0.5 million in net proceeds from the issuance of common stock including early exercised stock options, partially offset by the payment of deferred offering costs of approximately $0.1 million and the repurchase of early exercised unvested stock options of approximately $0.1 million.</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2021 of $0.6 million was primarily the result of $1.7 million in proceeds from the exercise of stock options offset by payment of deferred offering costs of $1.1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3 to 5</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1 year</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than 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$22,283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11,609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15,690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14,301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35,920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60" w:right="20" w:hanging="544"/>
        <w:spacing w:after="0" w:line="27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to certain service providers and Issuing Banks.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and March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had cash, cash equivalents, and marketable securities totaling $370.3 million and $387.8 million as of December 31, 2020 and March 31, 2021, respectively. Such amounts included cash deposits, money market funds, U.S. government securities, commercial paper, asset-backed securities, and corporate debt securities. The fair value of our cash, cash equivalents, and marketable securities would not be significantly affected by either an increase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Most of our sales and operating expenses are denominated in U.S. dollars, and therefore our results of operations are not currently subject to significant foreign currency risk. During the year ended December 31, 2020 and the three months ended March 31, 2021, a hypothetical 10% change in foreign currency exchange rates applicable to our business would not have had a material impact on our consolidated financial statements.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all the periods presented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18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Marqeta. In addition, we have considered the impact on our valuation estimates from secondary transactions and given weighting to such transactions in our common stock fair value estimates. We considered the facts and circumstances of each secondary transaction including the different buyers and sellers, transaction volume, timing relative to the valuation date, and whether the transaction involved investors with access to our financial information.</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 Such estimates will not be necessary upon completion of this offering as we will be using the fair value of our publicly traded shares.</w:t>
      </w:r>
    </w:p>
    <w:p>
      <w:pPr>
        <w:spacing w:after="0" w:line="17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and the three months ended March 31, 2020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stockholders acquired outstanding common stock 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$14.8 million and $17.3 million during the years ended December 31, 2019 and 2020, respectively, and $1.4 million and $5.9 million during the three months ended March 31, 2020 and 2021, respectively. Such amounts were recorded in compensation and benefits expense on the statements of operations. We do not expect to record share-based compensation expense associated with secondary sales of common stock in periods after the completion of this offering.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JASON GARDNER, FOUNDER AND CHIEF EXECUTIVE OFFICER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Investor,</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 whiteboard, a computer, and a cell phone. Simple tools to launch a bold idea in a disruption-less area of the global payment card industry. Since that time in January 2010, our Platform has become essential to numerous builders as they tackle the countless demands of supporting consumer and commercial card programs globally. Whether Marqeta underpins our Customers’ core business or supports a core business process, we are essential to our Customers’ modern money movement.</w:t>
      </w:r>
    </w:p>
    <w:p>
      <w:pPr>
        <w:spacing w:after="0" w:line="18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As we scaled to service enterprise Customers globally, we learned and gathered knowledge along the way and paid it forward. Today, we serve some of the most iconic brands in the world. We have over 11 years of learning from the foundational expertise we put forward when we engage at scale with future builders. We love our Customers and are obsessively enthusiastic about supporting their success. The Marqeta ecosystem grows, and the Marqeta Platform benefits. It’s a symbiotic relationship that we believe will extend well beyond what we see at the company today.</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We are very fortunate to live in a part of the world that supports entrepreneurs and technical innovation. Oakland, California, in 2010, was fertile ground for Marqeta to take root. We love complex things, complex ecosystems, and complex technology. Finding the path forward, solving problems, and making progress are fun for us. </w:t>
      </w:r>
      <w:r>
        <w:rPr>
          <w:rFonts w:ascii="Arial" w:cs="Arial" w:eastAsia="Arial" w:hAnsi="Arial"/>
          <w:sz w:val="18"/>
          <w:szCs w:val="18"/>
          <w:i w:val="1"/>
          <w:iCs w:val="1"/>
          <w:color w:val="auto"/>
        </w:rPr>
        <w:t>I see the path ahead of me.</w:t>
      </w:r>
      <w:r>
        <w:rPr>
          <w:rFonts w:ascii="Arial" w:cs="Arial" w:eastAsia="Arial" w:hAnsi="Arial"/>
          <w:sz w:val="15"/>
          <w:szCs w:val="15"/>
          <w:i w:val="1"/>
          <w:iCs w:val="1"/>
          <w:color w:val="auto"/>
        </w:rPr>
        <w:t>1</w:t>
      </w:r>
    </w:p>
    <w:p>
      <w:pPr>
        <w:spacing w:after="0" w:line="18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 xml:space="preserve">Marqeta has been an integral part of the lives of many Marqetans and our families for over 11 years. I am forever grateful for my wife, Jocelyne. Together we have persevered through the highs and lows of life for the past 25 years. Marqeta wouldn’t be where we are today without her, our kids, and the many other wives, husbands, partners, friends, kids, and family across Marqeta, their unwavering support, encouragement, and commitment to Marqeta’s success every step of the way. We are thankful for the journey we are all on together. </w:t>
      </w:r>
      <w:r>
        <w:rPr>
          <w:rFonts w:ascii="Arial" w:cs="Arial" w:eastAsia="Arial" w:hAnsi="Arial"/>
          <w:sz w:val="16"/>
          <w:szCs w:val="16"/>
          <w:i w:val="1"/>
          <w:iCs w:val="1"/>
          <w:color w:val="auto"/>
        </w:rPr>
        <w:t>I only like the shade when you’re blocking the light.</w:t>
      </w:r>
      <w:r>
        <w:rPr>
          <w:rFonts w:ascii="Arial" w:cs="Arial" w:eastAsia="Arial" w:hAnsi="Arial"/>
          <w:sz w:val="13"/>
          <w:szCs w:val="13"/>
          <w:i w:val="1"/>
          <w:iCs w:val="1"/>
          <w:color w:val="auto"/>
        </w:rPr>
        <w:t>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got started</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Companies get started with problems that are fun to solve. Over time the problem that gets solved launches a product that finds a market. As the story goes, I was eating sushi with my friend Sukhi at a restaurant in San Francisco in December of 2009. I had recently left MoneyGram International, which acquired a company I co-founded. I wanted to start something new. Sukhi had a bunch of Groupon coupons in his pocket, and he said, “You’re a payment nerd; find a way to put these on a card.” I remember looking at the payment terminal in the restaurant and thinking that there was a world beyond that machine that I didn’t fully understand. That intellectual curiosity led us on a path to where we are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focus on people</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People who build successful companies are often more concerned about being in service to their customers, teammates, and investors than their own success. I care deeply about my business partners at Marqeta, our Customers, partners, and investors. I talk a lot about my relationships with other human beings and how thankful I am to have them all in my life, their support, hard work, and thoughtfulness. Many minds and hands have shaped what Marqeta is today. Nothing is more powerful than a unified team focused on collective results. We always look at the people around us and feel an immense sense of responsibility to do what’s right and succeed. This north star guided us then and still guides us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believe in aligning with the success of our Customers</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Everything at Marqeta starts with our Customers. Ensuring their success is at the core of everything we do. At Marqeta, we think about ourselves as mission-critical infrastructure. Our Customers genuinely depend on us to do the best work of our lives. We focus on building world-class infrastructure so that they can stay focused on creating and building world-class payment card experiences. Our success is the result of our Customers’ success.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 is our excellence</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 xml:space="preserve">Every Marqetan is anchored in a core set of values centered around the Customer, our people, and the results: Connect the Customer, Deliver Results, Lead Innovation, Quality First, Build One Marqeta, Marqeta Cares, and Everyone Belongs. We created modern card issuing and are the first to market with multiple product innovations. Solving the unsolved is at the heart of our culture and keeps us at the forefront of innovation. Our culture is the driving force behind our innovation, customer centricity, and excellence. That is why extraordinary people choose to come to Marqeta to do the best work of their lives, and we believe this is why Customers choose us as a partner to scale their businesses globally. </w:t>
      </w:r>
      <w:r>
        <w:rPr>
          <w:rFonts w:ascii="Arial" w:cs="Arial" w:eastAsia="Arial" w:hAnsi="Arial"/>
          <w:sz w:val="16"/>
          <w:szCs w:val="16"/>
          <w:i w:val="1"/>
          <w:iCs w:val="1"/>
          <w:color w:val="auto"/>
        </w:rPr>
        <w:t>Show me something built to last.</w:t>
      </w:r>
      <w:r>
        <w:rPr>
          <w:rFonts w:ascii="Arial" w:cs="Arial" w:eastAsia="Arial" w:hAnsi="Arial"/>
          <w:sz w:val="13"/>
          <w:szCs w:val="13"/>
          <w:i w:val="1"/>
          <w:iCs w:val="1"/>
          <w:color w:val="auto"/>
        </w:rPr>
        <w:t>3</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plan to invest significantly for our future</w:t>
      </w:r>
    </w:p>
    <w:p>
      <w:pPr>
        <w:spacing w:after="0" w:line="22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invest for the long term based on the thesis that global payment volume is moving to modern infrastructure. According to Euromonitor, this year alone, the market for global money movement is estimated to be $74 trillion, representing approximately 4 trillion individual payment transactions. The size of this market is staggering, and most of this volume lives on legacy platforms. Additionally, as people migrate away from using cash, there is just that much more volume to be transacted over modern infrastructure. That’s the opportunity and the target: to disrupt legacy platforms and move that volume to a modern platform like Marqeta. We are at the forefront of a significant secular shift towards modern money movement. We believe that transformation will happen over the next decade and that we are still in the early innings. At scale, the winners in this industry will control the vast majority of the volume. Our job is to build the go-to-market Platform that winners default to globally. Over time, we intend to broaden our Platform by introducing additional capabilities and functionality to meet our Customers’ evolving global money movement needs. Our Customers need several solutions beyond cards that we’re looking to bring to them in the future. Why? Because we focus relentlessly on our Customers.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to expect from us in the future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strong beliefs. We plan to make bold decisions and invest in the business with specific long-term outcomes in mind. At my core, I am an entrepreneur. I plan to use that DNA as we look to chart a path forward and continue leading the industry. We will use data, and we will trust our instincts and those of our Customers.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All meaningful relationships are built on trust. We have been working on creating the conditions for trust to thrive since we wrote our first line of code in 2010. We are incredibly thankful to our Customers for their support and partnership. We are also so very grateful for each other, our partners, and our investors. We hope that you’ll join us on our journey as a public company.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Once in a while, you get shown the light in the strangest of places if you look at it right.</w:t>
      </w:r>
      <w:r>
        <w:rPr>
          <w:rFonts w:ascii="Arial" w:cs="Arial" w:eastAsia="Arial" w:hAnsi="Arial"/>
          <w:sz w:val="15"/>
          <w:szCs w:val="15"/>
          <w:i w:val="1"/>
          <w:iCs w:val="1"/>
          <w:color w:val="auto"/>
        </w:rPr>
        <w:t>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Founder, 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“Free” performed by Phish. First debuted May 16, 1995, Lowell Memorial Auditorium, Lowell, MA</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“Shade” performed by Phish. First debuted July 21, 2015, Les Schwab Amphitheatre, Bend,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“Built to Last” performed by the Grateful Dead. First debuted October 20, 1988, The Summit, Houston, TX</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“Scarlet Begonias” performed by the Grateful Dead. First debuted March 23, 1974, Cow Palace Daly City, CA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 of over 200% for each of the years ended December 31, 2019 and 2020.</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three months ended March 31, 2021, the Marqeta Platform processed $24.0 billion of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9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8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31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 card</w:t>
      </w:r>
      <w:r>
        <w:rPr>
          <w:rFonts w:ascii="Arial" w:cs="Arial" w:eastAsia="Arial" w:hAnsi="Arial"/>
          <w:sz w:val="18"/>
          <w:szCs w:val="18"/>
          <w:i w:val="1"/>
          <w:iCs w:val="1"/>
          <w:color w:val="auto"/>
        </w:rPr>
        <w:t xml:space="preserve"> </w:t>
      </w:r>
      <w:r>
        <w:rPr>
          <w:rFonts w:ascii="Arial" w:cs="Arial" w:eastAsia="Arial" w:hAnsi="Arial"/>
          <w:sz w:val="18"/>
          <w:szCs w:val="18"/>
          <w:color w:val="auto"/>
        </w:rPr>
        <w:t>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092065" cy="2520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920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144780</wp:posOffset>
            </wp:positionV>
            <wp:extent cx="5143500" cy="26231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 developer-friendly user experiences. We provide direct integrations with the Card Networks, including Visa, Mastercard, and PULSE, which is part of the Discover Global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63"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 confidence.</w:t>
      </w:r>
      <w:r>
        <w:rPr>
          <w:rFonts w:ascii="Arial" w:cs="Arial" w:eastAsia="Arial" w:hAnsi="Arial"/>
          <w:sz w:val="18"/>
          <w:szCs w:val="18"/>
          <w:i w:val="1"/>
          <w:iCs w:val="1"/>
          <w:color w:val="auto"/>
        </w:rPr>
        <w:t xml:space="preserve"> </w:t>
      </w:r>
      <w:r>
        <w:rPr>
          <w:rFonts w:ascii="Arial" w:cs="Arial" w:eastAsia="Arial" w:hAnsi="Arial"/>
          <w:sz w:val="18"/>
          <w:szCs w:val="18"/>
          <w:color w:val="auto"/>
        </w:rPr>
        <w:t>As a global platform built on a single codebase to support our Customers worldwide, we have a build-once, deploy-anywhere model, offering seamless integration with global and local Card Networks. Our cloud-based solution is designed for high volumes as evidenced by our rapid TPV growth from $1.9 billion in 2017 to $60.1 billion in 2020 and reliable performance with 99.995% uptime in 2020. Our Customers can create and deploy new card programs in days, not months or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 solve complex payment needs. Developers choose from hundreds of our open API endpoints to easily enable custom features such as spend, authorization, and issuing controls, JIT Funding, and application tools that are PCI compliant, allowing maximum configurability to meet their business needs.</w:t>
      </w:r>
    </w:p>
    <w:p>
      <w:pPr>
        <w:spacing w:after="0" w:line="80"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i w:val="1"/>
          <w:iCs w:val="1"/>
          <w:color w:val="auto"/>
        </w:rPr>
        <w:t xml:space="preserve">Innovative: </w:t>
      </w:r>
      <w:r>
        <w:rPr>
          <w:rFonts w:ascii="Arial" w:cs="Arial" w:eastAsia="Arial" w:hAnsi="Arial"/>
          <w:sz w:val="17"/>
          <w:szCs w:val="17"/>
          <w:color w:val="auto"/>
        </w:rPr>
        <w:t>Marqeta is a hub for innovation. Instant card issuance, provisioning to digital wallets, JIT Funding, and dynamic spend controls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operate with unmatched speed and control. 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 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7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processing volume spikes.</w:t>
      </w:r>
    </w:p>
    <w:p>
      <w:pPr>
        <w:spacing w:after="0" w:line="16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Platform is trusted by Customers across a number of use cases, verticals, and geographies. For example, Uber uses Marqeta’s card issuing technology to streamline its payments experiences and create more seamless interfaces throughout its wider ecosystem. Uber Eats and Marqeta began partnering in 2019 to launch Uber’s courier card, a physical card that Uber drivers use to pay for orders at restaurants and merchants. Following this initial use case, Uber and Marqeta plan to continue their partnership into new verticals and geographies. Coinbase, one of the world’s leading and most trusted cryptocurrency platforms, uses Marqeta’s Platform to build its Coinbase Card, which enables its customers to make purchases online or in stores using their cryptocurrency wallets. Our Platform supports several unique capabilities for the Coinbase Card in the United States, including our just-in-time funding feature, to make authorization decisions at the point of sale based on a user’s available cryptocurrency balance. In addition, we helped Cornershop launch on our Platform in several countries across the Americas with our build-once, deploy-anywhere model.</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2658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6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 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79"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develop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payment they received is reflected in their Square balance, they can immediately spend that money through their Square Card—without waiting 1-2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promotions to its customers.</w:t>
      </w:r>
    </w:p>
    <w:p>
      <w:pPr>
        <w:spacing w:after="0" w:line="16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Square’s Cash App provides an ecosystem of financial products and services to help individuals manage their money, which began with a modern peer-to-peer money transfer service. The Cash App ecosystem has grown to include not just peer-to-peer payments, but also card transactions, ACH in-and-out transactions, buying and selling of bitcoin as well as investing in stocks. Cash App entrusts Marqeta to help power two mission-critical parts of the customer experience—enabling customers to deposit money, and enabling customers to spend their money by leveraging Marqeta’s card and ACH solutions. Cash App offers customers a free, customizable Visa card called the Cash Card, which is built on the Marqeta Platform and gives users the ability to make purchases using the funds in their Cash App account, whether by using physical Cash Cards in store or online, or tokenized cards to make payments from their mobile devices’ digital wallets. Cash App also offers users ACH capability, powered by Marqeta, which enables consumers to make ACH payments; for example, to pay utility bills or mortgages every month -- as well as to receive direct deposits from employers or even the government.</w:t>
      </w:r>
    </w:p>
    <w:p>
      <w:pPr>
        <w:spacing w:after="0" w:line="1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Configurable spend controls: </w:t>
      </w:r>
      <w:r>
        <w:rPr>
          <w:rFonts w:ascii="Arial" w:cs="Arial" w:eastAsia="Arial" w:hAnsi="Arial"/>
          <w:sz w:val="17"/>
          <w:szCs w:val="17"/>
          <w:color w:val="auto"/>
        </w:rPr>
        <w:t>Customers can reduce fraud by limiting where and how their end users can transact. Transactions can be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custom rules configured through the Marqeta Platform, 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2082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9206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For example, Instacart partners with national, regional, and local retailers, including unique brand names, to offer delivery and/or pickup services across the U.S. and Canada. Instacart shoppers, who pack and deliver customer orders, have a physical or tokenized card issued and powered by Marqeta that they use to make payments in-store. Marqeta helps Instacart authorize transactions at the moment of payment by ensuring the in-store transaction matches the order placed by the customer. Instacart shoppers have zero-balance cards, and the transaction amount and store information are verified before funds are moved, helping reduce fraud and create a more seamless checkout experience. In addition, Marqeta enables Instacart to establish authorization parameters so transactions can only be made at retailers on the Instacart marketplace, which helps minimize transactions at non-approved merchants.</w:t>
      </w:r>
    </w:p>
    <w:p>
      <w:pPr>
        <w:spacing w:after="0" w:line="87" w:lineRule="exact"/>
        <w:rPr>
          <w:sz w:val="20"/>
          <w:szCs w:val="20"/>
          <w:color w:val="auto"/>
        </w:rPr>
      </w:pPr>
    </w:p>
    <w:p>
      <w:pPr>
        <w:jc w:val="both"/>
        <w:ind w:left="440"/>
        <w:spacing w:after="0" w:line="272" w:lineRule="auto"/>
        <w:rPr>
          <w:sz w:val="20"/>
          <w:szCs w:val="20"/>
          <w:color w:val="auto"/>
        </w:rPr>
      </w:pPr>
      <w:r>
        <w:rPr>
          <w:rFonts w:ascii="Arial" w:cs="Arial" w:eastAsia="Arial" w:hAnsi="Arial"/>
          <w:sz w:val="17"/>
          <w:szCs w:val="17"/>
          <w:color w:val="auto"/>
        </w:rPr>
        <w:t>Marqeta’s processing capabilities are important to Customers with on-demand food platforms like DoorDash’s. Marqeta worked closely with the developers behind DoorDash’s delivery platform to help create a solution designed for DoorDash’s needs. Today, when Dashers pick up an order from a restaurant, they can use a Marqeta-powered Red Card to pay at the point of sale. When Dashers pay for an order using their Red Card, Marqeta’s JIT Funding only approves and funds the transaction if the order and amount are accurate, which helps ensure that Dashers are purchasing and delivering the correct order to the consumer. Our Platform also gives DoorDash dynamic, customizable spend controls over the authorization of each transaction. For example, Marqeta’s merchant category code management gives DoorDash the ability to whitelist or blacklist specific merchant category codes to further reduce fraud.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89" w:lineRule="auto"/>
        <w:rPr>
          <w:sz w:val="20"/>
          <w:szCs w:val="20"/>
          <w:color w:val="auto"/>
        </w:rPr>
      </w:pPr>
      <w:r>
        <w:rPr>
          <w:rFonts w:ascii="Arial" w:cs="Arial" w:eastAsia="Arial" w:hAnsi="Arial"/>
          <w:sz w:val="16"/>
          <w:szCs w:val="16"/>
          <w:i w:val="1"/>
          <w:iCs w:val="1"/>
          <w:color w:val="auto"/>
        </w:rPr>
        <w:t xml:space="preserve">Real-time notifications: </w:t>
      </w:r>
      <w:r>
        <w:rPr>
          <w:rFonts w:ascii="Arial" w:cs="Arial" w:eastAsia="Arial" w:hAnsi="Arial"/>
          <w:sz w:val="16"/>
          <w:szCs w:val="16"/>
          <w:color w:val="auto"/>
        </w:rPr>
        <w:t>Our Platform delivers rich functionality built around our core capabilities in issuing and processing. Customers can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 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5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161925</wp:posOffset>
            </wp:positionV>
            <wp:extent cx="428625" cy="231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8625" cy="23177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119380</wp:posOffset>
            </wp:positionV>
            <wp:extent cx="428625"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862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8625" cy="28257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180340</wp:posOffset>
            </wp:positionV>
            <wp:extent cx="351155"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66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862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76"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76"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Reduce and mitigate fraud: </w:t>
      </w:r>
      <w:r>
        <w:rPr>
          <w:rFonts w:ascii="Arial" w:cs="Arial" w:eastAsia="Arial" w:hAnsi="Arial"/>
          <w:sz w:val="16"/>
          <w:szCs w:val="16"/>
          <w:color w:val="auto"/>
        </w:rPr>
        <w:t>We offer unique functionality to help card issuers combat fraud. Using Marqeta’s powerful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decisioning engine, Customers can configure rules using a variety of inputs that approve or decline transactions based on real-time and dynamic parameters. This along with our KYC, 3D Secure, and dispute management services provide a multi-layer security framework, helping our Customers detect and prevent unauthorized, fraudulent activities, while empowering them to create frictionless experiences for their customers.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76"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5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14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applications are integrated into some of the largest innovators globally. We help Klarna improve shopping experiences as they offer payment, social shopping, and personal financing services to over 250,000 merchants and 90 million consumers. Klarna set out to empower consumers to buy what they want today and pay later with interest-free installments over time, all in a seamless checkout experience. Klarna offers an alternative way to make purchases with its Pay Later offering by instantly issuing customers a single-use virtual card, powered by Marqeta, that customers can use to check out at online or in-store merchants. Klarna’s developers use Marqeta’s private sandbox to test and launch new programs with an accelerated time-to-market, while the breadth and simplicity of our APIs enables Klarna to make modifications and iterate rapidly once launched. The data insights offered by our Platform enable Klarna to execute targeted promotions to its customers and manage cases and chargebacks autonomously. Klarna chose Marqeta to help launch its U.S. operations, quickly followed by a successful launch in Australia. With our build once, deploy anywhere model, Klarna can rely on Marqeta as a trusted partner and to support its global growth ambitions.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4</w:t>
      </w:r>
      <w:r>
        <w:rPr>
          <w:rFonts w:ascii="Arial" w:cs="Arial" w:eastAsia="Arial" w:hAnsi="Arial"/>
          <w:sz w:val="18"/>
          <w:szCs w:val="18"/>
          <w:color w:val="auto"/>
        </w:rPr>
        <w:t xml:space="preserve"> and during the twelve-month period ended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 Banks provide that we receive 100% of the Interchange Fees for processing our Customers’ card transactions. Our Customer contracts typically include provisions under which we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 xml:space="preserve">Enduring Customer Relationships: </w:t>
      </w:r>
      <w:r>
        <w:rPr>
          <w:rFonts w:ascii="Arial" w:cs="Arial" w:eastAsia="Arial" w:hAnsi="Arial"/>
          <w:sz w:val="16"/>
          <w:szCs w:val="16"/>
          <w:color w:val="auto"/>
        </w:rPr>
        <w:t>Our dollar-based net revenue retention was 200% for each of the years ended December 31, 2019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58"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created an environment where everyone belongs, and employees are empowered to do the best work of their lives.</w:t>
      </w:r>
    </w:p>
    <w:p>
      <w:pPr>
        <w:spacing w:after="0" w:line="225"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transaction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b w:val="1"/>
          <w:bCs w:val="1"/>
          <w:i w:val="1"/>
          <w:iCs w:val="1"/>
          <w:color w:val="auto"/>
        </w:rPr>
        <w:t xml:space="preserve">Grow With Our Existing Customers. </w:t>
      </w:r>
      <w:r>
        <w:rPr>
          <w:rFonts w:ascii="Arial" w:cs="Arial" w:eastAsia="Arial" w:hAnsi="Arial"/>
          <w:sz w:val="16"/>
          <w:szCs w:val="16"/>
          <w:color w:val="auto"/>
        </w:rPr>
        <w:t>Our current Customers include some of today’s leading commerce disruptors, digital banks, tech giants, and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Many of these Customers are experiencing rapid growth on our Platform. We participate in our Customers’ growth alongside them because as our Customers’ businesses scale and their processing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Onboard New Customers. </w:t>
      </w:r>
      <w:r>
        <w:rPr>
          <w:rFonts w:ascii="Arial" w:cs="Arial" w:eastAsia="Arial" w:hAnsi="Arial"/>
          <w:sz w:val="17"/>
          <w:szCs w:val="17"/>
          <w:color w:val="auto"/>
        </w:rPr>
        <w:t>We believe our opportunity to attract new Customers to our Platform is massive. Market shifts towards digitization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for modern card issuing and transaction processing is increasingly becoming a necessity for a greater number and variety of businesses globally. We intend to solidify our reach in existing categories and expand to new use cases and industry verticals. Our sales teams focus on 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6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are currently certified to operate in 36 countries across North America, Europe, and Asia-Pacific and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8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Develop New Products and Services. </w:t>
      </w:r>
      <w:r>
        <w:rPr>
          <w:rFonts w:ascii="Arial" w:cs="Arial" w:eastAsia="Arial" w:hAnsi="Arial"/>
          <w:sz w:val="18"/>
          <w:szCs w:val="18"/>
          <w:color w:val="auto"/>
        </w:rPr>
        <w:t>Our closely integrated relationships with our Customers and deep insight into our Customers’ transaction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In February 2021, we launched credit servicing capabilities on our Platform, which we believe makes us the only modern card issuing platform that supports every card type —prepaid, debit, and credit.</w:t>
      </w:r>
    </w:p>
    <w:p>
      <w:pPr>
        <w:spacing w:after="0" w:line="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242695" cy="11144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4269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1251585" cy="1028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5158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what’s right for all of us, not one of us. We succeed together. We center our products and services around openness, accessibility, and simplicity.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relationships are with partners who align with our values of trust, transparency, and inclusiveness.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10026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97280" cy="1062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9728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 heights.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keep it simple and find a solution. We act like owners and deliver the best outcome for the Customer. We are reliable and consistent.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19810" cy="11055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1981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11555" cy="1045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1155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7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donor-advised fund that we believe represented a fair market value of approximately 40,000 shares. Finally, we are also partnering with Pledge 1%, an advisory non-profit organization that assists companies in donating to charitable causes.</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130 and over 160 Customers as of December 31, 2019 and 2020, respectively. Currently, we provide solutions in the following verticals:</w:t>
      </w:r>
    </w:p>
    <w:p>
      <w:pPr>
        <w:spacing w:after="0" w:line="89"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Square</w:t>
      </w:r>
    </w:p>
    <w:p>
      <w:pPr>
        <w:spacing w:after="0" w:line="11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On April 19, 2016, we entered into a master services agreement with Square, subsequently amended, which provides for the commercial terms of our relationship with Square. Pursuant to the terms of the agreement, we have agreed to manage certain card issuing programs for Square, including the Square Cash App and Square Card programs. Under the agreement to manage these card programs, we agree to share with Square a portion of the net interchange revenue that we earn from processing the volume of these programs. The Revenue Share provisions include increased rates of Revenue Share when processing volumes reach specified volume tiers. Additionally, the Company generates revenue from other processing services under the agreement. In addition, on March 13, 2021, and as specified in our agreement with Square, we granted Square a warrant to purchase up to 1,100,000 shares of our common stock at an exercise price of $0.01 per share, which is exercisable upon attaining the Square Warrant Milestones. The current term of our agreement with Square for Cash App expires in March 2024, the current term of our agreement with Square for Square Card expires in December 2024, and each agreement automatically renews thereafter for successive one-year periods, unless terminated earlier by either party. Either we or Square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Sutton Bank</w:t>
      </w:r>
    </w:p>
    <w:p>
      <w:pPr>
        <w:spacing w:after="0" w:line="117"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On April 1, 2016, we entered into a prepaid card program manager agreement with Sutton Bank. Under the terms of the agreement, as amended,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The agreement also provides for the payment of termination fees, including fees and costs to Sutton Bank, in the case of early termination by us. The current term of the agreement expires in 2027,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 Card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Network (based on parameters established by the applicable Customer), the transaction is able to occur on the Card Network’s secure network.</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Mastercard</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Visa</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Pulse Network</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18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complement these marketing, business development, and sales activities with a focus on Customer experience and Customer success. We believe that highly responsive and effective support and education are an 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December 31, 2020, we had 260 employees in our research and development organization, defined as our Product &amp; Technology organization. We intend to continue to invest in our research and development capabilities to extend our Platform. The technical operations team in our Product &amp; Technology organization also works to ensure the successful deployment and monitoring of our Platform.</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 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 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 —Risks Relating to Our Business—Regulations and industry standards related to privacy and data protection could adversely affect our ability to effectively provide our services.”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Issuing Banks must comply with the bylaws, regulations, and requirements that are set forth by the Card Networks, including PCI DSS and other applicable data-security program requirements. To the extent that we 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key employees,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Darren Mowry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Randy Kern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Technology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Key Employees: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Amy Chang</w:t>
            </w:r>
            <w:r>
              <w:rPr>
                <w:rFonts w:ascii="Arial" w:cs="Arial" w:eastAsia="Arial" w:hAnsi="Arial"/>
                <w:sz w:val="15"/>
                <w:szCs w:val="15"/>
                <w:color w:val="auto"/>
              </w:rPr>
              <w:t>(3)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r>
              <w:rPr>
                <w:rFonts w:ascii="Arial" w:cs="Arial" w:eastAsia="Arial" w:hAnsi="Arial"/>
                <w:sz w:val="15"/>
                <w:szCs w:val="15"/>
                <w:color w:val="auto"/>
              </w:rPr>
              <w:t>(1)(3)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Gerri Elliot</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r>
              <w:rPr>
                <w:rFonts w:ascii="Arial" w:cs="Arial" w:eastAsia="Arial" w:hAnsi="Arial"/>
                <w:sz w:val="15"/>
                <w:szCs w:val="15"/>
                <w:color w:val="auto"/>
              </w:rPr>
              <w:t>(2)(3)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r>
              <w:rPr>
                <w:rFonts w:ascii="Arial" w:cs="Arial" w:eastAsia="Arial" w:hAnsi="Arial"/>
                <w:sz w:val="15"/>
                <w:szCs w:val="15"/>
                <w:color w:val="auto"/>
              </w:rPr>
              <w:t>(1)(2)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Godfrey Sullivan</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2" w:lineRule="exact"/>
        <w:rPr>
          <w:sz w:val="20"/>
          <w:szCs w:val="20"/>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7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i w:val="1"/>
          <w:iCs w:val="1"/>
          <w:color w:val="auto"/>
        </w:rPr>
        <w:t xml:space="preserve">Kevin Doerr. </w:t>
      </w:r>
      <w:r>
        <w:rPr>
          <w:rFonts w:ascii="Arial" w:cs="Arial" w:eastAsia="Arial" w:hAnsi="Arial"/>
          <w:sz w:val="18"/>
          <w:szCs w:val="18"/>
          <w:color w:val="auto"/>
        </w:rPr>
        <w:t>Mr. Doerr has served as our Chief Product Officer since March 2020. Since May 2010, Mr. Doerr has served as the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Archimedes Labs, Inc., a venture-based incubation firm focused on consumer mobile services. From June 2016 to March 2020, Mr. Doerr served as the Senior Vice President and General Manager of Domains and Security of GoDaddy, Inc., a publicly traded internet domain 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9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 xml:space="preserve">Vidya Peters. </w:t>
      </w:r>
      <w:r>
        <w:rPr>
          <w:rFonts w:ascii="Arial" w:cs="Arial" w:eastAsia="Arial" w:hAnsi="Arial"/>
          <w:sz w:val="17"/>
          <w:szCs w:val="17"/>
          <w:color w:val="auto"/>
        </w:rPr>
        <w:t>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Darren Mowry</w:t>
      </w:r>
      <w:r>
        <w:rPr>
          <w:rFonts w:ascii="Arial" w:cs="Arial" w:eastAsia="Arial" w:hAnsi="Arial"/>
          <w:sz w:val="17"/>
          <w:szCs w:val="17"/>
          <w:color w:val="auto"/>
        </w:rPr>
        <w:t>. Mr. Mowry has served as our Chief Revenue Officer since June 2021. Prior to joining Marqeta, Mr. Mowry held positions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responsibility at Amazon Web Services, a subsidiary of Amazon.com, Inc., a publicly traded company, that provides on-demand cloud computing platforms and APIs, from November 2011 to April 2021, including as Managing Director of Europe, Middle East, and Africa (EMEA) from March 2020 to April 2021, Managing Director, United Kingdom and Ireland from April 2019 to April 2020, and Managing Director, Business Development, Amazon Web Services EMEA from May 2017 to April 2019. Prior to Amazon Web Services, Mr. Mowry held several roles at Microsoft Corporation, a publicly traded multinational computer software company from May 2002 to November 2011, most recently as Director, Mid-Atlantic District from June 2008 to November 2011. Mr. Mowry holds a graduate specialization and certification in Change Management and Organizational Development from Georgetown University and a Bachelor of Arts in Public Relations from The University of Alabama.</w:t>
      </w:r>
    </w:p>
    <w:p>
      <w:pPr>
        <w:spacing w:after="0" w:line="17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Randy Kern</w:t>
      </w:r>
      <w:r>
        <w:rPr>
          <w:rFonts w:ascii="Arial" w:cs="Arial" w:eastAsia="Arial" w:hAnsi="Arial"/>
          <w:sz w:val="18"/>
          <w:szCs w:val="18"/>
          <w:color w:val="auto"/>
        </w:rPr>
        <w:t>. Mr. Kern has served as our Chief Technology Officer since June 2021. Prior to joining Marqeta, Mr. Kern held positions of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at salesforce.com, inc., a publicly traded cloud-based customer relationship management company, from May 2014 to May 2021, including as Executive Vice President of Infrastructure Engineering and Executive Vice President, Chief Customer Technology Officer. Prior to Salesforce, Mr. Kern served as a Partner Director of Development at Microsoft Corporation, a publicly traded multinational computer software company from February 2002 to May 2014.</w:t>
      </w:r>
    </w:p>
    <w:p>
      <w:pPr>
        <w:spacing w:after="0" w:line="188"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7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i w:val="1"/>
          <w:iCs w:val="1"/>
          <w:color w:val="auto"/>
        </w:rPr>
        <w:t>Brian Kieley</w:t>
      </w:r>
      <w:r>
        <w:rPr>
          <w:rFonts w:ascii="Arial" w:cs="Arial" w:eastAsia="Arial" w:hAnsi="Arial"/>
          <w:sz w:val="17"/>
          <w:szCs w:val="17"/>
          <w:color w:val="auto"/>
        </w:rPr>
        <w:t>. Mr. Kieley has served as our Senior Vice President of Program Management since February 2019, and he served as our Head of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 January 2014, Mr. Kieley held a variety of customer service, operations, and product development roles at Visa 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Ms. McAdams has informed us of her plans to resign her position at Marqeta, and we have begun a process for identifying her successor. Ms. McAdams currently intends to stay with Marqeta in her capacity as Chief People Officer until her successor has been identified. Ms. McAdams’ formal departure may occur before or after the consummation of this offering, depending on when a successor is identified.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Amy Chang</w:t>
      </w:r>
      <w:r>
        <w:rPr>
          <w:rFonts w:ascii="Arial" w:cs="Arial" w:eastAsia="Arial" w:hAnsi="Arial"/>
          <w:sz w:val="16"/>
          <w:szCs w:val="16"/>
          <w:color w:val="auto"/>
        </w:rPr>
        <w:t>. Ms. Chang has served as a member of our board of directors since April 2021. She has served as Executive Advisor at Cisco Systems, Inc.,</w:t>
      </w:r>
      <w:r>
        <w:rPr>
          <w:rFonts w:ascii="Arial" w:cs="Arial" w:eastAsia="Arial" w:hAnsi="Arial"/>
          <w:sz w:val="16"/>
          <w:szCs w:val="16"/>
          <w:i w:val="1"/>
          <w:iCs w:val="1"/>
          <w:color w:val="auto"/>
        </w:rPr>
        <w:t xml:space="preserve"> </w:t>
      </w:r>
      <w:r>
        <w:rPr>
          <w:rFonts w:ascii="Arial" w:cs="Arial" w:eastAsia="Arial" w:hAnsi="Arial"/>
          <w:sz w:val="16"/>
          <w:szCs w:val="16"/>
          <w:color w:val="auto"/>
        </w:rPr>
        <w:t>a publicly traded networking technology company, since August 2020 and previously served as Executive Vice President and General Manager of Cisco Systems’ Collaboration Technology Group from May 2018 to July 2020. She is the founder and former Chief Executive Officer of Accompani, Inc., a relationship intelligence company, a position she held from May 2013 to May 2018. She previously held positions of increasing responsibility at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Google, Inc., a multinational technology company, from July 2005 to November 2012, most recently serving as Global Head of Product, Google Ads Measurement and Reporting. Prior to joining Google, she held product management and strategy positions at eBay, Inc., a global commerce provider, and served as a consultant with McKinsey &amp; Company, a management consulting firm, where she specialized in semi-conductors, software, and services. Ms. Chang has served as a board member of Procter &amp; Gamble Co., a publicly traded multi-national consumer goods company, since April 2017 and as a board member of The Walt Disney Company, a multinational media and entertainment company, since May 2021. Ms. Chang served on the board of directors of Cisco Systems from October 2016 to May 2018, Splunk, Inc., a publicly traded big data company, from March 2015 to March 2017, Informatica Corporation, a publicly traded software development company, from July 2012 to August 2015, when it was taken private, and was a member of Target Corporation’s Digital Advisory Council from May 2013 to February 2016. Ms. Chang holds a Master of Science in Electrical Engineering from Stanford University and a Bachelor of Science in Electrical Engineering from Stanford University.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Ms. Chang is qualified to serve as a member of our board of directors because of her extensive experience in leadership and online marketing and her previous board experience.</w:t>
      </w:r>
    </w:p>
    <w:p>
      <w:pPr>
        <w:spacing w:after="0" w:line="17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i w:val="1"/>
          <w:iCs w:val="1"/>
          <w:color w:val="auto"/>
        </w:rPr>
        <w:t>Martha Cummings</w:t>
      </w:r>
      <w:r>
        <w:rPr>
          <w:rFonts w:ascii="Arial" w:cs="Arial" w:eastAsia="Arial" w:hAnsi="Arial"/>
          <w:sz w:val="18"/>
          <w:szCs w:val="18"/>
          <w:color w:val="auto"/>
        </w:rPr>
        <w:t>. Ms. Cummings has served as a member of our board of directors since January 2021. From July 2018 to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1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i w:val="1"/>
          <w:iCs w:val="1"/>
          <w:color w:val="auto"/>
        </w:rPr>
        <w:t>Gerri Elliott</w:t>
      </w:r>
      <w:r>
        <w:rPr>
          <w:rFonts w:ascii="Arial" w:cs="Arial" w:eastAsia="Arial" w:hAnsi="Arial"/>
          <w:sz w:val="16"/>
          <w:szCs w:val="16"/>
          <w:color w:val="auto"/>
        </w:rPr>
        <w:t>. Ms. Elliott has served as a member of our board of directors since April 2021. She has served as Executive Vice President and Chief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Officer at Cisco Systems, Inc., a publicly traded networking technology company, since April 2018.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21 years at International Business Machines Corporation, a publicly traded technology and consulting company, where she held executive and management positions in North America and Asia Pacific in sales, services, consulting, strategy 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Broadroom.com, a website dedicated to executive women who serve or want to serve on corporate boards. Ms. Elliott holds a Bachelor of Arts in Political Science from New York University.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Elliott is qualified to serve as a member of our board of directors because of her extensive experience in executive leadership and experience as a board member of several public companies.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Arnon Dinur</w:t>
      </w:r>
      <w:r>
        <w:rPr>
          <w:rFonts w:ascii="Arial" w:cs="Arial" w:eastAsia="Arial" w:hAnsi="Arial"/>
          <w:sz w:val="17"/>
          <w:szCs w:val="17"/>
          <w:color w:val="auto"/>
        </w:rPr>
        <w:t>. Mr. Dinur has served as a member of our board of directors since September 2013. Since June 2009, Mr. Dinur has served as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Mr. Linville has served as a member of our board of directors since May 2020. Since October 2019, Mr. Linville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believe that Mr.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17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i w:val="1"/>
          <w:iCs w:val="1"/>
          <w:color w:val="auto"/>
        </w:rPr>
        <w:t>Godfrey Sullivan</w:t>
      </w:r>
      <w:r>
        <w:rPr>
          <w:rFonts w:ascii="Arial" w:cs="Arial" w:eastAsia="Arial" w:hAnsi="Arial"/>
          <w:sz w:val="18"/>
          <w:szCs w:val="18"/>
          <w:color w:val="auto"/>
        </w:rPr>
        <w:t>. Mr. Sullivan has served on our board of directors since May 2021. Mr. Sullivan previously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Splunk, Inc., a publicly traded big data company, from September 2008 to November 2015. Prior to Splunk, Mr. Sullivan held several executive roles at Hyperion Solutions Corporation, a performance management software company acquired by Oracle Corporation in April 2007, most recently as President and Chief Executive Officer from October 2001 to April 2007. Mr. Sullivan has served as a member of the board of directors of CrowdStrike Holdings, Inc., a publicly traded cybersecurity company, since December 2017. Mr. Sullivan previously served on the board of directors of RingCentral, Inc., a publicly traded software-as-a-service solutions provider, from April 2019 to June 2021, Splunk, Inc. from September 2008 to June 2019, including as chairman of the board of directors from December 2011 until March 2019, Citrix Systems, Inc., a publicly traded enterprise software company, from February 2005 to June 2018, and Informatica Corporation, a publicly traded software development company, from January 2008 to June 2013. Mr. Sullivan holds a Bachelor of Business Administration in Real Estate and Economics from the Hankamer School of Business at Baylor University.</w:t>
      </w:r>
    </w:p>
    <w:p>
      <w:pPr>
        <w:spacing w:after="0" w:line="19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Mr. Sullivan is qualified to serve as a member of our board of directors because of his extensive experience in leadership, business, and software, and his experience as a board member of several public companies.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board of directors has adopted a code of conduct that applies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nine directors, eight of whom will qualify as “independent” under Nasdaq listing standards.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880" w:right="20" w:hanging="224"/>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 directors will be Mr. Gardner, Mr. Dinur, and Mr. McKay, and their terms will expire at the annual meeting of stockholders to be held in 2022;</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 directors will be Ms. Cummings, Ms. Riley, and Mr. Linville, and their terms will expire at the annual meeting of stockholders to be held in 2023; and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III directors will be Ms. Chang, Ms. Elliott, and Mr. Sullivan, and their terms will expire at the annual meeting of stockholders to be held in 2024.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Messrs. Dinur, Linville, McKay, and Sullivan and Mmes. Chang, Cummings, Elliott, and Riley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board of directors has adopted corporate governance guidelines that provide that one of our independent directors will serve as our lead independent director. Our board of directors has appointed Mr. Linville to serve as our lead independent director. As lead independent director, Mr. Linville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audit committee consists of Mmes. Riley and Cummings and Messrs. McKay and Sullivan, with Ms. Riley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Ms. Riley is an audit committee financial expert within the meaning of Item 407(d) of Regulation S-K under the Securities Act. Our audit committee will, among other things:</w:t>
      </w:r>
    </w:p>
    <w:p>
      <w:pPr>
        <w:spacing w:after="0" w:line="93"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compensation committee consists of Ms. Elliott and Messrs. Linville, Dinur and McKay, with Mr. Linville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3"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compensation committee operates under a written charter that satisfies the applicable rules of the SEC and the listing standards of Nasdaq.</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nominating and corporate governance committee consists of Mmes. Cummings and Chang and Mr. Dinur, with Ms. Cummings serving 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71" w:lineRule="exact"/>
        <w:rPr>
          <w:sz w:val="20"/>
          <w:szCs w:val="20"/>
          <w:color w:val="auto"/>
        </w:rPr>
      </w:pPr>
    </w:p>
    <w:p>
      <w:pPr>
        <w:ind w:left="880" w:right="20" w:hanging="224"/>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develop and make recommendations to our board of directors regarding corporate governance guidelines and matters.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nominating and corporate governance committee operates under a written charter that satisfies the applicable listing requirements and rules of Nasdaq.</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as set forth below, none of our directors held options to purchase our common stock or any other stock awards as of December 31, 2020.</w:t>
      </w:r>
    </w:p>
    <w:p>
      <w:pPr>
        <w:spacing w:after="0" w:line="22" w:lineRule="exact"/>
        <w:rPr>
          <w:rFonts w:ascii="Arial" w:cs="Arial" w:eastAsia="Arial" w:hAnsi="Arial"/>
          <w:sz w:val="16"/>
          <w:szCs w:val="16"/>
          <w:color w:val="auto"/>
        </w:rPr>
      </w:pPr>
    </w:p>
    <w:p>
      <w:pPr>
        <w:jc w:val="both"/>
        <w:ind w:left="660" w:right="20" w:hanging="544"/>
        <w:spacing w:after="0" w:line="268"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 Standards Board, or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660" w:hanging="544"/>
        <w:spacing w:after="0" w:line="265"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right="20" w:hanging="544"/>
        <w:spacing w:after="0" w:line="264"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of our Class B common stock. Pursuant to the board of director agreement we entered into with Ms. Riley on May 12, 2020, in consideration for her service as a non-employee director, she was granted an option for our Class B common stock.</w:t>
      </w:r>
    </w:p>
    <w:p>
      <w:pPr>
        <w:jc w:val="both"/>
        <w:ind w:left="660" w:hanging="544"/>
        <w:spacing w:after="0" w:line="27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of our Class B common stock. Pursuant to the board of director agreement we entered into with Mr. Linville on May 12, 2020, in consideration for his service as a non-employee director, he was granted an option for our Class B common stock.</w:t>
      </w:r>
    </w:p>
    <w:p>
      <w:pPr>
        <w:spacing w:after="0" w:line="18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January 2021, Martha Cummings joined our board of directors and received an early exercisable stock option to purchase 300,000 shares of our Class B common stock, which shares vest in four equal annual installments beginning on the first anniversary of January 12, 2021, subject to her continued services to us on our board of directors. In April 2021, Amy Chang and Gerri Elliott also joined our board of directors and each received an early exercisable stock option grant to purchase 600,000 shares of our Class B common stock, which shares vest in four equal annual installments beginning on the first anniversary of April 7, 2021 and April 12, 2021, respectively, subject to their continued services to us on our board of directors. Additionally, in April 2021, Ms. Cummings and Mr. Linville received an early exercisable stock option grant to purchase 300,000 and 100,000 shares of our Class B common stock, respectively which shares vest in four equal annual installments beginning on the first anniversary of January 12, 2021 and May 4, 2020, respectively, subject to their continued services to us on our board of directors. Lastly, in May 2021, Godfrey Sullivan joined our board of directors and received an early exercisable stock option to purchase 600,000 shares of our Class B common stock, which shares vest in four equal annual installments beginning on the first anniversary of May 5, 2021, subject to his continued services to us on our board of directors. In the event of a Corporate Transaction (as defined in the 2011 Plan), the shares subject to such stock options shall accelerate and become fully vested as of the date of such Corporate Transaction.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In connection with this offering, we have adopted a formal policy pursuant to which our non-employee directors will be eligible to receive the following cash retainers and equity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720" w:type="dxa"/>
            <w:vAlign w:val="bottom"/>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4220" w:type="dxa"/>
            <w:vAlign w:val="bottom"/>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4220" w:type="dxa"/>
            <w:vAlign w:val="bottom"/>
          </w:tcPr>
          <w:p>
            <w:pPr>
              <w:jc w:val="right"/>
              <w:spacing w:after="0"/>
              <w:rPr>
                <w:sz w:val="20"/>
                <w:szCs w:val="20"/>
                <w:color w:val="auto"/>
              </w:rPr>
            </w:pPr>
            <w:r>
              <w:rPr>
                <w:rFonts w:ascii="Arial" w:cs="Arial" w:eastAsia="Arial" w:hAnsi="Arial"/>
                <w:sz w:val="18"/>
                <w:szCs w:val="18"/>
                <w:color w:val="auto"/>
              </w:rPr>
              <w:t>$ 50,000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policy provides that each non-employee director that is elected to our board following our initial public offering will be granted a one-time restricted stock unit award of our Class A common stock with a value of $350,000, or the Initial Grant. Furthermore, on the date of each of our annual meetings of stockholders following the completion of this offering, each non-employee director who will continue as a non-employee director following such meeting and who has fully vested in all equity grants granted by us to such non-employee director prior to our initial public offering will be granted a restricted stock unit award of our Class A common stock with a value of $175,000, or the Annual Grant. The Annual Grant will vest in full on the earlier of (i) the first anniversary of the grant date or (ii) our next annual meeting of stockholders, subject to continued service through the applicable vesting date. The Initial Grant will vest in three equal annual installments commencing on the first anniversary of the grant date, subject to continued service through the applicable vesting date. Such awards are subject to full acceleration of vesting upon a “sale event” as defined in the 2021 Plan.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Omri Dahan, our Chief Revenue Officer (resigned from such position in February 2021);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2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6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8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350,000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9,778</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297,740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1,692,518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(5)</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350,000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14,668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397,391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1,702,109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2,538,000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3,052,333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reflect a discretionary bonus provided to the named executive officers in recognition of their services to us during fiscal year 2020.</w:t>
      </w:r>
    </w:p>
    <w:p>
      <w:pPr>
        <w:spacing w:after="0" w:line="22" w:lineRule="exact"/>
        <w:rPr>
          <w:rFonts w:ascii="Arial" w:cs="Arial" w:eastAsia="Arial" w:hAnsi="Arial"/>
          <w:sz w:val="16"/>
          <w:szCs w:val="16"/>
          <w:color w:val="auto"/>
        </w:rPr>
      </w:pPr>
    </w:p>
    <w:p>
      <w:pPr>
        <w:ind w:left="660" w:right="100" w:hanging="544"/>
        <w:spacing w:after="0" w:line="268"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line="26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Dahan resigned as our Chief Revenue Officer in February 2021.</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For fiscal year 2020, Mr. Doerr’s bonus was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June 9, 2011, we entered into an employment offer letter with Mr. Dahan for the position of Vice President of Business Development; Mr. Dahan subsequently served as our Chief Revenue Officer, a position he held until February 1,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March 2021, we entered into a separation agreement with Mr. Dahan whereby we mutually agreed that his employment with us as our Chief Revenue Officer ended on February 1, 2021, and that thereafter he would serve as a non-executive employee at his current annual salary and benefits until the first to occur of (i) April 1, 2021, or (ii) a certain project renewal by us (the Separation Date). In connection with the separation agreement, Mr. Dahan received (1) a one-time lump sum payment of $262,500; (2) accelerated vesting of his outstanding option awards equal to that number of shares that, absent his separation, were scheduled to become vested through April 1, 2021; and (3) continuation of health insurance under COBRA or Cal-COBRA for nine months following the Separation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Awards to Certain Named Executive Officers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February 2021, our board of directors granted early exercisable stock options to Mr. Gardner and Mr. Doerr to purchase 1,209,639 and 251,463 shares of our Class B common stock, respectively, that vest based on continued services over four years. The options are subject to 100% accelerated vesting in the event the applicable named executive officer is terminated by us without cause or by the named executive officer with good reason, in either case within 3 months before or 12 months after a corporate transaction, as each term is defined in the applicable award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Long-Term Performance Award</w:t>
      </w:r>
    </w:p>
    <w:p>
      <w:pPr>
        <w:spacing w:after="0" w:line="117"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In April and May 2021, our board of directors granted stock options to Mr. Gardner, providing for a maximum of 19,740,923 shares and 47,267 shares of our Class B common stock, which we refer to collectively as the CEO Long-Term Performance Award. The CEO Long-Term Performance Award has an exercise price of $21.49 and $23.40 per share, respectively, which was the fair market value of our Class B common stock at the time of each grant as determined by our board of directors. The CEO Long-Term Performance Award vests over a period of up to seven years following the expiration of the lock-up period associated with this public offering with an option term of up to 10 years from the date of grant, subject to earlier termination, including if Mr. Gardner’s service ends or 18 months from the respective grant dates if a public offering of our common stock has not occurred by such time. The CEO Long-Term Performance Award vests subject to Mr. Gardner remaining our chief executive officer or executive chairman of our board of directors (the “Service Condition”) through the achievement of certain performance conditions, as described below.</w:t>
      </w:r>
    </w:p>
    <w:p>
      <w:pPr>
        <w:spacing w:after="0" w:line="16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board of directors, in consultation with Compensia, an independent compensation consultant, and upon the recommendation of the Compensation Committee, considered many factors in determining the CEO Long-Term Performance Award, including the size, terms and conditions of the award. The board of directors considered Mr. Gardner’s significant ownership percentage in the company obtained primarily in connection with his co-founding of the Company and the amount of his ownership interests that were unvested as of the date of the grant in its deliberations of this award. The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board of directors reviewed market data for similarly situated executives at comparable companies with an emphasis on the ownership percentage and equity value of founder chief executive officers at the time of an initial public offering. The board was intent on establishing an award that would encourage long-term sustained stockholder value creation by including a long vesting schedule and performance-based vesting. Our board of directors believed it was important for the CEO Long-Term Performance Award to not simply vest based on the passage of time while Mr. Gardner provides services to us. Rather, the CEO Long-Term Performance Award will vest only if we achieve certain stock price goals, which if achieved, would allow our other stockholders to benefit from the increases in our stock price. The board of directors believe these stock price goals represent challenging hurdles and, if achieved, would result in a return to our stockholders in excess of market norms for comparable technology companies. The CEO Long-Term Performance Award is meant to support our transition to a public company while providing a meaningful incentive to Mr. Gardner with sustained long-term value creation for our stockholders, and minimize dilution if returns are lower than contemplated. The board of directors currently intends the CEO Long-Term Performance Award to be the exclusive equity award that Mr. Gardner receives for a period of seven years.</w:t>
      </w:r>
    </w:p>
    <w:p>
      <w:pPr>
        <w:spacing w:after="0" w:line="16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CEO Long-Term Performance Award has a performance period that commences upon the expiration of the lock-up period associated with an underwritten public offering of our Class A common stock and expires on the earlier of the 7-year anniversary of the date our initial public offering, a change in control of the company, or Mr. Gardner ceasing to meet the Service Condition. Shares subject to the award that have not vested by the end of the performance period will terminate and be forfeited for no consideration.</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CEO Long-Term Performance Award is divided into seven equal tranches. If an initial public offering of our Class A common stock is completed within 18 months of the date of grant, then the shares will be eligible to vest upon the achievement of certain “Company Stock Price Hurdles” during the performance period. Except as set forth below, 1/7th of the total number of option shares will vest and become exercisable for the applicable tranche in the table below, subject to Mr. Gardner satisfying the Service Condition through the vesting 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w w:val="88"/>
              </w:rPr>
              <w:t>Tranche</w:t>
            </w:r>
          </w:p>
        </w:tc>
        <w:tc>
          <w:tcPr>
            <w:tcW w:w="7200" w:type="dxa"/>
            <w:vAlign w:val="bottom"/>
            <w:gridSpan w:val="3"/>
          </w:tcPr>
          <w:p>
            <w:pPr>
              <w:jc w:val="center"/>
              <w:ind w:left="3530"/>
              <w:spacing w:after="0"/>
              <w:rPr>
                <w:sz w:val="20"/>
                <w:szCs w:val="20"/>
                <w:color w:val="auto"/>
              </w:rPr>
            </w:pPr>
            <w:r>
              <w:rPr>
                <w:rFonts w:ascii="Arial" w:cs="Arial" w:eastAsia="Arial" w:hAnsi="Arial"/>
                <w:sz w:val="18"/>
                <w:szCs w:val="18"/>
                <w:b w:val="1"/>
                <w:bCs w:val="1"/>
                <w:color w:val="auto"/>
                <w:w w:val="91"/>
              </w:rPr>
              <w:t>Common Stock Price Hurdle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320" w:type="dxa"/>
            <w:vAlign w:val="bottom"/>
            <w:vMerge w:val="restart"/>
          </w:tcPr>
          <w:p>
            <w:pPr>
              <w:ind w:left="3940"/>
              <w:spacing w:after="0"/>
              <w:rPr>
                <w:sz w:val="20"/>
                <w:szCs w:val="20"/>
                <w:color w:val="auto"/>
              </w:rPr>
            </w:pPr>
            <w:r>
              <w:rPr>
                <w:rFonts w:ascii="Arial" w:cs="Arial" w:eastAsia="Arial" w:hAnsi="Arial"/>
                <w:sz w:val="18"/>
                <w:szCs w:val="18"/>
                <w:color w:val="auto"/>
              </w:rPr>
              <w:t>2.5x</w:t>
            </w:r>
          </w:p>
        </w:tc>
        <w:tc>
          <w:tcPr>
            <w:tcW w:w="2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320" w:type="dxa"/>
            <w:vAlign w:val="bottom"/>
            <w:vMerge w:val="continue"/>
          </w:tcPr>
          <w:p>
            <w:pPr>
              <w:spacing w:after="0"/>
              <w:rPr>
                <w:sz w:val="16"/>
                <w:szCs w:val="16"/>
                <w:color w:val="auto"/>
              </w:rPr>
            </w:pPr>
          </w:p>
        </w:tc>
        <w:tc>
          <w:tcPr>
            <w:tcW w:w="2880" w:type="dxa"/>
            <w:vAlign w:val="bottom"/>
            <w:gridSpan w:val="2"/>
          </w:tcPr>
          <w:p>
            <w:pPr>
              <w:spacing w:after="0" w:line="195" w:lineRule="exact"/>
              <w:rPr>
                <w:sz w:val="20"/>
                <w:szCs w:val="20"/>
                <w:color w:val="auto"/>
              </w:rPr>
            </w:pPr>
            <w:r>
              <w:rPr>
                <w:rFonts w:ascii="Arial" w:cs="Arial" w:eastAsia="Arial" w:hAnsi="Arial"/>
                <w:sz w:val="18"/>
                <w:szCs w:val="18"/>
                <w:color w:val="auto"/>
              </w:rPr>
              <w:t>Opening Price (“First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7200" w:type="dxa"/>
            <w:vAlign w:val="bottom"/>
            <w:gridSpan w:val="3"/>
          </w:tcPr>
          <w:p>
            <w:pPr>
              <w:jc w:val="center"/>
              <w:ind w:left="3530"/>
              <w:spacing w:after="0"/>
              <w:rPr>
                <w:sz w:val="20"/>
                <w:szCs w:val="20"/>
                <w:color w:val="auto"/>
              </w:rPr>
            </w:pPr>
            <w:r>
              <w:rPr>
                <w:rFonts w:ascii="Arial" w:cs="Arial" w:eastAsia="Arial" w:hAnsi="Arial"/>
                <w:sz w:val="18"/>
                <w:szCs w:val="18"/>
                <w:color w:val="auto"/>
                <w:w w:val="91"/>
              </w:rPr>
              <w:t>1.17x First Price Target (“Second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1"/>
              </w:rPr>
              <w:t>1.17x Second Price Target (“Third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Third Price Target (“Fourth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Fourth Price Target (“Fifth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6</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Fifth Price Target (“Sixth Price Target”)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7</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1"/>
              </w:rPr>
              <w:t>1.17x Sixth Price Target (“Seventh Price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“Opening Price” means our initial public offering price set forth on the cover page of this prospectus. The Company Stock Price Hurdle will be achieved if the average closing price of a share of our Class A common stock during any 90 consecutive trading day period during the performance period equals or exceeds the “Company Stock Price Hurdle” set forth in the table above. There is no linear interpolation between hurdles. The Company Stock Price Hurdles and the number of associated shares that will vest will be adjusted to reflect any stock splits, stock dividends, combinations, reorganizations, reclassifications, or similar events.</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the CEO Long-Term Performance Award has a restricted vesting period during the first four years following our initial public offering (the “Restricted Vesting Period”) such that Mr. Gardner is only eligible to vest in up to 20% of the shares of the CEO Long-Term Performance Award during each fiscal year during the Restricted Vesting Period. If multiple Company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event of a change in control of the company, the per share acquisition price in such transaction will be used to determine whether any then-unachieved Company Stock Price Hurdles are achieved (with no linear interpolation between stock price hurdles).</w:t>
      </w:r>
    </w:p>
    <w:p>
      <w:pPr>
        <w:spacing w:after="0" w:line="170"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estimated the grant date fair value of the CEO Long-Term Performance Award using a Monte Carlo simulation model that incorporated multiple stock price paths and probabilities that the Company Stock Price Hurdles are met. The weighted-average grant date fair value of the seven tranches of the CEO Long-Term Performance Award was estimated to be $10.53 per option share. We will recognize total share-based compensation expense of approximately $208.4 million over the derived service period of each of the seven separate tranches, if Mr. Gardner meets the Service Condition, regardless of whether the Company Stock Price Hurdles are achieved. If the Company Stock Price Hurdles are met sooner than the derived service period, we will adjust our share-based compensation expense to reflect the cumulative expense associated with the vested award.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In connection with this offering, we have adopted an executive severance plan, or the Executive Severance Plan, which applies to our executive officers and certain key employees. Our Executive Severance Plan provides that upon (i) a termination of a participant’s employment by us for any reason other than for “cause,” death, or disability, or (ii) a resignation of employment by the participant for “good reason” (as each term is defined in the Executive Severance Plan): (i) each participant (other than our Chief Executive Officer) will be entitled to receive (a) a lump sum cash payment equal to 9 months of his/her base salary, (b) continued health coverage pursuant to COBRA for up to 9 months, and (c) a lump sum cash amount equal to 75% of the participant’s annual target bonus; and (ii) our Chief Executive Officer will be entitled to receive (i) a lump sum cash payment equal to 12 months of his/her base salary, (ii) continued health coverage pursuant to COBRA for up to 12 months, and (iii) a lump sum amount equal to 100% of his/her annual target bonus. In addition to these benefits, if such termination occurs within 3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right="20" w:hanging="544"/>
        <w:spacing w:after="0" w:line="26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Benefits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Our 2021 Plan was adopted by our board of directors and subsequently approved by our stockholders in May 2021, and became effective on the day before the date on which the registration statement of which this prospectus forms part was declared effective by the SEC. Our 2021 Plan replaced our 2011 Plan, as our board of directors determined not to make additional awards under our 2011 Plan following the completion of our initial public offering. However, our 2011 Plan will continue to govern outstanding equity awards granted thereunder. Our 2021 Plan allows the compensation committee to make equity-based incentive awards to our officers, employees, directors, and other key persons, including consultants.</w:t>
      </w:r>
    </w:p>
    <w:p>
      <w:pPr>
        <w:spacing w:after="0" w:line="16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We have initially reserved 60,000,000 shares of our Class A common stock for the issuance of awards under our 2021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2021 Plan provides that the number of shares reserved and available for issuance under our 2021 Plan will automatically increase each January 1, beginning on January 1, 2022, by 5%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and 2011 Plan will be added back to the shares of Class A common stock available for issuance under our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2021 Plan (after being converted from Class B common stock into Class A common stock). The maximum number of shares of Class A common stock that may be issued as incentive stock options in any one calendar year period may not exceed 60,000,000, cumulatively increased on January 1, 2022 and on each January 1 thereafter by the lesser of 5% of the number of outstanding shares of Class A and Class B common stock as of the immediately preceding December 31, or 60,000,000 shares of Class A common stock.</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Non-Employee Director Limit. </w:t>
      </w:r>
      <w:r>
        <w:rPr>
          <w:rFonts w:ascii="Arial" w:cs="Arial" w:eastAsia="Arial" w:hAnsi="Arial"/>
          <w:sz w:val="18"/>
          <w:szCs w:val="18"/>
          <w:color w:val="auto"/>
        </w:rPr>
        <w:t>Our 2021 Plan contains a limitation whereby the value of all awards granted under our 2021 Plan and all other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paid by us to any non-employee director in any calendar year may not exceed: (i) $1,000,000 in the first calendar year an individual becomes a non-employee director and (ii) $750,000 in any other calendar year.</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is administered by our compensation committee. Our compensation committee has full power to select, from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are those employees, non-employee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permits the granting of both options to purchase stock intended to qualify as incentive stock options under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is able to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is able to award restricted shares of Class A common stock and RSUs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Dividend Equivalent Rights. </w:t>
      </w:r>
      <w:r>
        <w:rPr>
          <w:rFonts w:ascii="Arial" w:cs="Arial" w:eastAsia="Arial" w:hAnsi="Arial"/>
          <w:sz w:val="18"/>
          <w:szCs w:val="18"/>
          <w:color w:val="auto"/>
        </w:rPr>
        <w:t>Our compensation committee is able to grant dividend equivalent rights to participants that entitle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for dividends that would be paid if the recipient had held a specified number of shares of Class A common stock.</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is able to grant cash bonuses under our 2021 Plan to participants,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performance goals.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provides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Our board of directors is able to amend or discontinue our 2021 Plan and our compensation committee is able to amend or cancel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2011 Equity Incentive Plan, as amended</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 our board of directors in May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15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March 31, 2021,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 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9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affected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165"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May 2021, our board of directors adopted and our stockholders approved our ESPP. The ESPP became effective immediately prior to the time that the registration statement of which this prospectus forms a part was declared effective by the SEC. The ESPP initially reserves and authorizes the issuance of up to a total of 6,000,000 shares of Class A common stock to participating employees. The ESPP provides that the number of shares reserved and available for issuance will automatically increase each January 1, beginning on January 1, 2022, by the lesser of 12,000,000 shares of our Class A common stock, 1%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9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U.S. employees and employees of a designated subsidiary under the ESPP, whose customary employment is for more than 20 hours per week, are eligible to participate in the ESPP. Any employee who owns 5% or more of the total combined voting power or value of all classes of stock is not eligible to purchase shares under the ESPP.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The first offering will begin on the effective date of the registration statement of which this prospectus is part and, unless otherwise determined by the administrator of the ESPP, will end on the last business day occurring on or before November 15, 2021. Each eligible employee as of the effective date of the registration statement for the offering will be deemed to be a participant in the ESPP at that time and must authorize payroll deductions or other contributions by submitting an enrollment form by the deadline specified by the plan administrator. Subsequent offerings will usually begin every six months and will continue for six month periods, referred to as offering periods. Each eligible employee may elect to participate in any subsequent offering by submitting an enrollment form at least 15 days before the relevant offering date.</w:t>
      </w:r>
    </w:p>
    <w:p>
      <w:pPr>
        <w:spacing w:after="0" w:line="17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 the first business day of the offering period or the last business day of the purchase period, whichever is lower, provided that no more than 1,250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7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ESPP may be terminated or amended by our board of directors at any time but shall automatically terminate on the 10 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 U.S. subsidiaries who may participate in the ESPP and may permit such employees to participate in the ESPP on different terms, to the extent permitted by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May 2021, our board of directors adopted the Senior Executive Cash Incentive Bonus Plan, or the Bonus Plan. The Bonus Plan became effective on the day before the date on which the registration statement of which this prospectus forms a part was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8"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compensation committee may select corporate performance goals from among the following: achievement of cash flow (including, but not limited to, operating cash flow and Free Cash Flow); earnings before interest, taxes, depreciation, and amortization; adjusted EBITDA; gross profits;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year over year revenue growth; bookings;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 from 83North II Limited Partnership, a holder of more</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311" w:lineRule="auto"/>
        <w:rPr>
          <w:sz w:val="20"/>
          <w:szCs w:val="20"/>
          <w:color w:val="auto"/>
        </w:rPr>
      </w:pPr>
      <w:r>
        <w:rPr>
          <w:rFonts w:ascii="Arial" w:cs="Arial" w:eastAsia="Arial" w:hAnsi="Arial"/>
          <w:sz w:val="16"/>
          <w:szCs w:val="16"/>
          <w:color w:val="auto"/>
        </w:rPr>
        <w:t>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are party to an amended and restated voting agreement under which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adopted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we have adopted amended and restated bylaws which will become effective upon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Our audit committee charter provides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 As of the date of this prospectus, we have adopted standards, policies and procedures governing the review and approval of related party transactions.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May 10, 2021, or the Beneficial Ownership Date,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any applicable liquidity condition had been achieved, within 60 days of the Beneficial Ownership Date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have based percentage ownership of our common stock before this offering on 484,679,529 shares of our common stock outstanding as of the Beneficial Ownership Date, which includes 351,844,340 shares of Class B common stock resulting from the automatic conversion and reclassification of all outstanding shares of our redeemable convertible preferred stock immediately prior to the completion of this offering, as if this conversion and reclassification had occurred as of the Beneficial Ownership Date. Percentage ownership of our common stock after this offering assumes our sale of 45,454,546 shares of Class A common stock in this offering.</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Shares Beneficially</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Shares Beneficially Owned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1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Owned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10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Prior to the Offering</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right"/>
              <w:ind w:right="440"/>
              <w:spacing w:after="0" w:line="129" w:lineRule="exact"/>
              <w:rPr>
                <w:sz w:val="20"/>
                <w:szCs w:val="20"/>
                <w:color w:val="auto"/>
              </w:rPr>
            </w:pPr>
            <w:r>
              <w:rPr>
                <w:rFonts w:ascii="Arial" w:cs="Arial" w:eastAsia="Arial" w:hAnsi="Arial"/>
                <w:sz w:val="14"/>
                <w:szCs w:val="14"/>
                <w:b w:val="1"/>
                <w:bCs w:val="1"/>
                <w:color w:val="auto"/>
              </w:rPr>
              <w:t>After the Offering</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360" w:type="dxa"/>
            <w:vAlign w:val="bottom"/>
          </w:tcPr>
          <w:p>
            <w:pPr>
              <w:spacing w:after="0"/>
              <w:rPr>
                <w:sz w:val="12"/>
                <w:szCs w:val="12"/>
                <w:color w:val="auto"/>
              </w:rPr>
            </w:pPr>
          </w:p>
        </w:tc>
        <w:tc>
          <w:tcPr>
            <w:tcW w:w="164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rPr>
              <w:t>Class A</w:t>
            </w:r>
          </w:p>
        </w:tc>
        <w:tc>
          <w:tcPr>
            <w:tcW w:w="174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(2)</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8.0%</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38,778,289</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26,267,862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54,261,696</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42,093,869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25,444,638</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71,399,273</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71,399,273</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8,539,155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8,539,155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2,051,463</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2,051,463</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Amy Chang</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Gerri Elliott</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Arnon Dinur</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54,382,234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Godfrey Sullivan</w:t>
            </w:r>
            <w:r>
              <w:rPr>
                <w:rFonts w:ascii="Arial" w:cs="Arial" w:eastAsia="Arial" w:hAnsi="Arial"/>
                <w:sz w:val="23"/>
                <w:szCs w:val="23"/>
                <w:color w:val="auto"/>
                <w:vertAlign w:val="superscript"/>
              </w:rPr>
              <w:t>(17)</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All directors and executive officers as a group (18 persons)</w:t>
            </w:r>
            <w:r>
              <w:rPr>
                <w:rFonts w:ascii="Arial" w:cs="Arial" w:eastAsia="Arial" w:hAnsi="Arial"/>
                <w:sz w:val="23"/>
                <w:szCs w:val="23"/>
                <w:color w:val="auto"/>
                <w:vertAlign w:val="superscript"/>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150,429,905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2"/>
              </w:rPr>
              <w:t>150,429,905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6" w:lineRule="exact"/>
        <w:rPr>
          <w:sz w:val="20"/>
          <w:szCs w:val="20"/>
          <w:color w:val="auto"/>
        </w:rPr>
      </w:pPr>
    </w:p>
    <w:p>
      <w:pPr>
        <w:ind w:left="660" w:hanging="544"/>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jc w:val="both"/>
        <w:ind w:left="660" w:right="2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60015.</w:t>
      </w:r>
    </w:p>
    <w:p>
      <w:pPr>
        <w:jc w:val="both"/>
        <w:ind w:left="660" w:right="2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39,922,553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22,226,720 shares of Class B common stock subject to outstanding options that are exercisable within 60 days of the Beneficial Ownership Date by Mr. Gardner. Mr. Gardner disclaims beneficial ownership of the shares held in the trusts for the benefit of Mr. Gardner’s children.</w:t>
      </w:r>
    </w:p>
    <w:p>
      <w:pPr>
        <w:spacing w:after="0" w:line="1" w:lineRule="exact"/>
        <w:rPr>
          <w:rFonts w:ascii="Arial" w:cs="Arial" w:eastAsia="Arial" w:hAnsi="Arial"/>
          <w:sz w:val="14"/>
          <w:szCs w:val="14"/>
          <w:color w:val="auto"/>
        </w:rPr>
      </w:pPr>
    </w:p>
    <w:p>
      <w:pPr>
        <w:jc w:val="both"/>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4,289,244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2,350,002 shares of Class B common stock held of record by Graeme Rael as trustee for trusts for the benefit of Mr. Dahan’s family, and (v) 299,909 shares of Class B common stock. As of March 13, 2021, Mr. Dahan was no longer employed by us.</w:t>
      </w:r>
    </w:p>
    <w:p>
      <w:pPr>
        <w:spacing w:after="0" w:line="1" w:lineRule="exact"/>
        <w:rPr>
          <w:rFonts w:ascii="Arial" w:cs="Arial" w:eastAsia="Arial" w:hAnsi="Arial"/>
          <w:sz w:val="14"/>
          <w:szCs w:val="14"/>
          <w:color w:val="auto"/>
        </w:rPr>
      </w:pP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2,051,463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581,000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hanging="544"/>
        <w:spacing w:after="0" w:line="221"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37"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(i) 112,749,476 shares of Class B common stock beneficially owned by our current directors and executive officers and (ii) 37,680,429 shares of Class B common stock subject to outstanding options that are exercisable within 60 days of the Beneficial Ownership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upon the completion of this offering. We have adopted an amended and restated certificate of incorporation and amended and restated bylaws in connection with this offering, and this description summarizes the provisions that are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included as exhibits to the registration statement of which this prospectus forms a part, and to the applicable provisions of Delaware law. Immediately following the completion of this offering, our authorized capital stock will consist of 1,500,000,000 shares of Class A common stock, $0.0001 par value per share, 600,000,000 shares of Class B common stock, $0.0001 par value per share, and 100,000,000 shares of undesignated preferred stock, $0.0001 par value per share.</w:t>
      </w:r>
    </w:p>
    <w:p>
      <w:pPr>
        <w:spacing w:after="0" w:line="18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Assuming the conversion of all outstanding shares of our redeemable convertible preferred stock into shares of our Class B common stock, which will occur immediately prior to the completion of this offering, as of March 31, 2021, there were no outstanding shares of Class A common stock and 484,791,355 shares of our Class B common stock outstanding, held by 567 stockholders of record, and no shares of our redeemable convertible preferred stock outstanding. Our board of directors is authorized, without stockholder approval except as required by the listing standards of Nasdaq, to issue additional shares of our capital stock.</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880" w:right="20" w:hanging="224"/>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63"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 affirmative vote of the holders of at least 66-2/3% of the outstanding shares of Class B common stock, voting as a single class.</w:t>
      </w:r>
    </w:p>
    <w:p>
      <w:pPr>
        <w:spacing w:after="0" w:line="14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 the earlier of the date that is 10 years from the date of this prospectus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we had outstanding options to purchase an aggregate of 24,332,915 shares of our Class B common stock, with a weighted-average exercise price of $2.92 pursuant to our 2011 Plan, which was adopted in February 2011, most recently amended and restated by our board of directors in January 2021.</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we had outstanding RSUs representing 6,503,203 shares of our Class B common stock, issued pursuant to our 2011 Plan.</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March 31, 2021, there were outstanding warrants to purchase an aggregate of 203,610 shares of our redeemable convertible preferred stock, with a weighted-average exercise price of $0.295 per share, and warrants to purchase an aggregate of 2,569,528 shares of our common stock, with a weighted-average exercise price of $0.021 per share. The warrants will be automatically converted into warrants for Class B common stock upon the completion of this offering.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 one counsel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agreed not to sell or otherwise dispose of any securities without the prior written consent of Goldman Sachs &amp; Co. LLC and J.P. Morgan Securities LLC for a period of 180 days after the date of this prospectus, subject to certain terms and conditions. See the section titled “Underwriting” for more information regarding such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After the completion of this offering, the holders of up to approximately 362,319,118 shares of our Class B common stock will be entitled to certain demand 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362,319,118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After the completion of this offering, the holders of up to approximately 362,319,118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301" w:lineRule="auto"/>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 of Stockholders</w:t>
      </w:r>
      <w:r>
        <w:rPr>
          <w:rFonts w:ascii="Arial" w:cs="Arial" w:eastAsia="Arial" w:hAnsi="Arial"/>
          <w:sz w:val="16"/>
          <w:szCs w:val="16"/>
          <w:color w:val="auto"/>
        </w:rPr>
        <w:t>. Our amended and restated certificate of incorporation will provide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62" w:lineRule="exact"/>
        <w:rPr>
          <w:rFonts w:ascii="Arial" w:cs="Arial" w:eastAsia="Arial" w:hAnsi="Arial"/>
          <w:sz w:val="16"/>
          <w:szCs w:val="16"/>
          <w:color w:val="auto"/>
        </w:rPr>
      </w:pPr>
    </w:p>
    <w:p>
      <w:pPr>
        <w:jc w:val="both"/>
        <w:ind w:left="880" w:hanging="224"/>
        <w:spacing w:after="0" w:line="286"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 Street, Canton, MA 02021.</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approved for listing on Nasdaq under the symbol “MQ.”</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Following the completion of this offering, based on the number of shares of our capital stock outstanding as of March 31, 2021, we will have a total of 45,454,546 shares of our Class A common stock and 484,791,355 shares of our Class B common stock outstanding, assuming (i) the automatic conversion and reclassification of all outstanding shares of our redeemable convertible preferred stock into 351,844,340 shares of our Class B common stock, (ii) the net issuance of 428,675 shares of our common stock issuable pursuant to the vesting and settlement of 739,095 RSUs subject to liquidity conditions outstanding as of March 31, 2021 (based on an assumed 42% tax withholding rate), and (iii) the reclassification of our outstanding common stock as Class B common stock, all immediately prior to the completion of this offering. Of these outstanding shares, all of the 45,454,546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6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 “Description of Capital Stock—Registration Rights,” subject to the provisions of Rule 144 or Rule 701, these restricted securities will be available for sale in the public market as follows:</w:t>
      </w:r>
    </w:p>
    <w:p>
      <w:pPr>
        <w:spacing w:after="0" w:line="97" w:lineRule="exact"/>
        <w:rPr>
          <w:sz w:val="20"/>
          <w:szCs w:val="20"/>
          <w:color w:val="auto"/>
        </w:rPr>
      </w:pPr>
    </w:p>
    <w:p>
      <w:pPr>
        <w:ind w:left="88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beginning on the date of this prospectus, the 45,454,546 shares of Class A common stock sold in this offering will be immediately available for sale in the public market;</w:t>
      </w:r>
    </w:p>
    <w:p>
      <w:pPr>
        <w:spacing w:after="0" w:line="75"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beginning at the commencement of the second trading day after the date that we publicly announce earnings for the quarter ended June 30, 2021, up to approximately 61.2 million shares of Class A common stock held by our employees, officers, directors and other stockholders will be immediately available for sale in the public market (as further described and subject to the conditions set forth under “Lock-Up Agreements and Market Standoff Provisions” below), subject in some cases to the volume and other restrictions of Rule 144, described below;</w:t>
      </w:r>
    </w:p>
    <w:p>
      <w:pPr>
        <w:spacing w:after="0" w:line="93" w:lineRule="exact"/>
        <w:rPr>
          <w:rFonts w:ascii="Arial" w:cs="Arial" w:eastAsia="Arial" w:hAnsi="Arial"/>
          <w:sz w:val="18"/>
          <w:szCs w:val="18"/>
          <w:color w:val="auto"/>
        </w:rPr>
      </w:pPr>
    </w:p>
    <w:p>
      <w:pPr>
        <w:jc w:val="both"/>
        <w:ind w:left="880" w:hanging="224"/>
        <w:spacing w:after="0" w:line="286"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certain exceptions as described in the section titled “Underwriting” below, 422,796,021 additional shares of Class B common stock will become eligible for sale in the public market, of which 151,527,765 shares will be held by affiliates and subject to the volume and other restrictions of Rule 144, as described below; and</w:t>
      </w:r>
    </w:p>
    <w:p>
      <w:pPr>
        <w:spacing w:after="0" w:line="70"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and our officers, directors and holders of substantially all of our common stock and securities convertible into or exchangeable for shares of our common stock have agreed with the underwriters of this offering that, subject to certain exceptions as described in the section titled “Underwriting,” during the period from the date of this prospectus continuing through the date that is 180 days after the date of this prospectus, we and they will not:</w:t>
      </w:r>
    </w:p>
    <w:p>
      <w:pPr>
        <w:spacing w:after="0" w:line="54" w:lineRule="exact"/>
        <w:rPr>
          <w:sz w:val="20"/>
          <w:szCs w:val="20"/>
          <w:color w:val="auto"/>
        </w:rPr>
      </w:pPr>
    </w:p>
    <w:p>
      <w:pPr>
        <w:jc w:val="both"/>
        <w:ind w:left="880" w:hanging="224"/>
        <w:spacing w:after="0" w:line="25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93"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880" w:right="20" w:hanging="224"/>
        <w:spacing w:after="0" w:line="289"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71" w:lineRule="exact"/>
        <w:rPr>
          <w:rFonts w:ascii="Arial" w:cs="Arial" w:eastAsia="Arial" w:hAnsi="Arial"/>
          <w:sz w:val="16"/>
          <w:szCs w:val="16"/>
          <w:color w:val="auto"/>
        </w:rPr>
      </w:pPr>
    </w:p>
    <w:p>
      <w:pPr>
        <w:jc w:val="both"/>
        <w:ind w:left="880" w:right="20" w:hanging="224"/>
        <w:spacing w:after="0" w:line="275"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880" w:hanging="224"/>
        <w:spacing w:after="0" w:line="275"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refer to any release of securities described in the preceding three bullet points as an “Earnings-Related Lock-Up Release.” We will report any Earnings-Related Lock-Up Release on a Current Report on Form 8-K before it is effective.</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12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For any security holders who have not signed the lock-up agreements described above, the market stand-off provisions will impose restrictions on the ability of such security holders to offer, sell, or transfer our equity securities for a period of 180 days following the date of this prospectus.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52" w:lineRule="exact"/>
        <w:rPr>
          <w:sz w:val="20"/>
          <w:szCs w:val="20"/>
          <w:color w:val="auto"/>
        </w:rPr>
      </w:pPr>
    </w:p>
    <w:p>
      <w:pPr>
        <w:ind w:left="880" w:hanging="224"/>
        <w:spacing w:after="0" w:line="27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454,545 shares immediately after this offering; 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Pursuant to the investor rights agreement, the holders of up to 362,319,118 shares of our Class B common stock (including shares issuable upon the conversion of our outstanding redeemable convertible preferred stock 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We have filed a registration statement on Form S-8 under the Securities Act to register all of the shares of our Class A common stock and Class B common stock issued or reserved for issuance under our 2011 Plan, our 2021 Plan, and our ESPP. Shares covered by this registration statement are eligible for sale in the public market, subject to the Rule 144 limitations applicable to affiliates, vesting restrictions and any applicable lock-up agreements and market standoff agreements. As of March 31, 2021, RSUs and options to purchase a total of 30,836,118 shares of our Class B common stock pursuant to our 2011 Plan were outstanding and no options or other equity awards were outstanding or exercisable under our 2021 Plan.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93"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 corporation is a “United States real property holding corporation” if the fair market value of its “United States real property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86" w:lineRule="auto"/>
        <w:rPr>
          <w:sz w:val="20"/>
          <w:szCs w:val="20"/>
          <w:color w:val="auto"/>
        </w:rPr>
      </w:pPr>
      <w:r>
        <w:rPr>
          <w:rFonts w:ascii="Arial" w:cs="Arial" w:eastAsia="Arial" w:hAnsi="Arial"/>
          <w:sz w:val="17"/>
          <w:szCs w:val="17"/>
          <w:color w:val="auto"/>
        </w:rPr>
        <w:t>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88"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have entered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has severally agreed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060" w:type="dxa"/>
            <w:vAlign w:val="bottom"/>
            <w:vMerge w:val="restart"/>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060" w:type="dxa"/>
            <w:vAlign w:val="bottom"/>
            <w:vMerge w:val="continue"/>
          </w:tcPr>
          <w:p>
            <w:pPr>
              <w:spacing w:after="0"/>
              <w:rPr>
                <w:sz w:val="15"/>
                <w:szCs w:val="15"/>
                <w:color w:val="auto"/>
              </w:rPr>
            </w:pPr>
          </w:p>
        </w:tc>
        <w:tc>
          <w:tcPr>
            <w:tcW w:w="11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13,181,819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12,727,274</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4,772,727</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4,204,546</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4,113,636</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KeyBanc Capital Markets Inc.</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2,772,727</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1,863,636</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909,091</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Seelaus &amp; Co., LLC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454,545</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454,545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45,454,546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underwriters have an option to buy up to an additional 6,818,181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 assuming both no exercise and full exercise of the underwriters’ option to purchase 6,818,181 additional shares of our Class A common stock.</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No Exercise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79,772,728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91,738,636</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$1.053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with the underwriters of this offering that, except with the prior written consent of the representatives, during the period from the date of this prospectus continuing through the date that is 180 days after the date of this prospectus (the “restricted period”), we and they will not: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5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93"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agreement does not apply to any existing employee benefit plans. See the section titled “Shares Eligible for Future Sale” for a discussion of certain transfer restrictions.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660" w:hanging="220"/>
        <w:spacing w:after="0" w:line="270"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86"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7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refer to any release of securities described in the preceding three bullet points as an “Earnings-Related Lock-Up Release.” We will report any Earnings-Related Lock-Up Release on a Current Report on Form 8-K before it is effective. See the section titled “Shares Eligible for Future Sale” for information about the number of shares of our Class A common stock that may be eligible for sale as a result of any Early Lock-Up Release.</w:t>
      </w:r>
    </w:p>
    <w:p>
      <w:pPr>
        <w:spacing w:after="0" w:line="165"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officers, directors, and other holders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as a bona fide gift or gifts or charitable contribution, or for bona fide estate planning purposes;</w:t>
      </w:r>
    </w:p>
    <w:p>
      <w:pPr>
        <w:spacing w:after="0" w:line="130"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upon death or by will, intestate succession, other testamentary document, or pursuant to a so-called “living trust” or other revocable trust established to provide for the disposition of property upon death;</w:t>
      </w:r>
    </w:p>
    <w:p>
      <w:pPr>
        <w:spacing w:after="0" w:line="75"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to any immediate family member, to any trust for the direct or indirect benefit of the holder or the immediate family thereof, or to a trustor, trustee or beneficiary of the trust or to the estate of a beneficiary of such trust;</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the preceding bullet points;</w:t>
      </w:r>
    </w:p>
    <w:p>
      <w:pPr>
        <w:spacing w:after="0" w:line="75" w:lineRule="exact"/>
        <w:rPr>
          <w:rFonts w:ascii="Arial" w:cs="Arial" w:eastAsia="Arial" w:hAnsi="Arial"/>
          <w:sz w:val="18"/>
          <w:szCs w:val="18"/>
          <w:color w:val="auto"/>
        </w:rPr>
      </w:pPr>
    </w:p>
    <w:p>
      <w:pPr>
        <w:jc w:val="both"/>
        <w:ind w:left="660" w:right="20" w:hanging="220"/>
        <w:spacing w:after="0" w:line="286"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transfers to another corporation, partnership, limited liability company, trust or other business entity that is an affiliate, to any investment fund or other entity controlling, controlled by, managing or managed by or under common control with the holder or an affiliate, or as part of a distribution, transfer, or disposition to partners, members, stockholders or other equity holders or to the estate thereof;</w:t>
      </w:r>
    </w:p>
    <w:p>
      <w:pPr>
        <w:spacing w:after="0" w:line="70" w:lineRule="exact"/>
        <w:rPr>
          <w:rFonts w:ascii="Arial" w:cs="Arial" w:eastAsia="Arial" w:hAnsi="Arial"/>
          <w:sz w:val="17"/>
          <w:szCs w:val="17"/>
          <w:color w:val="auto"/>
        </w:rPr>
      </w:pPr>
    </w:p>
    <w:p>
      <w:pPr>
        <w:ind w:left="660" w:right="20" w:hanging="220"/>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separation agreement, or other order of a court or regulatory agency;</w:t>
      </w:r>
    </w:p>
    <w:p>
      <w:pPr>
        <w:spacing w:after="0" w:line="75" w:lineRule="exact"/>
        <w:rPr>
          <w:rFonts w:ascii="Arial" w:cs="Arial" w:eastAsia="Arial" w:hAnsi="Arial"/>
          <w:sz w:val="18"/>
          <w:szCs w:val="18"/>
          <w:color w:val="auto"/>
        </w:rPr>
      </w:pPr>
    </w:p>
    <w:p>
      <w:pPr>
        <w:jc w:val="both"/>
        <w:ind w:left="660" w:hanging="220"/>
        <w:spacing w:after="0" w:line="259"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shares of common stock issued pursuant to equity awards granted under a stock incentive plan or other equity award plan described in this prospectus, or pursuant to the agreements pursuant to which such shares were issued, from an employee or service provider of the company upon death, disability or termination of employment, in each case, of such employee or service provider;</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of securities acquired in this offering or in open market transactions after the closing date of this offering;</w:t>
      </w:r>
    </w:p>
    <w:p>
      <w:pPr>
        <w:spacing w:after="0" w:line="130" w:lineRule="exact"/>
        <w:rPr>
          <w:rFonts w:ascii="Arial" w:cs="Arial" w:eastAsia="Arial" w:hAnsi="Arial"/>
          <w:sz w:val="18"/>
          <w:szCs w:val="18"/>
          <w:color w:val="auto"/>
        </w:rPr>
      </w:pPr>
    </w:p>
    <w:p>
      <w:pPr>
        <w:jc w:val="both"/>
        <w:ind w:left="660" w:hanging="220"/>
        <w:spacing w:after="0" w:line="272"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transfers to us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restrictions set forth above, and provided further that any such restricted stock units, shares of restricted stock, options, warrants or rights are held pursuant to an agreement or equity awards granted under a stock incentive plan or other equity award plan described in this prospectus or filed as an exhibit to the registration statement;</w:t>
      </w:r>
    </w:p>
    <w:p>
      <w:pPr>
        <w:spacing w:after="0" w:line="82" w:lineRule="exact"/>
        <w:rPr>
          <w:rFonts w:ascii="Arial" w:cs="Arial" w:eastAsia="Arial" w:hAnsi="Arial"/>
          <w:sz w:val="17"/>
          <w:szCs w:val="17"/>
          <w:color w:val="auto"/>
        </w:rPr>
      </w:pPr>
    </w:p>
    <w:p>
      <w:pPr>
        <w:jc w:val="both"/>
        <w:ind w:left="660" w:hanging="220"/>
        <w:spacing w:after="0" w:line="25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(or a duly authorized committee thereof) and made to all holders of our capital stock involving a change of control of the company provided that in the event that such tender offer, merger, consolidation or other similar transaction is not completed, such securities remain subject to the restrictions set forth above; and provided further that so long as the undersigned’s shares are not transferred, sold or tendered, such shares shall remain subject to the restrictions set forth above;</w:t>
      </w:r>
    </w:p>
    <w:p>
      <w:pPr>
        <w:spacing w:after="0" w:line="93"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as a result of the exercise outstanding options, settlement of restricted stock units or other equity awards or the of exercise warrants pursuant to plans described in this prospectus; provided that any securities received upon such exercise, vesting or settlement shall be subject to the restrictions set forth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0" w:hanging="220"/>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as a result of conversions of outstanding preferred stock, warrants to acquire preferred stock or convertible securities into shares of common stock (including the conversion of shares of Class B common stock into shares of Class A common stock) or warrants to acquire shares of common stock; provided that any such shares of common stock or warrants received upon such conversion remain subject to the restrictions set forth above;</w:t>
      </w:r>
    </w:p>
    <w:p>
      <w:pPr>
        <w:spacing w:after="0" w:line="92" w:lineRule="exact"/>
        <w:rPr>
          <w:rFonts w:ascii="Arial" w:cs="Arial" w:eastAsia="Arial" w:hAnsi="Arial"/>
          <w:sz w:val="18"/>
          <w:szCs w:val="18"/>
          <w:color w:val="auto"/>
        </w:rPr>
      </w:pPr>
    </w:p>
    <w:p>
      <w:pPr>
        <w:jc w:val="both"/>
        <w:ind w:left="660" w:right="20" w:hanging="220"/>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establishment of written trading plans pursuant to Rule 10b5-1 under the Exchange Act; provided that (1) such plans do not provide for the transfer of securities during the restricted period (other than transfers in connection with an Earnings Related Lock-Up Release as described above) and (2) no public announcement or filing under the Exchange Act or other public announcement shall be required or made voluntarily by any person regarding the establishment of such plan during the restricted period; and</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sales pursuant to the terms of the underwriting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us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sale of the shares of Class A common stock to the underwriters pursuant to the underwriting agreement;</w:t>
      </w:r>
    </w:p>
    <w:p>
      <w:pPr>
        <w:spacing w:after="0" w:line="130"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conversion, exercise or exchange of convertible, exercisable or exchangeable securities outstanding as of the date of this prospectus and described herein;</w:t>
      </w:r>
    </w:p>
    <w:p>
      <w:pPr>
        <w:spacing w:after="0" w:line="75"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stock options, stock awards, restricted stock, restricted stock units or other equity awards, and the issuance of shares of common stock with respect thereto or upon the exercise, vesting or settlement thereof (including any “early”, “net” or “cashless” exercises or settlements), pursuant to the terms of equity plans described in this prospectus;</w:t>
      </w:r>
    </w:p>
    <w:p>
      <w:pPr>
        <w:spacing w:after="0" w:line="89" w:lineRule="exact"/>
        <w:rPr>
          <w:rFonts w:ascii="Arial" w:cs="Arial" w:eastAsia="Arial" w:hAnsi="Arial"/>
          <w:sz w:val="18"/>
          <w:szCs w:val="18"/>
          <w:color w:val="auto"/>
        </w:rPr>
      </w:pPr>
    </w:p>
    <w:p>
      <w:pPr>
        <w:jc w:val="both"/>
        <w:ind w:left="660" w:hanging="220"/>
        <w:spacing w:after="0" w:line="272"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providing for the sale or issuance of, common stock or securities convertible into, exercisable for or which are otherwise exchangeable for or represent the right to receive common stock, in connection with (x) the acquisition by us or any of our subsidiaries of the securities, business, technology, property or other assets of another person or entity or pursuant to an employee benefit plan assumed by us or a subsidiary in connection with such acquisition or (y) our joint ventures, commercial relationships and other strategic transactions, provided that the aggregate number of shares of common stock (or as converted common stock in the case of securities convertible into common stock) that we may sell or issue or agree to sell or issue pursuant to this exception may not exceed 10% of the total number of shares of common stock outstanding immediately following this offering;</w:t>
      </w:r>
    </w:p>
    <w:p>
      <w:pPr>
        <w:spacing w:after="0" w:line="82" w:lineRule="exact"/>
        <w:rPr>
          <w:rFonts w:ascii="Arial" w:cs="Arial" w:eastAsia="Arial" w:hAnsi="Arial"/>
          <w:sz w:val="17"/>
          <w:szCs w:val="17"/>
          <w:color w:val="auto"/>
        </w:rPr>
      </w:pPr>
    </w:p>
    <w:p>
      <w:pPr>
        <w:jc w:val="both"/>
        <w:ind w:left="660" w:right="20" w:hanging="220"/>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(including any resale registration statement on Form S-8) relating to securities granted or to be granted pursuant to our equity plans disclosed in this prospectus or any assumed employee benefit plan contemplated in the preceding bullet point;</w:t>
      </w:r>
    </w:p>
    <w:p>
      <w:pPr>
        <w:spacing w:after="0" w:line="89" w:lineRule="exact"/>
        <w:rPr>
          <w:rFonts w:ascii="Arial" w:cs="Arial" w:eastAsia="Arial" w:hAnsi="Arial"/>
          <w:sz w:val="18"/>
          <w:szCs w:val="18"/>
          <w:color w:val="auto"/>
        </w:rPr>
      </w:pPr>
    </w:p>
    <w:p>
      <w:pPr>
        <w:ind w:left="660" w:hanging="220"/>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transfer of up to 360,000 shares of common stock through the Marqeta Cares program as described in this prospectus; and</w:t>
      </w:r>
    </w:p>
    <w:p>
      <w:pPr>
        <w:spacing w:after="0" w:line="130" w:lineRule="exact"/>
        <w:rPr>
          <w:rFonts w:ascii="Arial" w:cs="Arial" w:eastAsia="Arial" w:hAnsi="Arial"/>
          <w:sz w:val="18"/>
          <w:szCs w:val="18"/>
          <w:color w:val="auto"/>
        </w:rPr>
      </w:pPr>
    </w:p>
    <w:p>
      <w:pPr>
        <w:jc w:val="both"/>
        <w:ind w:left="660" w:hanging="220"/>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sale or issuance of warrants (and any common stock upon the exercise thereof) to our customers in the ordinary course of business in an aggregate amount not to exceed 0.5% of the total number of shares of common stock outstanding (on an as-converted basis) immediately following this offering.</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representatives may release the securities subject to the restrictions described above in whole or in part at any time. The representatives have agreed that in the event that they grant an early release or discretionary waiver of the above restrictions with respect to our common stock or securities convertible into or exercisable or exchangeable for shares of our common stock to a stockholder party to our amended and restated investor rights agreement, then they will provide a pro rata release or waiver of such restrictions to each other stockholder party to the amended and restated investor rights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offering, there has been no public market for our Class A common stock. The initial public offering price was negotiated among us and the representatives. Among the factors considered in determining the initial public offering price of the shares, in addition to prevailing market conditions, was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approved for listing on Nasdaq 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$6.6 million. We have agreed to reimburse the underwriters for expenses related to any applicable state securities filings and to the Financial Industry Regulatory Authority incurred by them in connection with this offering in an amount up to $30,000.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have agreed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4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by operation of law, (5) as specified in Section 276(7) of the SFA, or (6) as specified in Regulation 32 of the Securities and Futures (Offers of Investments) (Shares and Debentures) Regulations 2005 of Singapore, or Regulation 32.</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2019 and 2020, and for each of the two years in the period ended December 31, 2020, as set forth in their report. We have included our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a result of this offering, we have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88">
              <w:r>
                <w:rPr>
                  <w:rFonts w:ascii="Arial" w:cs="Arial" w:eastAsia="Arial" w:hAnsi="Arial"/>
                  <w:sz w:val="18"/>
                  <w:szCs w:val="18"/>
                  <w:color w:val="0000EE"/>
                  <w:w w:val="91"/>
                </w:rPr>
                <w:t>Report of Independent Registered Public Accounting Firm</w:t>
              </w:r>
            </w:hyperlink>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220,433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247,630</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7,800</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7,800</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Marketable securities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95,225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149,903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140,145</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3,974</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8,420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3,363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Settlements receivable,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9,906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11,358</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Network incentives receivable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10,622</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32,077</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9,334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11,290</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197,205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430,906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453,663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10,520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9,152</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right-of-use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15,248</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13,411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12,889</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6,099</w:t>
            </w:r>
          </w:p>
        </w:tc>
      </w:tr>
      <w:tr>
        <w:trPr>
          <w:trHeight w:val="209"/>
        </w:trPr>
        <w:tc>
          <w:tcPr>
            <w:tcW w:w="77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223,191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457,680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481,803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2,532</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Revenue share payable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29,749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78,191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92,313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31,673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64,311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141,098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164,293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4,827</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liabilities, net of current portion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17,669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15,449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14,727</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9,650</w:t>
            </w: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85,849</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169,516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193,497</w:t>
            </w:r>
          </w:p>
        </w:tc>
        <w:tc>
          <w:tcPr>
            <w:tcW w:w="120" w:type="dxa"/>
            <w:vAlign w:val="bottom"/>
          </w:tcPr>
          <w:p>
            <w:pPr>
              <w:spacing w:after="0"/>
              <w:rPr>
                <w:sz w:val="18"/>
                <w:szCs w:val="18"/>
                <w:color w:val="auto"/>
              </w:rPr>
            </w:pPr>
          </w:p>
        </w:tc>
      </w:tr>
      <w:tr>
        <w:trPr>
          <w:trHeight w:val="115"/>
        </w:trPr>
        <w:tc>
          <w:tcPr>
            <w:tcW w:w="7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Commitments and contingencies (Note 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93"/>
        </w:trPr>
        <w:tc>
          <w:tcPr>
            <w:tcW w:w="7700" w:type="dxa"/>
            <w:vAlign w:val="bottom"/>
          </w:tcPr>
          <w:p>
            <w:pPr>
              <w:spacing w:after="0"/>
              <w:rPr>
                <w:sz w:val="20"/>
                <w:szCs w:val="20"/>
                <w:color w:val="auto"/>
              </w:rPr>
            </w:pPr>
            <w:r>
              <w:rPr>
                <w:rFonts w:ascii="Arial" w:cs="Arial" w:eastAsia="Arial" w:hAnsi="Arial"/>
                <w:sz w:val="17"/>
                <w:szCs w:val="17"/>
                <w:color w:val="auto"/>
                <w:w w:val="91"/>
              </w:rPr>
              <w:t>Redeemable convertible preferred stock, $0.0001 par value; 337,047,188, 352,047,950 and 352,047,950 shares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1"/>
              </w:rPr>
              <w:t>authorized; 336,843,578, 351,844,340 and 351,844,340 shares issued and outstanding; aggregate liquidation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3"/>
              </w:rPr>
              <w:t>preference of $378,707, $552,868 and $552,868 as of December 31, 2019, December 31, 2020 and March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335,748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501,881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501,881</w:t>
            </w:r>
          </w:p>
        </w:tc>
      </w:tr>
      <w:tr>
        <w:trPr>
          <w:trHeight w:val="205"/>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7700" w:type="dxa"/>
            <w:vAlign w:val="bottom"/>
          </w:tcPr>
          <w:p>
            <w:pPr>
              <w:spacing w:after="0" w:line="185" w:lineRule="exact"/>
              <w:rPr>
                <w:sz w:val="20"/>
                <w:szCs w:val="20"/>
                <w:color w:val="auto"/>
              </w:rPr>
            </w:pPr>
            <w:r>
              <w:rPr>
                <w:rFonts w:ascii="Arial" w:cs="Arial" w:eastAsia="Arial" w:hAnsi="Arial"/>
                <w:sz w:val="17"/>
                <w:szCs w:val="17"/>
                <w:color w:val="auto"/>
              </w:rPr>
              <w:t>Common stock, $0.0001 par value; 503,000,000, 545,000,000, and 545,000,000 shares authorized,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8"/>
              </w:rPr>
              <w:t>118,430,031, 130,312,838 and 132,518,340 shares issued and outstanding as of December 31, 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December 31, 2020, and March 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r>
      <w:tr>
        <w:trPr>
          <w:trHeight w:val="205"/>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7,365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52,794</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0"/>
              </w:rPr>
              <w:t>(205,829)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(253,524)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(266,362)</w:t>
            </w:r>
          </w:p>
        </w:tc>
      </w:tr>
      <w:tr>
        <w:trPr>
          <w:trHeight w:val="217"/>
        </w:trPr>
        <w:tc>
          <w:tcPr>
            <w:tcW w:w="770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(198,406)</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(213,717)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(213,575)</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223,191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457,680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481,803</w:t>
            </w: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107,983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82,814</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172,385</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29,826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60,453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117,907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86,506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126,861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8,960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7,796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7,117</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(58,863)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(47,087)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(58,165)</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(64,149)</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(122,349)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113,851,714</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130,841,306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26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$(58,200)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$(47,695)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$(14,530)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(12,838)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unrealized gain (loss) on marketable securities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7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(58,153)</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(14,509)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(12,883)</w:t>
            </w:r>
          </w:p>
        </w:tc>
      </w:tr>
      <w:tr>
        <w:trPr>
          <w:trHeight w:val="20"/>
        </w:trPr>
        <w:tc>
          <w:tcPr>
            <w:tcW w:w="7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040" w:type="dxa"/>
            <w:vAlign w:val="bottom"/>
          </w:tcPr>
          <w:p>
            <w:pPr>
              <w:spacing w:after="0"/>
              <w:rPr>
                <w:sz w:val="2"/>
                <w:szCs w:val="2"/>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04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287,216,434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$ 114,842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38,552,483</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142,990</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11,074,661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13,767</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9"/>
              </w:rPr>
              <w:t>Deemed dividend upon the exchange of Series 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w w:val="98"/>
              </w:rPr>
              <w:t>and Series C redeemable convertible preferred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stock for Series E redeemable 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64,149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336,843,578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335,748</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118,430,031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76"/>
              </w:rPr>
              <w:t>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E-1 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at $8.34 per share,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$8,058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20,989,756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166,942</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Conversion of Series A and Series C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convertible preferred stock to common 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(5,988,994)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5,988,994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808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5,236,999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847,184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(190,370)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common stock warrants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28,211</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351,844,340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501,881</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130,312,838</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39,769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(213,717)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Redeemable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336,843,578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$335,748</w:t>
            </w:r>
          </w:p>
        </w:tc>
        <w:tc>
          <w:tcPr>
            <w:tcW w:w="240" w:type="dxa"/>
            <w:vAlign w:val="bottom"/>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118,430,031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7,365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(205,829)</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(198,406)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140"/>
              <w:spacing w:after="0"/>
              <w:rPr>
                <w:sz w:val="20"/>
                <w:szCs w:val="20"/>
                <w:color w:val="auto"/>
              </w:rPr>
            </w:pPr>
            <w:r>
              <w:rPr>
                <w:rFonts w:ascii="Arial" w:cs="Arial" w:eastAsia="Arial" w:hAnsi="Arial"/>
                <w:sz w:val="14"/>
                <w:szCs w:val="14"/>
                <w:color w:val="auto"/>
              </w:rPr>
              <w:t>2,233,220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173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313,587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80"/>
              <w:spacing w:after="0"/>
              <w:rPr>
                <w:sz w:val="20"/>
                <w:szCs w:val="20"/>
                <w:color w:val="auto"/>
              </w:rPr>
            </w:pPr>
            <w:r>
              <w:rPr>
                <w:rFonts w:ascii="Arial" w:cs="Arial" w:eastAsia="Arial" w:hAnsi="Arial"/>
                <w:sz w:val="14"/>
                <w:szCs w:val="14"/>
                <w:color w:val="auto"/>
              </w:rPr>
              <w:t>(142,726)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Vesting of early exercised stock options (unaudited)</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(14,530)</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(14,530)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12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 as of March 31, 2020 (unaudited)</w:t>
            </w:r>
          </w:p>
        </w:tc>
        <w:tc>
          <w:tcPr>
            <w:tcW w:w="980" w:type="dxa"/>
            <w:vAlign w:val="bottom"/>
            <w:gridSpan w:val="4"/>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336,843,578</w:t>
            </w:r>
          </w:p>
        </w:tc>
        <w:tc>
          <w:tcPr>
            <w:tcW w:w="660" w:type="dxa"/>
            <w:vAlign w:val="bottom"/>
            <w:tcBorders>
              <w:right w:val="single" w:sz="8" w:color="CCEEFF"/>
            </w:tcBorders>
            <w:gridSpan w:val="3"/>
            <w:vMerge w:val="restart"/>
            <w:shd w:val="clear" w:color="auto" w:fill="CCEEFF"/>
          </w:tcPr>
          <w:p>
            <w:pPr>
              <w:jc w:val="right"/>
              <w:ind w:right="40"/>
              <w:spacing w:after="0" w:line="13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335,748</w:t>
            </w:r>
          </w:p>
        </w:tc>
        <w:tc>
          <w:tcPr>
            <w:tcW w:w="240" w:type="dxa"/>
            <w:vAlign w:val="bottom"/>
            <w:vMerge w:val="continue"/>
          </w:tcPr>
          <w:p>
            <w:pPr>
              <w:spacing w:after="0"/>
              <w:rPr>
                <w:sz w:val="2"/>
                <w:szCs w:val="2"/>
                <w:color w:val="auto"/>
              </w:rPr>
            </w:pPr>
          </w:p>
        </w:tc>
        <w:tc>
          <w:tcPr>
            <w:tcW w:w="1060" w:type="dxa"/>
            <w:vAlign w:val="bottom"/>
            <w:gridSpan w:val="5"/>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120,834,112</w:t>
            </w:r>
          </w:p>
        </w:tc>
        <w:tc>
          <w:tcPr>
            <w:tcW w:w="400" w:type="dxa"/>
            <w:vAlign w:val="bottom"/>
            <w:gridSpan w:val="3"/>
            <w:vMerge w:val="restart"/>
            <w:shd w:val="clear" w:color="auto" w:fill="CCEEFF"/>
          </w:tcPr>
          <w:p>
            <w:pPr>
              <w:jc w:val="right"/>
              <w:ind w:right="138"/>
              <w:spacing w:after="0" w:line="135" w:lineRule="exact"/>
              <w:rPr>
                <w:sz w:val="20"/>
                <w:szCs w:val="20"/>
                <w:color w:val="auto"/>
              </w:rPr>
            </w:pPr>
            <w:r>
              <w:rPr>
                <w:rFonts w:ascii="Arial" w:cs="Arial" w:eastAsia="Arial" w:hAnsi="Arial"/>
                <w:sz w:val="14"/>
                <w:szCs w:val="14"/>
                <w:b w:val="1"/>
                <w:bCs w:val="1"/>
                <w:color w:val="auto"/>
              </w:rPr>
              <w:t>$</w:t>
            </w:r>
          </w:p>
        </w:tc>
        <w:tc>
          <w:tcPr>
            <w:tcW w:w="320" w:type="dxa"/>
            <w:vAlign w:val="bottom"/>
            <w:gridSpan w:val="3"/>
            <w:vMerge w:val="restart"/>
            <w:shd w:val="clear" w:color="auto" w:fill="CCEEFF"/>
          </w:tcPr>
          <w:p>
            <w:pPr>
              <w:jc w:val="right"/>
              <w:ind w:right="80"/>
              <w:spacing w:after="0" w:line="135" w:lineRule="exact"/>
              <w:rPr>
                <w:sz w:val="20"/>
                <w:szCs w:val="20"/>
                <w:color w:val="auto"/>
              </w:rPr>
            </w:pPr>
            <w:r>
              <w:rPr>
                <w:rFonts w:ascii="Arial" w:cs="Arial" w:eastAsia="Arial" w:hAnsi="Arial"/>
                <w:sz w:val="14"/>
                <w:szCs w:val="14"/>
                <w:b w:val="1"/>
                <w:bCs w:val="1"/>
                <w:color w:val="auto"/>
              </w:rPr>
              <w:t>12</w:t>
            </w:r>
          </w:p>
        </w:tc>
        <w:tc>
          <w:tcPr>
            <w:tcW w:w="220" w:type="dxa"/>
            <w:vAlign w:val="bottom"/>
            <w:gridSpan w:val="3"/>
            <w:vMerge w:val="restart"/>
            <w:shd w:val="clear" w:color="auto" w:fill="CCEEFF"/>
          </w:tcPr>
          <w:p>
            <w:pPr>
              <w:ind w:left="140"/>
              <w:spacing w:after="0" w:line="135"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3"/>
            <w:vMerge w:val="restart"/>
            <w:shd w:val="clear" w:color="auto" w:fill="CCEEFF"/>
          </w:tcPr>
          <w:p>
            <w:pPr>
              <w:jc w:val="right"/>
              <w:ind w:right="160"/>
              <w:spacing w:after="0" w:line="135" w:lineRule="exact"/>
              <w:rPr>
                <w:sz w:val="20"/>
                <w:szCs w:val="20"/>
                <w:color w:val="auto"/>
              </w:rPr>
            </w:pPr>
            <w:r>
              <w:rPr>
                <w:rFonts w:ascii="Arial" w:cs="Arial" w:eastAsia="Arial" w:hAnsi="Arial"/>
                <w:sz w:val="14"/>
                <w:szCs w:val="14"/>
                <w:b w:val="1"/>
                <w:bCs w:val="1"/>
                <w:color w:val="auto"/>
              </w:rPr>
              <w:t>11,402</w:t>
            </w:r>
          </w:p>
        </w:tc>
        <w:tc>
          <w:tcPr>
            <w:tcW w:w="140" w:type="dxa"/>
            <w:vAlign w:val="bottom"/>
            <w:gridSpan w:val="2"/>
            <w:vMerge w:val="restart"/>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3"/>
            <w:vMerge w:val="restart"/>
            <w:shd w:val="clear" w:color="auto" w:fill="CCEEFF"/>
          </w:tcPr>
          <w:p>
            <w:pPr>
              <w:jc w:val="right"/>
              <w:ind w:right="100"/>
              <w:spacing w:after="0" w:line="135" w:lineRule="exact"/>
              <w:rPr>
                <w:sz w:val="20"/>
                <w:szCs w:val="20"/>
                <w:color w:val="auto"/>
              </w:rPr>
            </w:pPr>
            <w:r>
              <w:rPr>
                <w:rFonts w:ascii="Arial" w:cs="Arial" w:eastAsia="Arial" w:hAnsi="Arial"/>
                <w:sz w:val="14"/>
                <w:szCs w:val="14"/>
                <w:b w:val="1"/>
                <w:bCs w:val="1"/>
                <w:color w:val="auto"/>
              </w:rPr>
              <w:t>67</w:t>
            </w:r>
          </w:p>
        </w:tc>
        <w:tc>
          <w:tcPr>
            <w:tcW w:w="260" w:type="dxa"/>
            <w:vAlign w:val="bottom"/>
            <w:gridSpan w:val="2"/>
            <w:vMerge w:val="restart"/>
            <w:shd w:val="clear" w:color="auto" w:fill="CCEEFF"/>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shd w:val="clear" w:color="auto" w:fill="CCEEFF"/>
          </w:tcPr>
          <w:p>
            <w:pPr>
              <w:jc w:val="right"/>
              <w:ind w:right="220"/>
              <w:spacing w:after="0" w:line="135" w:lineRule="exact"/>
              <w:rPr>
                <w:sz w:val="20"/>
                <w:szCs w:val="20"/>
                <w:color w:val="auto"/>
              </w:rPr>
            </w:pPr>
            <w:r>
              <w:rPr>
                <w:rFonts w:ascii="Arial" w:cs="Arial" w:eastAsia="Arial" w:hAnsi="Arial"/>
                <w:sz w:val="14"/>
                <w:szCs w:val="14"/>
                <w:b w:val="1"/>
                <w:bCs w:val="1"/>
                <w:color w:val="auto"/>
              </w:rPr>
              <w:t>(220,359)</w:t>
            </w:r>
          </w:p>
        </w:tc>
        <w:tc>
          <w:tcPr>
            <w:tcW w:w="1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line="135" w:lineRule="exact"/>
              <w:rPr>
                <w:sz w:val="20"/>
                <w:szCs w:val="20"/>
                <w:color w:val="auto"/>
              </w:rPr>
            </w:pPr>
            <w:r>
              <w:rPr>
                <w:rFonts w:ascii="Arial" w:cs="Arial" w:eastAsia="Arial" w:hAnsi="Arial"/>
                <w:sz w:val="14"/>
                <w:szCs w:val="14"/>
                <w:b w:val="1"/>
                <w:bCs w:val="1"/>
                <w:color w:val="auto"/>
              </w:rPr>
              <w:t>(208,878)</w:t>
            </w:r>
          </w:p>
        </w:tc>
        <w:tc>
          <w:tcPr>
            <w:tcW w:w="0" w:type="dxa"/>
            <w:vAlign w:val="bottom"/>
          </w:tcPr>
          <w:p>
            <w:pPr>
              <w:spacing w:after="0" w:line="20" w:lineRule="exact"/>
              <w:rPr>
                <w:sz w:val="1"/>
                <w:szCs w:val="1"/>
                <w:color w:val="auto"/>
              </w:rPr>
            </w:pPr>
          </w:p>
        </w:tc>
      </w:tr>
      <w:tr>
        <w:trPr>
          <w:trHeight w:val="108"/>
        </w:trPr>
        <w:tc>
          <w:tcPr>
            <w:tcW w:w="3120" w:type="dxa"/>
            <w:vAlign w:val="bottom"/>
            <w:vMerge w:val="continue"/>
            <w:shd w:val="clear" w:color="auto" w:fill="CCEEFF"/>
          </w:tcPr>
          <w:p>
            <w:pPr>
              <w:spacing w:after="0"/>
              <w:rPr>
                <w:sz w:val="9"/>
                <w:szCs w:val="9"/>
                <w:color w:val="auto"/>
              </w:rPr>
            </w:pPr>
          </w:p>
        </w:tc>
        <w:tc>
          <w:tcPr>
            <w:tcW w:w="980" w:type="dxa"/>
            <w:vAlign w:val="bottom"/>
            <w:gridSpan w:val="4"/>
            <w:vMerge w:val="continue"/>
            <w:shd w:val="clear" w:color="auto" w:fill="CCEEFF"/>
          </w:tcPr>
          <w:p>
            <w:pPr>
              <w:spacing w:after="0"/>
              <w:rPr>
                <w:sz w:val="9"/>
                <w:szCs w:val="9"/>
                <w:color w:val="auto"/>
              </w:rPr>
            </w:pPr>
          </w:p>
        </w:tc>
        <w:tc>
          <w:tcPr>
            <w:tcW w:w="660" w:type="dxa"/>
            <w:vAlign w:val="bottom"/>
            <w:tcBorders>
              <w:right w:val="single" w:sz="8" w:color="CCEEFF"/>
            </w:tcBorders>
            <w:gridSpan w:val="3"/>
            <w:vMerge w:val="continue"/>
            <w:shd w:val="clear" w:color="auto" w:fill="CCEEFF"/>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60" w:type="dxa"/>
            <w:vAlign w:val="bottom"/>
            <w:gridSpan w:val="5"/>
            <w:vMerge w:val="continue"/>
            <w:shd w:val="clear" w:color="auto" w:fill="CCEEFF"/>
          </w:tcPr>
          <w:p>
            <w:pPr>
              <w:spacing w:after="0"/>
              <w:rPr>
                <w:sz w:val="9"/>
                <w:szCs w:val="9"/>
                <w:color w:val="auto"/>
              </w:rPr>
            </w:pPr>
          </w:p>
        </w:tc>
        <w:tc>
          <w:tcPr>
            <w:tcW w:w="400" w:type="dxa"/>
            <w:vAlign w:val="bottom"/>
            <w:gridSpan w:val="3"/>
            <w:vMerge w:val="continue"/>
            <w:shd w:val="clear" w:color="auto" w:fill="CCEEFF"/>
          </w:tcPr>
          <w:p>
            <w:pPr>
              <w:spacing w:after="0"/>
              <w:rPr>
                <w:sz w:val="9"/>
                <w:szCs w:val="9"/>
                <w:color w:val="auto"/>
              </w:rPr>
            </w:pPr>
          </w:p>
        </w:tc>
        <w:tc>
          <w:tcPr>
            <w:tcW w:w="320" w:type="dxa"/>
            <w:vAlign w:val="bottom"/>
            <w:gridSpan w:val="3"/>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740" w:type="dxa"/>
            <w:vAlign w:val="bottom"/>
            <w:gridSpan w:val="3"/>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980" w:type="dxa"/>
            <w:vAlign w:val="bottom"/>
            <w:gridSpan w:val="3"/>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ind w:right="5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351,844,340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$501,881</w:t>
            </w:r>
          </w:p>
        </w:tc>
        <w:tc>
          <w:tcPr>
            <w:tcW w:w="60" w:type="dxa"/>
            <w:vAlign w:val="bottom"/>
          </w:tcPr>
          <w:p>
            <w:pPr>
              <w:spacing w:after="0"/>
              <w:rPr>
                <w:sz w:val="12"/>
                <w:szCs w:val="12"/>
                <w:color w:val="auto"/>
              </w:rPr>
            </w:pPr>
          </w:p>
        </w:tc>
        <w:tc>
          <w:tcPr>
            <w:tcW w:w="240" w:type="dxa"/>
            <w:vAlign w:val="bottom"/>
            <w:tcBorders>
              <w:right w:val="single" w:sz="8" w:color="CCEEFF"/>
            </w:tcBorders>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130,312,838</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jc w:val="right"/>
              <w:ind w:right="17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39,769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(253,524)</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(213,717)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1,904,186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1,410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319,883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spacing w:after="0"/>
              <w:rPr>
                <w:sz w:val="20"/>
                <w:szCs w:val="20"/>
                <w:color w:val="auto"/>
              </w:rPr>
            </w:pPr>
            <w:r>
              <w:rPr>
                <w:rFonts w:ascii="Arial" w:cs="Arial" w:eastAsia="Arial" w:hAnsi="Arial"/>
                <w:sz w:val="14"/>
                <w:szCs w:val="14"/>
                <w:color w:val="auto"/>
              </w:rPr>
              <w:t>(18,567)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(12,838)</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(12,838)</w:t>
            </w:r>
          </w:p>
        </w:tc>
        <w:tc>
          <w:tcPr>
            <w:tcW w:w="0" w:type="dxa"/>
            <w:vAlign w:val="bottom"/>
          </w:tcPr>
          <w:p>
            <w:pPr>
              <w:spacing w:after="0"/>
              <w:rPr>
                <w:sz w:val="1"/>
                <w:szCs w:val="1"/>
                <w:color w:val="auto"/>
              </w:rPr>
            </w:pPr>
          </w:p>
        </w:tc>
      </w:tr>
      <w:tr>
        <w:trPr>
          <w:trHeight w:val="28"/>
        </w:trPr>
        <w:tc>
          <w:tcPr>
            <w:tcW w:w="312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312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Balance as of March 31, 2021 (unaudited)</w:t>
            </w:r>
          </w:p>
        </w:tc>
        <w:tc>
          <w:tcPr>
            <w:tcW w:w="84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2"/>
                <w:szCs w:val="12"/>
                <w:b w:val="1"/>
                <w:bCs w:val="1"/>
                <w:color w:val="auto"/>
              </w:rPr>
              <w:t>351,844,340</w:t>
            </w: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501,881</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920" w:type="dxa"/>
            <w:vAlign w:val="bottom"/>
            <w:gridSpan w:val="4"/>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132,518,340</w:t>
            </w: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178"/>
              <w:spacing w:after="0" w:line="108"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2"/>
                <w:szCs w:val="12"/>
                <w:b w:val="1"/>
                <w:bCs w:val="1"/>
                <w:color w:val="auto"/>
              </w:rPr>
              <w:t>13</w:t>
            </w:r>
          </w:p>
        </w:tc>
        <w:tc>
          <w:tcPr>
            <w:tcW w:w="80" w:type="dxa"/>
            <w:vAlign w:val="bottom"/>
            <w:shd w:val="clear" w:color="auto" w:fill="CCEEFF"/>
          </w:tcPr>
          <w:p>
            <w:pPr>
              <w:spacing w:after="0"/>
              <w:rPr>
                <w:sz w:val="9"/>
                <w:szCs w:val="9"/>
                <w:color w:val="auto"/>
              </w:rPr>
            </w:pPr>
          </w:p>
        </w:tc>
        <w:tc>
          <w:tcPr>
            <w:tcW w:w="220" w:type="dxa"/>
            <w:vAlign w:val="bottom"/>
            <w:gridSpan w:val="3"/>
            <w:shd w:val="clear" w:color="auto" w:fill="CCEEFF"/>
          </w:tcPr>
          <w:p>
            <w:pPr>
              <w:ind w:left="80"/>
              <w:spacing w:after="0" w:line="108"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52,794</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color w:val="auto"/>
              </w:rPr>
              <w:t>(20)</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2"/>
                <w:szCs w:val="12"/>
                <w:b w:val="1"/>
                <w:bCs w:val="1"/>
                <w:color w:val="auto"/>
              </w:rPr>
              <w:t>(266,362)</w:t>
            </w:r>
          </w:p>
        </w:tc>
        <w:tc>
          <w:tcPr>
            <w:tcW w:w="16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(213,575)</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-2031365</wp:posOffset>
            </wp:positionV>
            <wp:extent cx="342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-110490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6080" w:type="dxa"/>
            <w:vAlign w:val="bottom"/>
          </w:tcPr>
          <w:p>
            <w:pPr>
              <w:spacing w:after="0"/>
              <w:rPr>
                <w:sz w:val="12"/>
                <w:szCs w:val="12"/>
                <w:color w:val="auto"/>
              </w:rPr>
            </w:pPr>
          </w:p>
        </w:tc>
        <w:tc>
          <w:tcPr>
            <w:tcW w:w="7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center"/>
              <w:ind w:left="612"/>
              <w:spacing w:after="0" w:line="142" w:lineRule="exact"/>
              <w:rPr>
                <w:sz w:val="20"/>
                <w:szCs w:val="20"/>
                <w:color w:val="auto"/>
              </w:rPr>
            </w:pPr>
            <w:r>
              <w:rPr>
                <w:rFonts w:ascii="Arial" w:cs="Arial" w:eastAsia="Arial" w:hAnsi="Arial"/>
                <w:sz w:val="14"/>
                <w:szCs w:val="14"/>
                <w:b w:val="1"/>
                <w:bCs w:val="1"/>
                <w:color w:val="auto"/>
                <w:w w:val="94"/>
              </w:rPr>
              <w:t>(unaudited)</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 (58,200)</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(47,695)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   (14,530)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loss to net cash (used in) / provided by operating</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3,080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21,757</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28,211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Non-cash operating leases expense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1,487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2,029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(Accretion) amortization of discount on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method investment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1,890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(2,812)</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(4,485)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(2,961)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(9,400)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(12,055)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(5,363)</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1,613</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(839)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 payable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18,631</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48,442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6,226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14,122</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17,407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34,997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(1,515)</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(4,908)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(2,375)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(528,300)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(216,200)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(18,929)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Sales of marketable securities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71,981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433,640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89,032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40,463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equity method investment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(100,318)</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(57,562)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8,760</w:t>
            </w: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redeemable convertible preferred stock, net of</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142,990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166,942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bank loan and related fees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common stock, including early exercised stock</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3,224</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(2,708)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early exercised unvested options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167,378</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23,303</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160,089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12,811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27,197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44,841</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68,144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68,144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228,233</w:t>
            </w:r>
          </w:p>
        </w:tc>
      </w:tr>
      <w:tr>
        <w:trPr>
          <w:trHeight w:val="372"/>
        </w:trPr>
        <w:tc>
          <w:tcPr>
            <w:tcW w:w="6080" w:type="dxa"/>
            <w:vAlign w:val="bottom"/>
          </w:tcPr>
          <w:p>
            <w:pPr>
              <w:ind w:left="5380"/>
              <w:spacing w:after="0"/>
              <w:rPr>
                <w:sz w:val="20"/>
                <w:szCs w:val="20"/>
                <w:color w:val="auto"/>
              </w:rPr>
            </w:pPr>
            <w:r>
              <w:rPr>
                <w:rFonts w:ascii="Arial" w:cs="Arial" w:eastAsia="Arial" w:hAnsi="Arial"/>
                <w:sz w:val="18"/>
                <w:szCs w:val="18"/>
                <w:color w:val="auto"/>
              </w:rPr>
              <w:t>F-8</w:t>
            </w: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96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220,433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247,630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255,430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Deemed dividend upon the exchange for Series A and Series C redeemable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convertible preferred stock for Series E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64,149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Deferred offering costs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Generally Accepted Accounting Principles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Unaudited Interim Consolidated Financial Information</w:t>
      </w:r>
    </w:p>
    <w:p>
      <w:pPr>
        <w:spacing w:after="0" w:line="117"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The accompanying interim consolidated balance sheet as of March 31, 2021, the interim consolidated statements of operations, comprehensive loss, cash flows, and of redeemable convertible preferred stock and stockholders’ deficit for the three months ended March 31,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which include only normal recurring adjustments necessary for the fair statement of the Company’s financial position as of March 31, 2021 and the results of operations and cash flows for the three months ended March 31, 2020 and 2021. The results of operations for the three months ended March 31, 2021 are not necessarily indicative of the results to be expected for the full year or any other future interim or annual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preparation of the financial statements requires management to make estimates and assumptions relating to reported amounts of assets and liabilities,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 lease liabilities, the fair value of equity awards and warrants, and share-based compensation. Actual results could differ materially from these estimates.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has incurred net losses since its inception. For the year ended December 31, 2020, the Company incurred a net loss of $47.7 million, and had an accumulated deficit of $253.5 million as of December 31, 2020. For the three months ended March 31, 2021, the Company incurred a net loss of $12.8 million, and had an accumulated deficit of $266.4 million as of March 31, 2021. The Company expects losses from operations to continue for the foreseeable future as it incurs costs and expenses related to acquiring new Customers, developing its brand, expanding into new geographies, developing the existing Platform infrastructure, and creating new products for Customers.</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its cash and cash equivalents of $220.4 million and marketable securities of $149.9 million as of December 31, 2020, and cash and cash equivalents of $247.6 million and marketable securities of $140.1 million as of March 31, 2021, are sufficient to fund its operations through at least the next twelve months from the issuance of these financial statements.</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Since then, the COVID-19 pandemic has continued to spread throughout the United States and the world.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(i) providing access to the Company’s payment processing Platform and (ii)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Company’s Platform service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66"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7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Revenue Share is generally computed as a percentage of the Interchange Fees earned or processing volume and is paid to Customers monthly.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and the three months ended March 31, 2020 and 2021, revenue outside of the United States, based on the billing address of the Customer, was not material.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and March 31, 2021, long-lived assets located outside of the United States were not material.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and 2020 and March 31, 2021, the allowance for doubtful accounts receivable was $0.2 million, $0.1 million, and $0.2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Offering Costs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initial public offering (“IPO”). Upon consummation of the IPO, the deferred offering costs will be reclassified to stockholders’ equity (deficit) and recorded net against the proceeds from the offering. In the event the IPO is aborted, deferred offering costs will be expensed. The Company capitalized $3.1 million and $4.7 million of deferred offering costs within other assets, noncurrent in the consolidated balance sheet as of December 31, 2020 and March 31, 2021. No offering costs were deferred as of December 31,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2019 and 2020, and the three months ended March 31, 2021, the Company did not recognize any impairment of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2019 and 2020, and the three months ended March 31, 2020 and 2021, were $1.1 million, $1.4 million, $0.3 million, and $0.4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$25.2 million, $34.0 million, $7.6 million, and $13.5 million for the years ended December 31, 2019 and 2020, and the three months ended March 31, 2020 and 2021, respectively. Research and development costs are expensed as incurred and are included in compensation and benefits and technology expenses in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for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Commencing in 2020, the Company grants restricted stock units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The Company measures the RSU based on the fair value of the underlying common stock on the grant date. As of December 31, 2020, and March 31, 2021, no share-based compensation expense had been recognized for RSUs because the liquidity condition had not occurred. In the period in which a liquidity condition is satisfied, the Company will record cumulative share-based compensation expense using the accelerated attribution method for those RSUs for which the service condition has been satisfied prior to the occurrence of the liquidity event. The Company will record the remaining unrecognized share-based compensation expense over the remainder of the requisite service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the Company records share-based compensation expense for the difference between the price paid and the estimated fair value on the date of the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Adopted</w:t>
      </w:r>
      <w:r>
        <w:rPr>
          <w:rFonts w:ascii="Arial" w:cs="Arial" w:eastAsia="Arial" w:hAnsi="Arial"/>
          <w:sz w:val="18"/>
          <w:szCs w:val="18"/>
          <w:b w:val="1"/>
          <w:bCs w:val="1"/>
          <w:i w:val="1"/>
          <w:iCs w:val="1"/>
          <w:color w:val="auto"/>
        </w:rPr>
        <w:t xml:space="preserve"> (unaudited)</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(the FASB) issued Accounting Standards Update No.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w:t>
      </w:r>
      <w:r>
        <w:rPr>
          <w:rFonts w:ascii="Arial" w:cs="Arial" w:eastAsia="Arial" w:hAnsi="Arial"/>
          <w:sz w:val="17"/>
          <w:szCs w:val="17"/>
          <w:color w:val="auto"/>
        </w:rPr>
        <w:t>(Subtopic 350-40), which aligns the requirements for capitalizing implementation costs incurred in a hosting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Company adopted the new standard as of January 1, 2021. The adoption of this ASU did not have a material impact on the Company’s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 discussed below reflects this election.</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replaces the incurred loss model with the current expected credit loss, or CECL model to estimate credit losses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4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$ 137,418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$ 282,286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$ 46,757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$ 106,233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services revenue</w:t>
            </w:r>
          </w:p>
        </w:tc>
        <w:tc>
          <w:tcPr>
            <w:tcW w:w="36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5,849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8,006</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1,631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1,750</w:t>
            </w:r>
          </w:p>
        </w:tc>
      </w:tr>
      <w:tr>
        <w:trPr>
          <w:trHeight w:val="27"/>
        </w:trPr>
        <w:tc>
          <w:tcPr>
            <w:tcW w:w="37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$ 143,267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$ 290,292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$ 48,388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$ 107,983</w:t>
            </w:r>
          </w:p>
        </w:tc>
      </w:tr>
      <w:tr>
        <w:trPr>
          <w:trHeight w:val="20"/>
        </w:trPr>
        <w:tc>
          <w:tcPr>
            <w:tcW w:w="3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4580" w:type="dxa"/>
            <w:vAlign w:val="bottom"/>
            <w:gridSpan w:val="3"/>
          </w:tcPr>
          <w:p>
            <w:pPr>
              <w:jc w:val="right"/>
              <w:ind w:right="2660"/>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provide information about contract assets and deferred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balance</w:t>
            </w:r>
          </w:p>
        </w:tc>
        <w:tc>
          <w:tcPr>
            <w:tcW w:w="52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Balance sheet line reference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36"/>
        </w:trPr>
        <w:tc>
          <w:tcPr>
            <w:tcW w:w="3380" w:type="dxa"/>
            <w:vAlign w:val="bottom"/>
            <w:gridSpan w:val="2"/>
            <w:vMerge w:val="continue"/>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Contract assets—non-current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 assets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Deferred revenue—current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revenue—non-current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deferred revenue</w:t>
            </w: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3,606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16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36"/>
        </w:trPr>
        <w:tc>
          <w:tcPr>
            <w:tcW w:w="7700" w:type="dxa"/>
            <w:vAlign w:val="bottom"/>
            <w:gridSpan w:val="2"/>
            <w:vMerge w:val="continue"/>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auto"/>
            </w:tcBorders>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$ 12,848</w:t>
            </w:r>
          </w:p>
        </w:tc>
        <w:tc>
          <w:tcPr>
            <w:tcW w:w="0" w:type="dxa"/>
            <w:vAlign w:val="bottom"/>
          </w:tcPr>
          <w:p>
            <w:pPr>
              <w:spacing w:after="0"/>
              <w:rPr>
                <w:sz w:val="1"/>
                <w:szCs w:val="1"/>
                <w:color w:val="auto"/>
              </w:rPr>
            </w:pPr>
          </w:p>
        </w:tc>
      </w:tr>
      <w:tr>
        <w:trPr>
          <w:trHeight w:val="202"/>
        </w:trPr>
        <w:tc>
          <w:tcPr>
            <w:tcW w:w="77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Revenue recognized in the period from amounts included in deferred revenue at the beginning of the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(375)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Balance at the end of the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the customer’s utilization of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December 31, 2019</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$ 18,049</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25,014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$ 95,156</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79"/>
              </w:rPr>
              <w:t>74</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$125,823</w:t>
            </w:r>
          </w:p>
        </w:tc>
        <w:tc>
          <w:tcPr>
            <w:tcW w:w="4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47</w:t>
            </w:r>
          </w:p>
        </w:tc>
        <w:tc>
          <w:tcPr>
            <w:tcW w:w="6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gridSpan w:val="2"/>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8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149,791</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149,903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1100" w:type="dxa"/>
            <w:vAlign w:val="bottom"/>
            <w:gridSpan w:val="6"/>
          </w:tcPr>
          <w:p>
            <w:pPr>
              <w:jc w:val="right"/>
              <w:ind w:right="440"/>
              <w:spacing w:after="0" w:line="158"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40" w:type="dxa"/>
            <w:vAlign w:val="bottom"/>
            <w:gridSpan w:val="7"/>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04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3"/>
                <w:szCs w:val="13"/>
                <w:b w:val="1"/>
                <w:bCs w:val="1"/>
                <w:color w:val="auto"/>
                <w:w w:val="73"/>
              </w:rPr>
              <w:t>(unaudited)</w:t>
            </w:r>
          </w:p>
        </w:tc>
        <w:tc>
          <w:tcPr>
            <w:tcW w:w="4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82"/>
              </w:rPr>
              <w:t>$ 115,507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115,553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7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5,469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68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140,064</w:t>
            </w: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140,145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had four, six, and four separate marketable securities in unrealized loss positions as of December 31, 2019 and 2020, and March 31, 2021, respectively. The Company did not identify any marketable securities that were other-than-temporarily impaired as of December 31, 2019 and 2020, and March 31,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62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$ 84,088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$ 84,149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$ 95,156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$ 95,225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3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19,237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25,040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32,884</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79,652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116,763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liabilities</w:t>
            </w:r>
          </w:p>
        </w:tc>
        <w:tc>
          <w:tcPr>
            <w:tcW w:w="3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3320" w:type="dxa"/>
            <w:vAlign w:val="bottom"/>
            <w:gridSpan w:val="2"/>
          </w:tcPr>
          <w:p>
            <w:pPr>
              <w:jc w:val="right"/>
              <w:ind w:right="2187"/>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203,592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$ 203,592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125,864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14,733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329,456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$ 353,495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left="53"/>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212,476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$ 212,476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115,553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115,553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11,728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328,029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24,592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$ 352,621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43.7%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B redeemable convertible preferred stock</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$12.66</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864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1"/>
                <w:szCs w:val="11"/>
                <w:color w:val="auto"/>
              </w:rPr>
            </w:pPr>
          </w:p>
        </w:tc>
      </w:tr>
      <w:tr>
        <w:trPr>
          <w:trHeight w:val="142"/>
        </w:trPr>
        <w:tc>
          <w:tcPr>
            <w:tcW w:w="8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1,948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2,310</w:t>
            </w:r>
          </w:p>
        </w:tc>
      </w:tr>
      <w:tr>
        <w:trPr>
          <w:trHeight w:val="27"/>
        </w:trPr>
        <w:tc>
          <w:tcPr>
            <w:tcW w:w="8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2,517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4,827</w:t>
            </w: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2019 and 2020, and the three months ended March 31, 2021.</w:t>
      </w:r>
    </w:p>
    <w:p>
      <w:pPr>
        <w:spacing w:after="0" w:line="274" w:lineRule="exact"/>
        <w:rPr>
          <w:sz w:val="20"/>
          <w:szCs w:val="20"/>
          <w:color w:val="auto"/>
        </w:rPr>
      </w:pPr>
    </w:p>
    <w:p>
      <w:pPr>
        <w:ind w:left="120" w:right="7620" w:hanging="4"/>
        <w:spacing w:after="0" w:line="425" w:lineRule="auto"/>
        <w:tabs>
          <w:tab w:leader="none" w:pos="3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Certain Balance Sheet Components Prepaid Expenses and Other Current Assets</w:t>
      </w:r>
    </w:p>
    <w:p>
      <w:pPr>
        <w:ind w:left="1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Card program deposits</w:t>
            </w:r>
          </w:p>
        </w:tc>
        <w:tc>
          <w:tcPr>
            <w:tcW w:w="5020" w:type="dxa"/>
            <w:vAlign w:val="bottom"/>
            <w:gridSpan w:val="3"/>
          </w:tcPr>
          <w:p>
            <w:pPr>
              <w:jc w:val="right"/>
              <w:ind w:right="26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current assets</w:t>
            </w:r>
          </w:p>
        </w:tc>
        <w:tc>
          <w:tcPr>
            <w:tcW w:w="4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r>
      <w:tr>
        <w:trPr>
          <w:trHeight w:val="27"/>
        </w:trPr>
        <w:tc>
          <w:tcPr>
            <w:tcW w:w="4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11,290</w:t>
            </w:r>
          </w:p>
        </w:tc>
      </w:tr>
      <w:tr>
        <w:trPr>
          <w:trHeight w:val="20"/>
        </w:trPr>
        <w:tc>
          <w:tcPr>
            <w:tcW w:w="4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5020" w:type="dxa"/>
            <w:vAlign w:val="bottom"/>
            <w:gridSpan w:val="3"/>
          </w:tcPr>
          <w:p>
            <w:pPr>
              <w:jc w:val="right"/>
              <w:ind w:right="3680"/>
              <w:spacing w:after="0"/>
              <w:rPr>
                <w:sz w:val="20"/>
                <w:szCs w:val="20"/>
                <w:color w:val="auto"/>
              </w:rPr>
            </w:pPr>
            <w:r>
              <w:rPr>
                <w:rFonts w:ascii="Arial" w:cs="Arial" w:eastAsia="Arial" w:hAnsi="Arial"/>
                <w:sz w:val="18"/>
                <w:szCs w:val="18"/>
                <w:color w:val="auto"/>
              </w:rPr>
              <w:t>F-23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8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7,499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1,345</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19,376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(6,572)</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(9,899)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(10,608)</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9,152</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and 2020, and three months ended March 31, 2020 and 2021 was $3.1 million, $3.5 million, $0.9 million, and $0.9 million respectively.</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the years ended December 31, 2019 and 2020, and the three months ended March 31, 2021, the Company did not capitalize any internal-use software costs because development costs meeting capitalization criteria were not material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$10,475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$24,529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7,617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14,078</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8,969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contract contingencies and processing errors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684</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3,983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6,343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1,237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5,824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6,511</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31,673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60,545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4560" w:type="dxa"/>
            <w:vAlign w:val="bottom"/>
            <w:gridSpan w:val="3"/>
          </w:tcPr>
          <w:p>
            <w:pPr>
              <w:ind w:left="6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8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$2,922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8,865</w:t>
            </w:r>
          </w:p>
        </w:tc>
        <w:tc>
          <w:tcPr>
            <w:tcW w:w="1040" w:type="dxa"/>
            <w:vAlign w:val="bottom"/>
          </w:tcPr>
          <w:p>
            <w:pPr>
              <w:jc w:val="right"/>
              <w:spacing w:after="0"/>
              <w:rPr>
                <w:sz w:val="20"/>
                <w:szCs w:val="20"/>
                <w:color w:val="auto"/>
              </w:rPr>
            </w:pPr>
            <w:r>
              <w:rPr>
                <w:rFonts w:ascii="Arial" w:cs="Arial" w:eastAsia="Arial" w:hAnsi="Arial"/>
                <w:sz w:val="18"/>
                <w:szCs w:val="18"/>
                <w:color w:val="auto"/>
              </w:rPr>
              <w:t>$8,060</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8"/>
                <w:szCs w:val="18"/>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10,452</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operating lease costs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42"/>
        </w:trPr>
        <w:tc>
          <w:tcPr>
            <w:tcW w:w="37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(unaudited)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lease cost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Short-term lease cost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7"/>
        </w:trPr>
        <w:tc>
          <w:tcPr>
            <w:tcW w:w="3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r>
      <w:tr>
        <w:trPr>
          <w:trHeight w:val="20"/>
        </w:trPr>
        <w:tc>
          <w:tcPr>
            <w:tcW w:w="3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Weighted average remaining operating lease term (in years)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6.1</w:t>
            </w: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9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2021 or remainder of 2021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4,081</w:t>
            </w:r>
          </w:p>
        </w:tc>
        <w:tc>
          <w:tcPr>
            <w:tcW w:w="3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22,283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18,220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17,534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w w:val="95"/>
              </w:rPr>
              <w:t>Other information related to the Company’s operating leases were as follows:</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1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3,185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2,954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of December 31, 2020, and March 31, 2021, the Company had non-cancellable purchase commitments with certain service providers and Issuing Banks totaling approximately $13.6 million and $9.9 million, respectively, payable over 4 and 5 years, respectively. These purchase obligations generally represent minimum commitments for cloud-computing services and Issuing Bank processing fees over the fixed, non-cancellable respective contract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401(k) plan matching contribution vests after one year of service. During the years ended December 31, 2019 and 2020, and the three months ended March 31, 2020 and 2021, the Company contributed $1.1 million, $1.9 million, $0.5 million, and $0.8 million to its defined contribution plans,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and 2020, and March 31, 2021, there were no legal 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 Company believes its service offerings are not subject to tax in these jurisdictions, the Company is working with the respective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state and local tax authorities to confirm the Company’s conclusions. The Company has not recorded a liability associated with these matters as of December 31, 2019 and 2020 and March 31, 2021 as it believes it is not probable that the indirect taxes are applicable to the Company. In the event that adverse information is received in response to the Company’s state inquiries, and the Company chooses not to appeal, a potential range of tax liabilities would be $1.2 million to $4.8 million as of December 31, 2020, and $1.4 million to $5.6 million as of March 31, 2021.</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2020, the Company sold 20,989,756 shares of Series E-1 redeemable convertible preferred stock at a purchase price of $8.337 per share, for an aggregate purchase price of $175.0 million. Offering costs of $8.1 million were paid and recorded as an offset to these proceeds.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62,114,648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336,843,578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8"/>
                <w:szCs w:val="8"/>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price of $3.891 per share. The Company did not receive cash for the issuance of these shares of Series E redeemable convertible preferred stock. The Company recorded $13.7 million in share-based compensation expense in 2019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 on the consolidated balance sheet. There were no such transactions in 2020 or during the three months ended March 31,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Additionally during April 2019, the Company exchanged 10,771,746 shares and 6,425,413 shares of Series A and Series C redeemable convertible preferred stock, respectively, owned by non-employee stockholders, for 17,197,159 shares of Series E redeemable convertible preferred stock. Third-party investors purchased the Series A and Series C redeemable convertible preferred stock from these non-employee stockholders for the Series E redeemable convertible preferred stock price of $3.891 per share. The Company did not receive cash for the issuance of these shares of Series E redeemable convertible preferred stock. The amount paid by the third-party investors in excess of the carrying value of Series A and Series C redeemable convertible preferred stock was considered a deemed dividend provided by the Company to the non-employee selling stockholders. The Company recorded a deemed dividend of $64.1 million in 2019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 There were no such transactions in 2020 or during the three months ended March 31, 2021.</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Conversion of Series A and Series C redeemable convertible preferred stock to common stock</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During August 2020, the Company converted 5,988,994 shares of Series A and Series C redeemable convertible preferred stock, owned by non-employee stockholders, for the same number of shares of common stock, at the request of the holders based on the conversion terms specified in the original agreements. The Company did not receive cash for the issuance of these shares of common stock. The carrying value of the converted Series A and Series C redeemable convertible preferred stock of $0.8 million was reclassified to common stock par value and additional paid-in-capital upon conversion. The shares of Series A and Series C redeemable convertible preferred stock that were converted were retired and have been removed from the authorized, issued and outstanding number of shares on the consolidated balance sheets and consolidated statements of redeemable convertible preferred stock and stockholders’ deficit as of December 31, 2020.</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holders of redeemable convertible preferred stock at December 31, 2020 and March 31, 2021 have various rights and preferences as follows:</w:t>
      </w:r>
    </w:p>
    <w:p>
      <w:pPr>
        <w:spacing w:after="0" w:line="23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—The holders of redeemable convertible preferred stock have no voluntary rights to redeem shares. The redeemable convertible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have not been accreted to their redemption values as the Liquidation Event is not considered probable of occurring. Subsequent adjustments of the carrying values to redemption values will be made only if and when it becomes probable the preferred shares will become redeemable.</w:t>
      </w:r>
    </w:p>
    <w:p>
      <w:pPr>
        <w:spacing w:after="0" w:line="14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E-1, Series E, Series D-1,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D redeemable convertible preferred stock shall be entitled to receive a payout of $8.337, $3.891, $1.205, and $1.205 per share, respectively, plus any declared and unpaid dividends, prior and in preference to any distributions made to the holders of Series C, Series B, and Series A redeemable convertible preferred stock and to the holders of common stock.</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the assets and funds distributed among the holders of the Series E-1,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E-1,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After the payment of the full liquidation preference of the Series E-1,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color w:val="auto"/>
        </w:rPr>
        <w:t>Holders of Series E-1, Series E, Series D-1, and Series D redeemable convertible preferred stock, prior and in preference to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C, Series B, and Series A redeemable convertible preferred stock, are entitled to receive cash dividends at a rate of 8.0% of their original issue price.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E-1,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After the holders of the Series C, Series B, and Series A redeemable convertible preferred stock have received their full dividend preference, any remaining dividends shall be distributed among all holders of common stock and all holders of Series E-1,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jc w:val="both"/>
        <w:ind w:left="440" w:right="20" w:firstLine="6"/>
        <w:spacing w:after="0" w:line="257"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 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79" w:lineRule="exact"/>
        <w:rPr>
          <w:rFonts w:ascii="Arial" w:cs="Arial" w:eastAsia="Arial" w:hAnsi="Arial"/>
          <w:sz w:val="18"/>
          <w:szCs w:val="18"/>
          <w:color w:val="auto"/>
        </w:rPr>
      </w:pPr>
    </w:p>
    <w:p>
      <w:pPr>
        <w:jc w:val="both"/>
        <w:ind w:left="440" w:firstLine="6"/>
        <w:spacing w:after="0" w:line="254" w:lineRule="auto"/>
        <w:tabs>
          <w:tab w:leader="none" w:pos="7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(iii) with respect to the Series E redeemable convertible preferred stock only, the holders of a majority of the outstanding shares of Series E redeemable convertible preferred stock only, voting as a separate series and (iv) with respect to the Series E-1 convertible preferred stock only, the holders of a majority of the outstanding shares of Series E-1 redeemable convertible preferred stock, voting as a separate series.</w:t>
      </w:r>
    </w:p>
    <w:p>
      <w:pPr>
        <w:spacing w:after="0" w:line="19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2019 and 2020, and March 31, 2021, the conversion prices per share for all series of redeemable convertible preferred stock were equal to the original issue prices, and the rate at which each share would convert into common stock was one-for-one.</w:t>
      </w:r>
    </w:p>
    <w:p>
      <w:pPr>
        <w:spacing w:after="0" w:line="14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and March 31, 2021, the Company was authorized to issue up to 897,047,950 of shares of its capital stock, of which 545,000,000 shares have been designated as common stock.</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Series E and Series E-1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as of: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48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83,471,731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58,204,440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60,434,352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28,734,078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33,185,680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66,824,303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20,989,756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203,610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1,602,414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2,752,414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23,421,374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4,430,336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7,683,069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7"/>
        </w:trPr>
        <w:tc>
          <w:tcPr>
            <w:tcW w:w="84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389,185,143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388,129,641</w:t>
            </w:r>
          </w:p>
        </w:tc>
      </w:tr>
      <w:tr>
        <w:trPr>
          <w:trHeight w:val="20"/>
        </w:trPr>
        <w:tc>
          <w:tcPr>
            <w:tcW w:w="8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the reserved common stock shares above, the Company committed up to 360,000 common stock shares or equivalent in cash for future issuance to fund and support the Company’s social impact initiatives over the next ten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Under the Company’s 2011 Plan, the board of directors may grant stock options, RSUs, and other share-related and performance awards that may be settled in cash, stock, or other property to employees, directors, and consultants. As of December 31, 2019 and 2020, and March 31, 2021, 88,568,905, 100,993,447, and 100,993,447 shares of common stock, respectively, are available for future grants under the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Price per</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Share</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Life (Years)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19,628,032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17,008,222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(8,529,478)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(2,947,365)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0.54</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25,159,411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6,404,800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(6,084,183)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(2,058,654)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23,421,374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248,002</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4,056,994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(2,224,069)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 (unaudited)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(921,384)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24,332,915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491,342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6,820,497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0.21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7,858,915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87,352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Vested as of March 31, 2021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7,935,395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174,810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40" w:hanging="324"/>
        <w:spacing w:after="0"/>
        <w:tabs>
          <w:tab w:leader="none" w:pos="4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these balances include all exercisable stock options regardless of vesting status.</w:t>
      </w:r>
    </w:p>
    <w:p>
      <w:pPr>
        <w:spacing w:after="0" w:line="23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2020, share-based compensation recognized for employee stock options was $28.0 million, of which $10.7 million was related to stock option grants and $17.3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three months ended March 31, 2020, share-based compensation recognized for employee stock options was $3.7 million, of which $2.3 million was related to stock option grants and $1.4 million was related to secondary market transactions between employees and certain economic interest holders.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three months ended March 31, 2021, share-based compensation recognized for employee stock options was $11.4 million, of which $5.5 million was related to stock option grants and $5.9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2019 and 2020, and the three months ended March 31, 2020 and 2021, was $1.73, $1.81, $2.77 and $12.24,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intrinsic value of options exercised during the years ended December 31, 2019 and 2020 was $21.2 million and $32.8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grant-date fair value of options vested during the years ended December 31, 2019 and 2020 was $5.2 million and $10.7 million, respectively.</w:t>
      </w:r>
    </w:p>
    <w:p>
      <w:pPr>
        <w:spacing w:after="0" w:line="23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2020, and March 31, 2021, unrecognized compensation costs related to unvested outstanding stock options was $25.7 million and $68.6 million, respectively. These costs are expected to be recognized over a period of 3.5 years and 3.8 years,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43.7%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48.1%</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46.9%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6.02</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6.02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$3.27</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7"/>
              </w:rPr>
              <w:t>$ 2.77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$ 19.32</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observed secondary sales of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61"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the Company has considered the impact on its valuation estimates from secondary transactions and given weighting to such transactions in its common stock fair value estimates. The Company considered the facts and circumstances of each secondary transaction including the different buyers and sellers, transaction volume, timing relative to the valuation date, and whether the transaction involved investors with access to the Company’s financial information.</w:t>
      </w:r>
    </w:p>
    <w:p>
      <w:pPr>
        <w:spacing w:after="0" w:line="18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 is expected to remain outstanding,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Dividends:</w:t>
      </w:r>
      <w:r>
        <w:rPr>
          <w:sz w:val="20"/>
          <w:szCs w:val="20"/>
          <w:color w:val="auto"/>
        </w:rPr>
        <w:tab/>
      </w:r>
      <w:r>
        <w:rPr>
          <w:rFonts w:ascii="Arial" w:cs="Arial" w:eastAsia="Arial" w:hAnsi="Arial"/>
          <w:sz w:val="16"/>
          <w:szCs w:val="16"/>
          <w:color w:val="auto"/>
        </w:rPr>
        <w:t>The Company does not anticipate paying any dividends in the foreseeable future and, therefore, uses an expected dividend yield of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there was $0.5 million included in accrued expenses and other liabilities related to 723,210 exercised but unvested options.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there was $0.9 million included in accrued expenses and other liabilities related to 775,186 exercised but unvested options.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During the years ended December 31, 2019 and 2020, and three months ended March 31,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$17.3 million, and $5.9 million during the years ended December 31, 2019 and 2020, and three months ended March 31, 2021, respectively. The share-based compensation amount for the year ended December 31, 2019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Commencing in 2020, the Company granted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As of December 31, 2020, and March 31, 2021, no share-based compensation expense had been recognized for RSUs because the liquidity condition had not occurred.</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a qualifying liquidity condition had occurred on December 31, 2020, the Company would have recognized $9.8 million of cumulative share-based compensation expense on that date and would have $15.7 million of unrecognized compensation cost that represents the grants that have not met the service condition as of December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If a qualifying liquidity condition had occurred on March 31, 2021, the Company would have recognized $19.2 million of cumulative share-based compensation expense on that date and would have $44.1 million of unrecognized compensation cost that represents the grants that have not met the service condition as of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RSUs activity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4,571,886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4,430,336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 (unaudited)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2,130,993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 (unaudited)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(58,126)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6,503,203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and no warrant shares vested.</w:t>
      </w:r>
    </w:p>
    <w:p>
      <w:pPr>
        <w:spacing w:after="0" w:line="18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both 2013 and 2014, in connection with prior loan agreements, the Company issued two warrants to the lender to purchase 101,805 and 101,805 shares of Series B redeemable convertible preferred stock, both at an exercise price of $0.295 per share. As of December 31, 2019 and 2020, and March 31, 2021, both warrants are fully vested and exercisable and expire in 2023. The warrants are classified as a liability in the consolidated balance sheets. The Company remeasures the warrants at each balance sheet date using the Black-Scholes option pricing model and records any changes in fair value in other income (expense),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6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2015 and 2016, in connection with prior loan agreements, the Company issued two warrants to the lender to purchase 231,348 and 621,066 shares of common stock, both at an exercise price of $0.053 per share. As of December 31, 2020 and March 31, 2021, 231,348 and 438,180 warrant shares were fully vested and exercisable. The warrants expire in 2025 and 2026, respectively. These warrants are classified as equity instruments.</w:t>
      </w:r>
    </w:p>
    <w:p>
      <w:pPr>
        <w:spacing w:after="0" w:line="14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In September 2020, the Company issued a warrant to a Customer to purchase up to 750,000 shares of the Company’s common stock over a period of five years, ending in September 2025, at an exercise price of $0.01 per share, for a total fair value of $5.7 million. The warrant becomes exercisable when the vesting conditions are met. The warrant vesting is contingent on certain performance conditions, which include the Customer reaching certain annual transaction count thresholds over the five-year contract term. This warrant is classified as an equity instrument and expires in September 2025. It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is treated as consideration payable to a Customer and recorded as a reduction to net revenue based on the probability of vesting conditions being met and the grant date fair value of the warrant. As of both December 31, 2020 and March 31, 2021, 22,500 warrants were vested and the Company recorded an immaterial amount as a reduction to net revenue during the year ended December 31, 2020, and the three months ended March 31, 2021,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the warrant was determined using the Black-Scholes option pricing model and the following assumptions as of the date of the grant:</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4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r>
    </w:tbl>
    <w:p>
      <w:pPr>
        <w:spacing w:after="0" w:line="20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March 2021, the Company issued warrants to two customers to purchase up to 1,100,000 and 50,000 shares of the Company’s common stock, respectively, over a period of four years, ending in April 2025, at an exercise price of $0.01 per share. The aggregate grant date fair value of these warrants was $26.4 million. The warrants’ vesting is contingent on certain performance conditions, which include issuing a specified percentage of new cards on the Marqeta Platform over a three-year measurement period. The warrants are treated as consideration payable to a customer and recorded as a reduction to net revenue based on the probability of vesting conditions being met and the grant date fair value of the warrants. As of March 31, 2021, no warrants had vested.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warrants was determined using the Black-Scholes option pricing model and the following weighted average assumptions: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980" w:type="dxa"/>
            <w:vAlign w:val="bottom"/>
          </w:tcPr>
          <w:p>
            <w:pPr>
              <w:jc w:val="right"/>
              <w:ind w:right="133"/>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22.97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2020</w:t>
            </w: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21"/>
              <w:spacing w:after="0"/>
              <w:rPr>
                <w:sz w:val="20"/>
                <w:szCs w:val="20"/>
                <w:color w:val="auto"/>
              </w:rPr>
            </w:pPr>
            <w:r>
              <w:rPr>
                <w:rFonts w:ascii="Arial" w:cs="Arial" w:eastAsia="Arial" w:hAnsi="Arial"/>
                <w:sz w:val="18"/>
                <w:szCs w:val="18"/>
                <w:color w:val="auto"/>
              </w:rPr>
              <w:t>(58,200)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(64,149)</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560" w:type="dxa"/>
            <w:vAlign w:val="bottom"/>
            <w:gridSpan w:val="2"/>
          </w:tcPr>
          <w:p>
            <w:pPr>
              <w:jc w:val="right"/>
              <w:ind w:right="581"/>
              <w:spacing w:after="0"/>
              <w:rPr>
                <w:sz w:val="20"/>
                <w:szCs w:val="20"/>
                <w:color w:val="auto"/>
              </w:rPr>
            </w:pPr>
            <w:r>
              <w:rPr>
                <w:rFonts w:ascii="Arial" w:cs="Arial" w:eastAsia="Arial" w:hAnsi="Arial"/>
                <w:sz w:val="18"/>
                <w:szCs w:val="18"/>
                <w:color w:val="auto"/>
                <w:w w:val="87"/>
              </w:rPr>
              <w:t>113,851,714</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130,841,306</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2019 and 2020, and the three months ended March 31, 2020 and 2021.</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87,780,429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83,471,731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58,204,440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58,204,440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62,114,648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60,434,352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28,734,078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33,185,680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66,824,303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20,989,756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1"/>
              </w:rPr>
              <w:t>Warrants to purchase 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203,610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203,610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3,669,528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1,419,528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2,569,528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25,159,411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23,421,374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4,430,336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9"/>
              </w:rPr>
              <w:t>Stock options and restricted stock units available for future grants</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3,844,639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7,683,069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23"/>
        </w:trPr>
        <w:tc>
          <w:tcPr>
            <w:tcW w:w="5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369,720,766</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389,002,257</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387,946,755</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380" w:type="dxa"/>
            <w:vAlign w:val="bottom"/>
            <w:gridSpan w:val="3"/>
          </w:tcPr>
          <w:p>
            <w:pPr>
              <w:jc w:val="right"/>
              <w:ind w:right="2880"/>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(58,985)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(58,165)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(47,608)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components of income tax expense were as follows:</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00" w:type="dxa"/>
            <w:vAlign w:val="bottom"/>
          </w:tcPr>
          <w:p>
            <w:pPr>
              <w:spacing w:after="0"/>
              <w:rPr>
                <w:sz w:val="18"/>
                <w:szCs w:val="18"/>
                <w:color w:val="auto"/>
              </w:rPr>
            </w:pPr>
          </w:p>
        </w:tc>
        <w:tc>
          <w:tcPr>
            <w:tcW w:w="600" w:type="dxa"/>
            <w:vAlign w:val="bottom"/>
            <w:gridSpan w:val="3"/>
          </w:tcPr>
          <w:p>
            <w:pPr>
              <w:jc w:val="right"/>
              <w:ind w:right="68"/>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permanent items</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tcPr>
          <w:p>
            <w:pPr>
              <w:ind w:left="5340"/>
              <w:spacing w:after="0"/>
              <w:rPr>
                <w:sz w:val="20"/>
                <w:szCs w:val="20"/>
                <w:color w:val="auto"/>
              </w:rPr>
            </w:pPr>
            <w:r>
              <w:rPr>
                <w:rFonts w:ascii="Arial" w:cs="Arial" w:eastAsia="Arial" w:hAnsi="Arial"/>
                <w:sz w:val="18"/>
                <w:szCs w:val="18"/>
                <w:color w:val="auto"/>
              </w:rPr>
              <w:t>F-41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27,269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contract contingencies and processing errors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40,043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(36,327)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and 2020 included historical and projected future operating losses.</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Prior to 2019, the Company only filed state income tax returns in California and Florida. During 2019 and 2020, the Company completed an evaluation of its state-by-state business activities and determined to file state income tax returns in an additional fifteen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and increase of $0.3 million during the year ended December 31, 2020. The Company recorded a corresponding adjustment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December 31, 2020, the Company had net operating loss carryforwards of approximately $113.9 million and $54.4 million for federal and state tax purposes, respectively. If not utilized, these carryforwards will begin to expire in 2030. Of the Company’s federal net operating loss carryforwards as of December 31 2020, $66.3 million can be carried forward indefinitely. Under Section 382 of Internal Revenue Code of 1986, as amended, the Company’s ability to utilize net operating loss carryforwards or other tax attributes in any taxable year may be limited if the Company has experienced an ownership change. As of December 31, 2020,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2020, the Company’ federal tax returns for 2016 and earlier, and the state tax returns for 2015 and earlier were no longer subject to examination by the taxing authorities. However, tax periods closed in a prior period may be subject to audit and re-examination by tax authorities for which tax carryforwards are utilized in subsequent years.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 and 2020.</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2020. The Company does not expect any significant increases or decreases to its unrecognized benefits within the next twelve months.</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provision for income taxes was not significant for the three months ended March 31, 2020 and 2021. The Company’s effective tax rate was approximately zero percent for the three months ended March 31, 2020 and 2021. For the three months ended March 31, 2020 and 2021, the effective tax rate was lower than the U.S. federal statutory rate primarily because of the domestic valuation allowances. For the three months ended March 31, 2020 and 2021, the Company recognized an insignificant provision related to foreign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2019 and 2020, and March 31, 2021, include $19.0 million, $203.6 million, and $212.5 million, respectively, of investments in three money market mutual funds which invest primarily in securities issued by the U.S. Government or U.S. Government agencies.</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2019, marketable securities were $95.2 million, and there was no concentration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marketable securities were $149.9 million, and there was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marketable securities were $140.1 million, and there was no concentration of securities of the same issuer with an aggregate fair value greater than 5% of the total balance, except for U.S. Treasuries, which amounted to $115.6 million, or 82%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years ended December 31, 2019 and 2020, and the three months ended March 31, 2020 and 2021, approximately 97%, 96%, 95% and 94% of the Company’s TPV was settled through Sutton Bank,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The Company does not require collateral on accounts receivable balances and maintains allowances for potential credit losses when deemed necessary.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5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Percent of Net Revenue for</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Percent of Net Revenue</w:t>
            </w:r>
          </w:p>
        </w:tc>
      </w:tr>
      <w:tr>
        <w:trPr>
          <w:trHeight w:val="171"/>
        </w:trPr>
        <w:tc>
          <w:tcPr>
            <w:tcW w:w="4880" w:type="dxa"/>
            <w:vAlign w:val="bottom"/>
          </w:tcPr>
          <w:p>
            <w:pPr>
              <w:spacing w:after="0"/>
              <w:rPr>
                <w:sz w:val="14"/>
                <w:szCs w:val="14"/>
                <w:color w:val="auto"/>
              </w:rPr>
            </w:pPr>
          </w:p>
        </w:tc>
        <w:tc>
          <w:tcPr>
            <w:tcW w:w="3520" w:type="dxa"/>
            <w:vAlign w:val="bottom"/>
            <w:gridSpan w:val="4"/>
          </w:tcPr>
          <w:p>
            <w:pPr>
              <w:jc w:val="right"/>
              <w:ind w:right="1740"/>
              <w:spacing w:after="0"/>
              <w:rPr>
                <w:sz w:val="20"/>
                <w:szCs w:val="20"/>
                <w:color w:val="auto"/>
              </w:rPr>
            </w:pPr>
            <w:r>
              <w:rPr>
                <w:rFonts w:ascii="Arial" w:cs="Arial" w:eastAsia="Arial" w:hAnsi="Arial"/>
                <w:sz w:val="14"/>
                <w:szCs w:val="14"/>
                <w:b w:val="1"/>
                <w:bCs w:val="1"/>
                <w:color w:val="auto"/>
              </w:rPr>
              <w:t>the Year Ended</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19"/>
        </w:trPr>
        <w:tc>
          <w:tcPr>
            <w:tcW w:w="4880" w:type="dxa"/>
            <w:vAlign w:val="bottom"/>
          </w:tcPr>
          <w:p>
            <w:pPr>
              <w:spacing w:after="0"/>
              <w:rPr>
                <w:sz w:val="10"/>
                <w:szCs w:val="10"/>
                <w:color w:val="auto"/>
              </w:rPr>
            </w:pPr>
          </w:p>
        </w:tc>
        <w:tc>
          <w:tcPr>
            <w:tcW w:w="1760" w:type="dxa"/>
            <w:vAlign w:val="bottom"/>
            <w:tcBorders>
              <w:top w:val="single" w:sz="8" w:color="auto"/>
            </w:tcBorders>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tcPr>
          <w:p>
            <w:pPr>
              <w:spacing w:after="0"/>
              <w:rPr>
                <w:sz w:val="10"/>
                <w:szCs w:val="10"/>
                <w:color w:val="auto"/>
              </w:rPr>
            </w:pPr>
          </w:p>
        </w:tc>
        <w:tc>
          <w:tcPr>
            <w:tcW w:w="1640" w:type="dxa"/>
            <w:vAlign w:val="bottom"/>
            <w:tcBorders>
              <w:top w:val="single" w:sz="8" w:color="auto"/>
            </w:tcBorders>
          </w:tcPr>
          <w:p>
            <w:pPr>
              <w:jc w:val="right"/>
              <w:ind w:right="904"/>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4"/>
                <w:szCs w:val="14"/>
                <w:color w:val="auto"/>
              </w:rPr>
            </w:pPr>
          </w:p>
        </w:tc>
        <w:tc>
          <w:tcPr>
            <w:tcW w:w="164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ind w:left="684"/>
              <w:spacing w:after="0" w:line="142"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w:t>
            </w:r>
          </w:p>
        </w:tc>
        <w:tc>
          <w:tcPr>
            <w:tcW w:w="1640" w:type="dxa"/>
            <w:vAlign w:val="bottom"/>
            <w:shd w:val="clear" w:color="auto" w:fill="CCEEFF"/>
          </w:tcPr>
          <w:p>
            <w:pPr>
              <w:jc w:val="right"/>
              <w:ind w:right="704"/>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Customer B</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86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40" w:hanging="324"/>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 of Customers’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Receivables as of</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638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0" w:type="dxa"/>
            <w:vAlign w:val="bottom"/>
          </w:tcPr>
          <w:p>
            <w:pPr>
              <w:spacing w:after="0"/>
              <w:rPr>
                <w:sz w:val="10"/>
                <w:szCs w:val="10"/>
                <w:color w:val="auto"/>
              </w:rPr>
            </w:pPr>
          </w:p>
        </w:tc>
        <w:tc>
          <w:tcPr>
            <w:tcW w:w="1840" w:type="dxa"/>
            <w:vAlign w:val="bottom"/>
            <w:gridSpan w:val="2"/>
          </w:tcPr>
          <w:p>
            <w:pPr>
              <w:jc w:val="center"/>
              <w:ind w:right="10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6380" w:type="dxa"/>
            <w:vAlign w:val="bottom"/>
          </w:tcPr>
          <w:p>
            <w:pPr>
              <w:spacing w:after="0"/>
              <w:rPr>
                <w:sz w:val="14"/>
                <w:szCs w:val="14"/>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42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4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4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ind w:left="440" w:hanging="324"/>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311"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 $3.891 per share, for an aggregate purchase price of $41.9 million, to certain investors in Series E redeemable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convertible preferred stock financing, including entities affiliated with Vitruvian Partners, a holder of more than 5% of the Company’s outstanding capital stock, but none of which were directors or executive officers.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incurred $14.4 million, $30.4 million, $5.2 million, and $11.0 million in Card Network fees, net, recorded within costs of revenue, to PULSE Network LLC, an entity affiliated with DFS Services LLC, a holder of more than 5% of the Company’s outstanding capital stock, during the years ended December 31, 2019 and 2020, and the three months ended March 31, 2020 and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Company has evaluated events through April 1, 2021, the date the consolidated financial statements as of and for the years ending December 31, 2019 and 2020 were originally available to be issued, to assess the need for potential recognition or disclosure in the financial statements.</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2021 through the date the consolidated financial statements were available to be issued, the Company granted options for 4,056,994 shares of common stock with a weighted average exercise price of $10.48 per share to employees and directors, and which are subject to service-based vesting conditions. The aggregate fair value of these options is $49.6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January 1, 2021 through the date financial statements were available to be issued, the Company also issued 2,130,993 RSUs to its employees, subject to both service and liquidity vesting conditions. The aggregate fair value of these RSUs is $38.2 million.</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February and March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$5.9 million.</w:t>
      </w:r>
    </w:p>
    <w:p>
      <w:pPr>
        <w:spacing w:after="0" w:line="14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1,100,000 shares of the Company’s common stock over a period of four years, ending in April 2025, at an exercise price of $0.01 per share, for a total fair value of $25.2 million. The warrant becomes exercisable when the vesting conditions are met. Vesting is contingent on certain performance conditions, which include issuing a sufficient percentage of new cards on the Marqeta Platform over a three-year measurement period. The warrants are treated as consideration payable to a Customer and recorded as a reduction to net revenue based on the vesting milestones and the grant date fair value of the warrant shares.</w:t>
      </w:r>
    </w:p>
    <w:p>
      <w:pPr>
        <w:spacing w:after="0" w:line="176"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50,000 shares of the Company’s common stock over a period of four years, ending in April 2025, at an exercise price of $0.01 per share. The aggregate grant date fair value of the warrant was $1.2 million. The warrant’s vesting is contingent on certain performance conditions, which include issuing a specified percentage of new cards on the Marqeta Platform over a three-year measurement period. The warrant is treated as consideration payable to a Customer and recorded as a reduction to net revenue based on the probability of vesting conditions being met and the grant date fair value of the warrant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 (Unaudited)</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In preparing the unaudited interim consolidated financial statements for the three months ended March 31, 2020 and 2021, the Company has evaluated subsequent events through May 31, 2021, the date these unaudited interim consolidated financial statements were available for issuance.</w:t>
      </w:r>
    </w:p>
    <w:p>
      <w:pPr>
        <w:spacing w:after="0" w:line="12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April and May 2021, certain economic interest holders acquired outstanding shares of common stock from current or former employees for a purchase price greater than the Company’s estimated fair value at the time of the transactions. The estimated share-based compensation expense for the difference between the price paid and the estimated fair value on the date of the transaction is approximately $11.6 million.</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April 1, 2021 through the date financial statements were available to be issued, the Company granted options for 5,245,000 shares of common stock with a weighted average exercise price of $22.08 per share to employees, directors and consultants, and which are subject to service-based vesting conditions. The estimated aggregate fair value of these options is approximately $62.1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April 1, 2021 through the date financial statements were available to be issued, the Company also issued 3,190,913 RSUs to its employees, subject to service-based vesting conditions. The estimated aggregate fair value of these RSUs is approximately $74.4 million.</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in April and May 2021, the Company’s board of directors granted the Chief Executive Officer equity incentive awards in the form of performance-based stock options covering 19,740,923 and 47,267 shares of the Company’s Class B common stock with an exercise price of $21.49 and $23.40 per share, respectively. The awards vest only upon the satisfaction of certain service and performance conditions including the achievement of certain stock price targets. The awards will have a term ending on the seventh anniversary of the IPO date and are eligible to vest based on stock price performance over a performance period beginning upon the expiration of the lock-up period associated with an underwritten public offering of the Company’s Class A common stock.</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May 2021, the Company’s 2021 Stock Option and Incentive Plan and 2021 Employee Stock Purchase Plan were adopted by the board of directors and approved by the stockholders. Both plans will become effective immediately prior to the time that the registration statement of which this prospectus forms a part is declared effective by the SEC.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45,454,546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860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917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Barclays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KeyBanc Capital Markets</w:t>
      </w:r>
    </w:p>
    <w:p>
      <w:pPr>
        <w:spacing w:after="0" w:line="178" w:lineRule="exact"/>
        <w:rPr>
          <w:sz w:val="20"/>
          <w:szCs w:val="20"/>
          <w:color w:val="auto"/>
        </w:rPr>
      </w:pPr>
    </w:p>
    <w:p>
      <w:pPr>
        <w:sectPr>
          <w:pgSz w:w="11900" w:h="16838" w:orient="portrait"/>
          <w:cols w:equalWidth="0" w:num="4">
            <w:col w:w="2360" w:space="720"/>
            <w:col w:w="900" w:space="720"/>
            <w:col w:w="2100" w:space="720"/>
            <w:col w:w="3620"/>
          </w:cols>
          <w:pgMar w:left="320" w:top="459" w:right="439" w:bottom="1440" w:gutter="0" w:footer="0" w:header="0"/>
          <w:type w:val="continuous"/>
        </w:sectPr>
      </w:pPr>
    </w:p>
    <w:p>
      <w:pPr>
        <w:ind w:left="246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2566035</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2617470</wp:posOffset>
            </wp:positionV>
            <wp:extent cx="699516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sectPr>
      <w:pgSz w:w="11900" w:h="16838" w:orient="portrait"/>
      <w:cols w:equalWidth="0" w:num="4">
        <w:col w:w="3180" w:space="440"/>
        <w:col w:w="540" w:space="400"/>
        <w:col w:w="1920" w:space="400"/>
        <w:col w:w="426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2"/>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lvl w:ilvl="1">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1)"/>
      <w:numFmt w:val="decimal"/>
      <w:start w:val="3"/>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lvl w:ilvl="1">
      <w:lvlJc w:val="left"/>
      <w:lvlText w:val="•"/>
      <w:numFmt w:val="bullet"/>
      <w:start w:val="1"/>
    </w:lvl>
  </w:abstractNum>
  <w:abstractNum w:abstractNumId="29">
    <w:nsid w:val="5FF87E05"/>
    <w:multiLevelType w:val="hybridMultilevel"/>
    <w:lvl w:ilvl="0">
      <w:lvlJc w:val="left"/>
      <w:lvlText w:val="(%1)"/>
      <w:numFmt w:val="lowerRoman"/>
      <w:start w:val="4"/>
    </w:lvl>
  </w:abstractNum>
  <w:abstractNum w:abstractNumId="30">
    <w:nsid w:val="2F305DEF"/>
    <w:multiLevelType w:val="hybridMultilevel"/>
    <w:lvl w:ilvl="0">
      <w:lvlJc w:val="left"/>
      <w:lvlText w:val="(%1)"/>
      <w:numFmt w:val="lowerRoman"/>
      <w:start w:val="6"/>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3"/>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3"/>
      <w:numFmt w:val="bullet"/>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4"/>
      <w:numFmt w:val="bullet"/>
      <w:start w:val="1"/>
    </w:lvl>
  </w:abstractNum>
  <w:abstractNum w:abstractNumId="45">
    <w:nsid w:val="168E121F"/>
    <w:multiLevelType w:val="hybridMultilevel"/>
    <w:lvl w:ilvl="0">
      <w:lvlJc w:val="left"/>
      <w:lvlText w:val="•"/>
      <w:numFmt w:val="bullet"/>
      <w:start w:val="1"/>
    </w:lvl>
    <w:lvl w:ilvl="1">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3"/>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3"/>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6"/>
    </w:lvl>
  </w:abstractNum>
  <w:abstractNum w:abstractNumId="92">
    <w:nsid w:val="7055A5F5"/>
    <w:multiLevelType w:val="hybridMultilevel"/>
    <w:lvl w:ilvl="0">
      <w:lvlJc w:val="left"/>
      <w:lvlText w:val="(%1)"/>
      <w:numFmt w:val="upperLetter"/>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2021-06-10T05:13:02Z</dcterms:created>
  <dcterms:modified xsi:type="dcterms:W3CDTF">2021-06-10T05:13:02Z</dcterms:modified>
</cp:coreProperties>
</file>