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62" w:lineRule="exact"/>
        <w:rPr>
          <w:sz w:val="24"/>
          <w:szCs w:val="24"/>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Wingdings" w:cs="Wingdings" w:eastAsia="Wingdings" w:hAnsi="Wingdings"/>
          <w:sz w:val="17"/>
          <w:szCs w:val="17"/>
          <w:b w:val="1"/>
          <w:bCs w:val="1"/>
          <w:color w:val="auto"/>
        </w:rPr>
        <w:t>o</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080" w:hanging="654"/>
        <w:spacing w:after="0"/>
        <w:tabs>
          <w:tab w:leader="none" w:pos="10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ind w:left="1080" w:right="4719" w:hanging="639"/>
        <w:spacing w:after="0" w:line="234" w:lineRule="auto"/>
        <w:tabs>
          <w:tab w:leader="none" w:pos="10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0" w:lineRule="exact"/>
        <w:rPr>
          <w:rFonts w:ascii="Wingdings" w:cs="Wingdings" w:eastAsia="Wingdings" w:hAnsi="Wingdings"/>
          <w:sz w:val="18"/>
          <w:szCs w:val="18"/>
          <w:b w:val="1"/>
          <w:bCs w:val="1"/>
          <w:color w:val="auto"/>
        </w:rPr>
      </w:pPr>
    </w:p>
    <w:p>
      <w:pPr>
        <w:ind w:left="1080" w:hanging="639"/>
        <w:spacing w:after="0"/>
        <w:tabs>
          <w:tab w:leader="none" w:pos="10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7" w:lineRule="exact"/>
        <w:rPr>
          <w:rFonts w:ascii="Wingdings" w:cs="Wingdings" w:eastAsia="Wingdings" w:hAnsi="Wingdings"/>
          <w:sz w:val="18"/>
          <w:szCs w:val="18"/>
          <w:b w:val="1"/>
          <w:bCs w:val="1"/>
          <w:color w:val="auto"/>
        </w:rPr>
      </w:pPr>
    </w:p>
    <w:p>
      <w:pPr>
        <w:ind w:left="1080" w:hanging="639"/>
        <w:spacing w:after="0"/>
        <w:tabs>
          <w:tab w:leader="none" w:pos="10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Wingdings" w:cs="Wingdings" w:eastAsia="Wingdings" w:hAnsi="Wingdings"/>
          <w:sz w:val="18"/>
          <w:szCs w:val="18"/>
          <w:b w:val="1"/>
          <w:bCs w:val="1"/>
          <w:color w:val="auto"/>
        </w:rPr>
      </w:pPr>
    </w:p>
    <w:p>
      <w:pPr>
        <w:ind w:left="1080" w:hanging="639"/>
        <w:spacing w:after="0"/>
        <w:tabs>
          <w:tab w:leader="none" w:pos="10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203200</wp:posOffset>
            </wp:positionV>
            <wp:extent cx="257175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w:t>
      </w:r>
    </w:p>
    <w:p>
      <w:pPr>
        <w:spacing w:after="0" w:line="9"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43" w:lineRule="exact"/>
        <w:rPr>
          <w:sz w:val="24"/>
          <w:szCs w:val="24"/>
          <w:color w:val="auto"/>
        </w:rPr>
      </w:pPr>
    </w:p>
    <w:p>
      <w:pPr>
        <w:ind w:left="560" w:hanging="554"/>
        <w:spacing w:after="0"/>
        <w:tabs>
          <w:tab w:leader="none" w:pos="5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858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6" w:lineRule="exact"/>
        <w:rPr>
          <w:sz w:val="24"/>
          <w:szCs w:val="24"/>
          <w:color w:val="auto"/>
        </w:rPr>
      </w:pPr>
    </w:p>
    <w:p>
      <w:pPr>
        <w:ind w:left="660" w:hanging="654"/>
        <w:spacing w:after="0"/>
        <w:tabs>
          <w:tab w:leader="none" w:pos="6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Wingdings" w:cs="Wingdings" w:eastAsia="Wingdings" w:hAnsi="Wingdings"/>
          <w:sz w:val="18"/>
          <w:szCs w:val="18"/>
          <w:b w:val="1"/>
          <w:bCs w:val="1"/>
          <w:color w:val="auto"/>
        </w:rPr>
      </w:pPr>
    </w:p>
    <w:p>
      <w:pPr>
        <w:ind w:left="560" w:hanging="554"/>
        <w:spacing w:after="0"/>
        <w:tabs>
          <w:tab w:leader="none" w:pos="5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3862070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17145</wp:posOffset>
            </wp:positionV>
            <wp:extent cx="6858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685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119"/>
          </w:cols>
          <w:pgMar w:left="340" w:top="106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963295</wp:posOffset>
            </wp:positionV>
            <wp:extent cx="7157720" cy="8448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448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60"/>
        <w:spacing w:after="0"/>
        <w:rPr>
          <w:sz w:val="20"/>
          <w:szCs w:val="20"/>
          <w:color w:val="auto"/>
        </w:rPr>
      </w:pPr>
      <w:r>
        <w:rPr>
          <w:rFonts w:ascii="Arial" w:cs="Arial" w:eastAsia="Arial" w:hAnsi="Arial"/>
          <w:sz w:val="25"/>
          <w:szCs w:val="25"/>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54" w:right="359" w:bottom="1440" w:gutter="0" w:footer="0" w:header="0"/>
        </w:sectPr>
      </w:pPr>
    </w:p>
    <w:bookmarkStart w:id="3" w:name="page4"/>
    <w:bookmarkEnd w:id="3"/>
    <w:p>
      <w:pPr>
        <w:spacing w:after="0" w:line="192" w:lineRule="auto"/>
        <w:framePr w:w="6760" w:h="138" w:wrap="auto" w:vAnchor="page" w:hAnchor="page" w:x="300" w:y="8966"/>
        <w:rPr>
          <w:rFonts w:ascii="Arial" w:cs="Arial" w:eastAsia="Arial" w:hAnsi="Arial"/>
          <w:sz w:val="15"/>
          <w:szCs w:val="15"/>
          <w:color w:val="auto"/>
        </w:rPr>
      </w:pPr>
      <w:r>
        <w:rPr>
          <w:rFonts w:ascii="Arial" w:cs="Arial" w:eastAsia="Arial" w:hAnsi="Arial"/>
          <w:sz w:val="15"/>
          <w:szCs w:val="15"/>
          <w:color w:val="auto"/>
        </w:rPr>
        <w:t>On or about April 21, 2026, we expect to mail to our stockholders a Notice of Internet Availability of</w:t>
      </w:r>
    </w:p>
    <w:p>
      <w:pPr>
        <w:jc w:val="both"/>
        <w:spacing w:after="0" w:line="187" w:lineRule="auto"/>
        <w:framePr w:w="11280" w:h="792" w:wrap="auto" w:vAnchor="page" w:hAnchor="page" w:x="300" w:y="9068"/>
        <w:rPr>
          <w:rFonts w:ascii="Arial" w:cs="Arial" w:eastAsia="Arial" w:hAnsi="Arial"/>
          <w:sz w:val="13"/>
          <w:szCs w:val="13"/>
          <w:color w:val="auto"/>
        </w:rPr>
      </w:pPr>
      <w:r>
        <w:rPr>
          <w:rFonts w:ascii="Arial" w:cs="Arial" w:eastAsia="Arial" w:hAnsi="Arial"/>
          <w:sz w:val="13"/>
          <w:szCs w:val="13"/>
          <w:color w:val="auto"/>
        </w:rPr>
        <w:t xml:space="preserve">Proxy Materials (the “Notice”) containing instructions on how to access the Proxy Statement and </w:t>
      </w:r>
      <w:r>
        <w:rPr>
          <w:rFonts w:ascii="Arial" w:cs="Arial" w:eastAsia="Arial" w:hAnsi="Arial"/>
          <w:sz w:val="15"/>
          <w:szCs w:val="15"/>
          <w:color w:val="auto"/>
        </w:rPr>
        <w:t>The Annual Meeting, including any adjournments,</w:t>
      </w:r>
      <w:r>
        <w:rPr>
          <w:rFonts w:ascii="Arial" w:cs="Arial" w:eastAsia="Arial" w:hAnsi="Arial"/>
          <w:sz w:val="13"/>
          <w:szCs w:val="13"/>
          <w:color w:val="auto"/>
        </w:rPr>
        <w:t xml:space="preserve"> our Annual Report on Form 10-K for the fiscal year ended December 31, 2025 (the “2025 Annual </w:t>
      </w:r>
      <w:r>
        <w:rPr>
          <w:rFonts w:ascii="Arial" w:cs="Arial" w:eastAsia="Arial" w:hAnsi="Arial"/>
          <w:sz w:val="15"/>
          <w:szCs w:val="15"/>
          <w:color w:val="auto"/>
        </w:rPr>
        <w:t>continuations, or postponements, will be held</w:t>
      </w:r>
      <w:r>
        <w:rPr>
          <w:rFonts w:ascii="Arial" w:cs="Arial" w:eastAsia="Arial" w:hAnsi="Arial"/>
          <w:sz w:val="13"/>
          <w:szCs w:val="13"/>
          <w:color w:val="auto"/>
        </w:rPr>
        <w:t xml:space="preserve"> Report”). The Notice provides instructions on how to vote online or by telephone and how to </w:t>
      </w:r>
      <w:r>
        <w:rPr>
          <w:rFonts w:ascii="Arial" w:cs="Arial" w:eastAsia="Arial" w:hAnsi="Arial"/>
          <w:sz w:val="29"/>
          <w:szCs w:val="29"/>
          <w:color w:val="auto"/>
          <w:vertAlign w:val="subscript"/>
        </w:rPr>
        <w:t>exclusively online via live audio webcast. The virtual</w:t>
      </w:r>
      <w:r>
        <w:rPr>
          <w:rFonts w:ascii="Arial" w:cs="Arial" w:eastAsia="Arial" w:hAnsi="Arial"/>
          <w:sz w:val="13"/>
          <w:szCs w:val="13"/>
          <w:color w:val="auto"/>
        </w:rPr>
        <w:t xml:space="preserve"> receive a paper copy of the Annual Meeting materials by mail. The Proxy Statement and our 2025 </w:t>
      </w:r>
      <w:r>
        <w:rPr>
          <w:rFonts w:ascii="Arial" w:cs="Arial" w:eastAsia="Arial" w:hAnsi="Arial"/>
          <w:sz w:val="29"/>
          <w:szCs w:val="29"/>
          <w:color w:val="auto"/>
          <w:vertAlign w:val="subscript"/>
        </w:rPr>
        <w:t>format of the Annual Meeting allows us to preserve</w:t>
      </w:r>
      <w:r>
        <w:rPr>
          <w:rFonts w:ascii="Arial" w:cs="Arial" w:eastAsia="Arial" w:hAnsi="Arial"/>
          <w:sz w:val="13"/>
          <w:szCs w:val="13"/>
          <w:color w:val="auto"/>
        </w:rPr>
        <w:t xml:space="preserve"> Annual Report can be accessed directly at www.proxyvote.com using the control number located</w:t>
      </w:r>
    </w:p>
    <w:p>
      <w:pPr>
        <w:spacing w:after="0" w:line="229" w:lineRule="auto"/>
        <w:framePr w:w="11280" w:h="198" w:wrap="auto" w:vAnchor="page" w:hAnchor="page" w:x="300" w:y="9824"/>
        <w:rPr>
          <w:rFonts w:ascii="Arial" w:cs="Arial" w:eastAsia="Arial" w:hAnsi="Arial"/>
          <w:sz w:val="15"/>
          <w:szCs w:val="15"/>
          <w:color w:val="auto"/>
        </w:rPr>
      </w:pPr>
      <w:r>
        <w:rPr>
          <w:rFonts w:ascii="Arial" w:cs="Arial" w:eastAsia="Arial" w:hAnsi="Arial"/>
          <w:sz w:val="15"/>
          <w:szCs w:val="15"/>
          <w:color w:val="auto"/>
        </w:rPr>
        <w:t xml:space="preserve">on the Notice, on your proxy card, or in the instructions that accompanied your Annual Meeting </w:t>
      </w:r>
      <w:r>
        <w:rPr>
          <w:rFonts w:ascii="Arial" w:cs="Arial" w:eastAsia="Arial" w:hAnsi="Arial"/>
          <w:sz w:val="18"/>
          <w:szCs w:val="18"/>
          <w:color w:val="auto"/>
        </w:rPr>
        <w:t>and even increase stockholder access while also</w:t>
      </w:r>
    </w:p>
    <w:p>
      <w:pPr>
        <w:jc w:val="both"/>
        <w:spacing w:after="0" w:line="201" w:lineRule="auto"/>
        <w:framePr w:w="740" w:h="138" w:wrap="auto" w:vAnchor="page" w:hAnchor="page" w:x="300" w:y="10032"/>
        <w:rPr>
          <w:rFonts w:ascii="Arial" w:cs="Arial" w:eastAsia="Arial" w:hAnsi="Arial"/>
          <w:sz w:val="15"/>
          <w:szCs w:val="15"/>
          <w:color w:val="auto"/>
        </w:rPr>
      </w:pPr>
      <w:r>
        <w:rPr>
          <w:rFonts w:ascii="Arial" w:cs="Arial" w:eastAsia="Arial" w:hAnsi="Arial"/>
          <w:sz w:val="15"/>
          <w:szCs w:val="15"/>
          <w:color w:val="auto"/>
        </w:rPr>
        <w:t>materials.</w:t>
      </w:r>
    </w:p>
    <w:p>
      <w:pPr>
        <w:jc w:val="both"/>
        <w:spacing w:after="0" w:line="201" w:lineRule="auto"/>
        <w:framePr w:w="4560" w:h="549" w:wrap="auto" w:vAnchor="page" w:hAnchor="page" w:x="7020" w:y="10013"/>
        <w:rPr>
          <w:rFonts w:ascii="Arial" w:cs="Arial" w:eastAsia="Arial" w:hAnsi="Arial"/>
          <w:sz w:val="19"/>
          <w:szCs w:val="19"/>
          <w:color w:val="auto"/>
        </w:rPr>
      </w:pPr>
      <w:r>
        <w:rPr>
          <w:rFonts w:ascii="Arial" w:cs="Arial" w:eastAsia="Arial" w:hAnsi="Arial"/>
          <w:sz w:val="19"/>
          <w:szCs w:val="19"/>
          <w:color w:val="auto"/>
        </w:rPr>
        <w:t>saving time and money for both us and our stockholders. With a virtual format you will be able to vote and submit questions during the meeting, and</w:t>
      </w:r>
    </w:p>
    <w:p>
      <w:pPr>
        <w:spacing w:after="0" w:line="198" w:lineRule="auto"/>
        <w:framePr w:w="4320" w:h="171" w:wrap="auto" w:vAnchor="page" w:hAnchor="page" w:x="7020" w:y="10580"/>
        <w:rPr>
          <w:rFonts w:ascii="Arial" w:cs="Arial" w:eastAsia="Arial" w:hAnsi="Arial"/>
          <w:sz w:val="18"/>
          <w:szCs w:val="18"/>
          <w:color w:val="auto"/>
        </w:rPr>
      </w:pPr>
      <w:r>
        <w:rPr>
          <w:rFonts w:ascii="Arial" w:cs="Arial" w:eastAsia="Arial" w:hAnsi="Arial"/>
          <w:sz w:val="18"/>
          <w:szCs w:val="18"/>
          <w:color w:val="auto"/>
        </w:rPr>
        <w:t>we encourage you to attend online and participate.</w:t>
      </w:r>
    </w:p>
    <w:p>
      <w:pPr>
        <w:spacing w:after="0" w:line="199" w:lineRule="auto"/>
        <w:framePr w:w="1460" w:h="287" w:wrap="auto" w:vAnchor="page" w:hAnchor="page" w:x="300" w:y="10748"/>
        <w:rPr>
          <w:rFonts w:ascii="Arial" w:cs="Arial" w:eastAsia="Arial" w:hAnsi="Arial"/>
          <w:sz w:val="15"/>
          <w:szCs w:val="15"/>
          <w:color w:val="auto"/>
        </w:rPr>
      </w:pPr>
      <w:r>
        <w:rPr>
          <w:rFonts w:ascii="Arial" w:cs="Arial" w:eastAsia="Arial" w:hAnsi="Arial"/>
          <w:sz w:val="15"/>
          <w:szCs w:val="15"/>
          <w:color w:val="auto"/>
        </w:rPr>
        <w:t>Crystal Sumner Corporate Secretary</w:t>
      </w:r>
    </w:p>
    <w:p>
      <w:pPr>
        <w:spacing w:after="0" w:line="192" w:lineRule="auto"/>
        <w:framePr w:w="1020" w:h="138" w:wrap="auto" w:vAnchor="page" w:hAnchor="page" w:x="300" w:y="11058"/>
        <w:rPr>
          <w:rFonts w:ascii="Arial" w:cs="Arial" w:eastAsia="Arial" w:hAnsi="Arial"/>
          <w:sz w:val="15"/>
          <w:szCs w:val="15"/>
          <w:color w:val="auto"/>
        </w:rPr>
      </w:pPr>
      <w:r>
        <w:rPr>
          <w:rFonts w:ascii="Arial" w:cs="Arial" w:eastAsia="Arial" w:hAnsi="Arial"/>
          <w:sz w:val="15"/>
          <w:szCs w:val="15"/>
          <w:color w:val="auto"/>
        </w:rPr>
        <w:t>April 21, 2026</w:t>
      </w:r>
    </w:p>
    <w:p>
      <w:pPr>
        <w:spacing w:after="0" w:line="199" w:lineRule="auto"/>
        <w:framePr w:w="7060" w:h="163" w:wrap="auto" w:vAnchor="page" w:hAnchor="page" w:x="2400" w:y="11992"/>
        <w:rPr>
          <w:rFonts w:ascii="Arial" w:cs="Arial" w:eastAsia="Arial" w:hAnsi="Arial"/>
          <w:sz w:val="17"/>
          <w:szCs w:val="17"/>
          <w:color w:val="FFFFFF"/>
        </w:rPr>
      </w:pPr>
      <w:r>
        <w:rPr>
          <w:rFonts w:ascii="Arial" w:cs="Arial" w:eastAsia="Arial" w:hAnsi="Arial"/>
          <w:sz w:val="17"/>
          <w:szCs w:val="17"/>
          <w:color w:val="FFFFFF"/>
        </w:rPr>
        <w:t>IMPORTANT NOTICE REGARDING THE AVAILABILITY OF PROXY MATERIALS FOR</w:t>
      </w:r>
    </w:p>
    <w:p>
      <w:pPr>
        <w:spacing w:after="0" w:line="188" w:lineRule="auto"/>
        <w:framePr w:w="7100" w:h="163" w:wrap="auto" w:vAnchor="page" w:hAnchor="page" w:x="2400" w:y="12181"/>
        <w:rPr>
          <w:rFonts w:ascii="Arial" w:cs="Arial" w:eastAsia="Arial" w:hAnsi="Arial"/>
          <w:sz w:val="18"/>
          <w:szCs w:val="18"/>
          <w:color w:val="FFFFFF"/>
        </w:rPr>
      </w:pPr>
      <w:r>
        <w:rPr>
          <w:rFonts w:ascii="Arial" w:cs="Arial" w:eastAsia="Arial" w:hAnsi="Arial"/>
          <w:sz w:val="18"/>
          <w:szCs w:val="18"/>
          <w:color w:val="FFFFFF"/>
        </w:rPr>
        <w:t>THE 2026 ANNUAL MEETING OF STOCKHOLDERS TO BE HELD ON JUNE 10, 2026</w:t>
      </w:r>
    </w:p>
    <w:p>
      <w:pPr>
        <w:spacing w:after="0" w:line="199" w:lineRule="auto"/>
        <w:framePr w:w="3760" w:h="163" w:wrap="auto" w:vAnchor="page" w:hAnchor="page" w:x="4080" w:y="12532"/>
        <w:rPr>
          <w:rFonts w:ascii="Arial" w:cs="Arial" w:eastAsia="Arial" w:hAnsi="Arial"/>
          <w:sz w:val="17"/>
          <w:szCs w:val="17"/>
          <w:color w:val="FFFFFF"/>
        </w:rPr>
      </w:pPr>
      <w:r>
        <w:rPr>
          <w:rFonts w:ascii="Arial" w:cs="Arial" w:eastAsia="Arial" w:hAnsi="Arial"/>
          <w:sz w:val="17"/>
          <w:szCs w:val="17"/>
          <w:color w:val="FFFFFF"/>
        </w:rPr>
        <w:t>Our Proxy Statement and 2025 Annual Report</w:t>
      </w:r>
    </w:p>
    <w:p>
      <w:pPr>
        <w:spacing w:after="0" w:line="199" w:lineRule="auto"/>
        <w:framePr w:w="2940" w:h="163" w:wrap="auto" w:vAnchor="page" w:hAnchor="page" w:x="4480" w:y="12708"/>
        <w:rPr>
          <w:rFonts w:ascii="Arial" w:cs="Arial" w:eastAsia="Arial" w:hAnsi="Arial"/>
          <w:sz w:val="17"/>
          <w:szCs w:val="17"/>
          <w:color w:val="FFFFFF"/>
        </w:rPr>
      </w:pPr>
      <w:r>
        <w:rPr>
          <w:rFonts w:ascii="Arial" w:cs="Arial" w:eastAsia="Arial" w:hAnsi="Arial"/>
          <w:sz w:val="17"/>
          <w:szCs w:val="17"/>
          <w:color w:val="FFFFFF"/>
        </w:rPr>
        <w:t>are available at www.proxyvote.com</w:t>
      </w:r>
    </w:p>
    <w:p>
      <w:pPr>
        <w:spacing w:after="0" w:line="199" w:lineRule="auto"/>
        <w:framePr w:w="3900" w:h="163" w:wrap="auto" w:vAnchor="page" w:hAnchor="page" w:x="7440" w:y="8361"/>
        <w:rPr>
          <w:rFonts w:ascii="Arial" w:cs="Arial" w:eastAsia="Arial" w:hAnsi="Arial"/>
          <w:sz w:val="17"/>
          <w:szCs w:val="17"/>
          <w:color w:val="FFFFFF"/>
        </w:rPr>
      </w:pPr>
      <w:r>
        <w:rPr>
          <w:rFonts w:ascii="Arial" w:cs="Arial" w:eastAsia="Arial" w:hAnsi="Arial"/>
          <w:sz w:val="17"/>
          <w:szCs w:val="17"/>
          <w:color w:val="FFFFFF"/>
        </w:rPr>
        <w:t>Additional voting instructions are provided in the</w:t>
      </w:r>
    </w:p>
    <w:p>
      <w:pPr>
        <w:spacing w:after="0" w:line="199" w:lineRule="auto"/>
        <w:framePr w:w="3340" w:h="163" w:wrap="auto" w:vAnchor="page" w:hAnchor="page" w:x="7720" w:y="8550"/>
        <w:rPr>
          <w:rFonts w:ascii="Arial" w:cs="Arial" w:eastAsia="Arial" w:hAnsi="Arial"/>
          <w:sz w:val="17"/>
          <w:szCs w:val="17"/>
          <w:color w:val="FFFFFF"/>
        </w:rPr>
      </w:pPr>
      <w:r>
        <w:rPr>
          <w:rFonts w:ascii="Arial" w:cs="Arial" w:eastAsia="Arial" w:hAnsi="Arial"/>
          <w:sz w:val="17"/>
          <w:szCs w:val="17"/>
          <w:color w:val="FFFFFF"/>
        </w:rPr>
        <w:t>Proxy Statement and on your proxy card.</w:t>
      </w:r>
    </w:p>
    <w:p>
      <w:pPr>
        <w:spacing w:after="0" w:line="194" w:lineRule="auto"/>
        <w:framePr w:w="1680" w:h="195" w:wrap="auto" w:vAnchor="page" w:hAnchor="page" w:x="2860" w:y="7707"/>
        <w:rPr>
          <w:rFonts w:ascii="Arial" w:cs="Arial" w:eastAsia="Arial" w:hAnsi="Arial"/>
          <w:sz w:val="21"/>
          <w:szCs w:val="21"/>
          <w:b w:val="1"/>
          <w:bCs w:val="1"/>
          <w:color w:val="FFFFFF"/>
        </w:rPr>
      </w:pPr>
      <w:r>
        <w:rPr>
          <w:rFonts w:ascii="Arial" w:cs="Arial" w:eastAsia="Arial" w:hAnsi="Arial"/>
          <w:sz w:val="21"/>
          <w:szCs w:val="21"/>
          <w:b w:val="1"/>
          <w:bCs w:val="1"/>
          <w:color w:val="FFFFFF"/>
        </w:rPr>
        <w:t>Proxy Materials</w:t>
      </w:r>
    </w:p>
    <w:p>
      <w:pPr>
        <w:spacing w:after="0" w:line="192" w:lineRule="auto"/>
        <w:framePr w:w="6700" w:h="138" w:wrap="auto" w:vAnchor="page" w:hAnchor="page" w:x="300" w:y="8102"/>
        <w:rPr>
          <w:rFonts w:ascii="Arial" w:cs="Arial" w:eastAsia="Arial" w:hAnsi="Arial"/>
          <w:sz w:val="15"/>
          <w:szCs w:val="15"/>
          <w:b w:val="1"/>
          <w:bCs w:val="1"/>
          <w:color w:val="FFFFFF"/>
        </w:rPr>
      </w:pPr>
      <w:r>
        <w:rPr>
          <w:rFonts w:ascii="Arial" w:cs="Arial" w:eastAsia="Arial" w:hAnsi="Arial"/>
          <w:sz w:val="15"/>
          <w:szCs w:val="15"/>
          <w:b w:val="1"/>
          <w:bCs w:val="1"/>
          <w:color w:val="FFFFFF"/>
        </w:rPr>
        <w:t>We have elected to provide internet access to our proxy materials in lieu of mailing printed copies.</w:t>
      </w:r>
    </w:p>
    <w:p>
      <w:pPr>
        <w:spacing w:after="0" w:line="201" w:lineRule="auto"/>
        <w:framePr w:w="6400" w:h="435" w:wrap="auto" w:vAnchor="page" w:hAnchor="page" w:x="300" w:y="8264"/>
        <w:rPr>
          <w:rFonts w:ascii="Arial" w:cs="Arial" w:eastAsia="Arial" w:hAnsi="Arial"/>
          <w:sz w:val="15"/>
          <w:szCs w:val="15"/>
          <w:b w:val="1"/>
          <w:bCs w:val="1"/>
          <w:color w:val="FFFFFF"/>
        </w:rPr>
      </w:pPr>
      <w:r>
        <w:rPr>
          <w:rFonts w:ascii="Arial" w:cs="Arial" w:eastAsia="Arial" w:hAnsi="Arial"/>
          <w:sz w:val="15"/>
          <w:szCs w:val="15"/>
          <w:b w:val="1"/>
          <w:bCs w:val="1"/>
          <w:color w:val="FFFFFF"/>
        </w:rPr>
        <w:t>Providing our Annual Meeting materials via the internet reduces the costs associated with our Annual Meeting and lowers our environmental impact, all without negatively affecting our stockholders’ ability to timely access Annual Meeting materials.</w:t>
      </w:r>
    </w:p>
    <w:p>
      <w:pPr>
        <w:spacing w:after="0" w:line="194" w:lineRule="auto"/>
        <w:framePr w:w="1160" w:h="130" w:wrap="auto" w:vAnchor="page" w:hAnchor="page" w:x="9060" w:y="7610"/>
        <w:rPr>
          <w:rFonts w:ascii="Arial" w:cs="Arial" w:eastAsia="Arial" w:hAnsi="Arial"/>
          <w:sz w:val="14"/>
          <w:szCs w:val="14"/>
          <w:b w:val="1"/>
          <w:bCs w:val="1"/>
          <w:color w:val="FFFFFF"/>
        </w:rPr>
      </w:pPr>
      <w:r>
        <w:rPr>
          <w:rFonts w:ascii="Arial" w:cs="Arial" w:eastAsia="Arial" w:hAnsi="Arial"/>
          <w:sz w:val="14"/>
          <w:szCs w:val="14"/>
          <w:b w:val="1"/>
          <w:bCs w:val="1"/>
          <w:color w:val="FFFFFF"/>
        </w:rPr>
        <w:t>Live at Meeting:</w:t>
      </w:r>
    </w:p>
    <w:p>
      <w:pPr>
        <w:spacing w:after="0" w:line="207" w:lineRule="auto"/>
        <w:framePr w:w="2020" w:h="279" w:wrap="auto" w:vAnchor="page" w:hAnchor="page" w:x="9060" w:y="7759"/>
        <w:rPr>
          <w:rFonts w:ascii="Arial" w:cs="Arial" w:eastAsia="Arial" w:hAnsi="Arial"/>
          <w:sz w:val="14"/>
          <w:szCs w:val="14"/>
          <w:b w:val="1"/>
          <w:bCs w:val="1"/>
          <w:color w:val="FFFFFF"/>
        </w:rPr>
      </w:pPr>
      <w:r>
        <w:rPr>
          <w:rFonts w:ascii="Arial" w:cs="Arial" w:eastAsia="Arial" w:hAnsi="Arial"/>
          <w:sz w:val="14"/>
          <w:szCs w:val="14"/>
          <w:b w:val="1"/>
          <w:bCs w:val="1"/>
          <w:color w:val="FFFFFF"/>
        </w:rPr>
        <w:t>You may vote live at the virtual meeting.</w:t>
      </w:r>
    </w:p>
    <w:p>
      <w:pPr>
        <w:spacing w:after="0" w:line="194" w:lineRule="auto"/>
        <w:framePr w:w="5480" w:h="130" w:wrap="auto" w:vAnchor="page" w:hAnchor="page" w:x="640" w:y="6868"/>
        <w:rPr>
          <w:rFonts w:ascii="Arial" w:cs="Arial" w:eastAsia="Arial" w:hAnsi="Arial"/>
          <w:sz w:val="14"/>
          <w:szCs w:val="14"/>
          <w:b w:val="1"/>
          <w:bCs w:val="1"/>
          <w:color w:val="FFFFFF"/>
        </w:rPr>
      </w:pPr>
      <w:r>
        <w:rPr>
          <w:rFonts w:ascii="Arial" w:cs="Arial" w:eastAsia="Arial" w:hAnsi="Arial"/>
          <w:sz w:val="14"/>
          <w:szCs w:val="14"/>
          <w:b w:val="1"/>
          <w:bCs w:val="1"/>
          <w:color w:val="FFFFFF"/>
        </w:rPr>
        <w:t>6. To transact such other business as may properly come before the Annual Meeting.</w:t>
      </w:r>
    </w:p>
    <w:p>
      <w:pPr>
        <w:spacing w:after="0" w:line="194" w:lineRule="auto"/>
        <w:framePr w:w="400" w:h="130" w:wrap="auto" w:vAnchor="page" w:hAnchor="page" w:x="9060" w:y="6868"/>
        <w:rPr>
          <w:rFonts w:ascii="Arial" w:cs="Arial" w:eastAsia="Arial" w:hAnsi="Arial"/>
          <w:sz w:val="14"/>
          <w:szCs w:val="14"/>
          <w:b w:val="1"/>
          <w:bCs w:val="1"/>
          <w:color w:val="FFFFFF"/>
        </w:rPr>
      </w:pPr>
      <w:r>
        <w:rPr>
          <w:rFonts w:ascii="Arial" w:cs="Arial" w:eastAsia="Arial" w:hAnsi="Arial"/>
          <w:sz w:val="14"/>
          <w:szCs w:val="14"/>
          <w:b w:val="1"/>
          <w:bCs w:val="1"/>
          <w:color w:val="FFFFFF"/>
        </w:rPr>
        <w:t>Mail:</w:t>
      </w:r>
    </w:p>
    <w:p>
      <w:pPr>
        <w:spacing w:after="0" w:line="207" w:lineRule="auto"/>
        <w:framePr w:w="2480" w:h="279" w:wrap="auto" w:vAnchor="page" w:hAnchor="page" w:x="9060" w:y="7016"/>
        <w:rPr>
          <w:rFonts w:ascii="Arial" w:cs="Arial" w:eastAsia="Arial" w:hAnsi="Arial"/>
          <w:sz w:val="14"/>
          <w:szCs w:val="14"/>
          <w:b w:val="1"/>
          <w:bCs w:val="1"/>
          <w:color w:val="FFFFFF"/>
        </w:rPr>
      </w:pPr>
      <w:r>
        <w:rPr>
          <w:rFonts w:ascii="Arial" w:cs="Arial" w:eastAsia="Arial" w:hAnsi="Arial"/>
          <w:sz w:val="14"/>
          <w:szCs w:val="14"/>
          <w:b w:val="1"/>
          <w:bCs w:val="1"/>
          <w:color w:val="FFFFFF"/>
        </w:rPr>
        <w:t>Sign, date, and return your proxy card in the enclosed envelope.</w:t>
      </w:r>
    </w:p>
    <w:p>
      <w:pPr>
        <w:spacing w:after="0" w:line="207" w:lineRule="auto"/>
        <w:framePr w:w="5820" w:h="279" w:wrap="auto" w:vAnchor="page" w:hAnchor="page" w:x="640" w:y="6422"/>
        <w:rPr>
          <w:rFonts w:ascii="Arial" w:cs="Arial" w:eastAsia="Arial" w:hAnsi="Arial"/>
          <w:sz w:val="14"/>
          <w:szCs w:val="14"/>
          <w:b w:val="1"/>
          <w:bCs w:val="1"/>
          <w:color w:val="FFFFFF"/>
        </w:rPr>
      </w:pPr>
      <w:r>
        <w:rPr>
          <w:rFonts w:ascii="Arial" w:cs="Arial" w:eastAsia="Arial" w:hAnsi="Arial"/>
          <w:sz w:val="14"/>
          <w:szCs w:val="14"/>
          <w:b w:val="1"/>
          <w:bCs w:val="1"/>
          <w:color w:val="FFFFFF"/>
        </w:rPr>
        <w:t>5. To approve a non-binding advisory resolution approving the compensation of our named executive officers; and</w:t>
      </w:r>
    </w:p>
    <w:p>
      <w:pPr>
        <w:spacing w:after="0" w:line="209" w:lineRule="auto"/>
        <w:framePr w:w="560" w:h="130" w:wrap="auto" w:vAnchor="page" w:hAnchor="page" w:x="9060" w:y="5990"/>
        <w:rPr>
          <w:rFonts w:ascii="Arial" w:cs="Arial" w:eastAsia="Arial" w:hAnsi="Arial"/>
          <w:sz w:val="13"/>
          <w:szCs w:val="13"/>
          <w:b w:val="1"/>
          <w:bCs w:val="1"/>
          <w:color w:val="FFFFFF"/>
        </w:rPr>
      </w:pPr>
      <w:r>
        <w:rPr>
          <w:rFonts w:ascii="Arial" w:cs="Arial" w:eastAsia="Arial" w:hAnsi="Arial"/>
          <w:sz w:val="13"/>
          <w:szCs w:val="13"/>
          <w:b w:val="1"/>
          <w:bCs w:val="1"/>
          <w:color w:val="FFFFFF"/>
        </w:rPr>
        <w:t>Online:</w:t>
      </w:r>
    </w:p>
    <w:p>
      <w:pPr>
        <w:spacing w:after="0" w:line="194" w:lineRule="auto"/>
        <w:framePr w:w="1360" w:h="130" w:wrap="auto" w:vAnchor="page" w:hAnchor="page" w:x="9060" w:y="6139"/>
        <w:rPr>
          <w:rFonts w:ascii="Arial" w:cs="Arial" w:eastAsia="Arial" w:hAnsi="Arial"/>
          <w:sz w:val="14"/>
          <w:szCs w:val="14"/>
          <w:b w:val="1"/>
          <w:bCs w:val="1"/>
          <w:color w:val="FFFFFF"/>
        </w:rPr>
      </w:pPr>
      <w:r>
        <w:rPr>
          <w:rFonts w:ascii="Arial" w:cs="Arial" w:eastAsia="Arial" w:hAnsi="Arial"/>
          <w:sz w:val="14"/>
          <w:szCs w:val="14"/>
          <w:b w:val="1"/>
          <w:bCs w:val="1"/>
          <w:color w:val="FFFFFF"/>
        </w:rPr>
        <w:t>www.proxyvote.com</w:t>
      </w:r>
    </w:p>
    <w:p>
      <w:pPr>
        <w:spacing w:after="0" w:line="207" w:lineRule="auto"/>
        <w:framePr w:w="1280" w:h="279" w:wrap="auto" w:vAnchor="page" w:hAnchor="page" w:x="9060" w:y="6328"/>
        <w:rPr>
          <w:rFonts w:ascii="Arial" w:cs="Arial" w:eastAsia="Arial" w:hAnsi="Arial"/>
          <w:sz w:val="14"/>
          <w:szCs w:val="14"/>
          <w:color w:val="FFFFFF"/>
        </w:rPr>
      </w:pPr>
      <w:r>
        <w:rPr>
          <w:rFonts w:ascii="Arial" w:cs="Arial" w:eastAsia="Arial" w:hAnsi="Arial"/>
          <w:sz w:val="14"/>
          <w:szCs w:val="14"/>
          <w:b w:val="1"/>
          <w:bCs w:val="1"/>
          <w:color w:val="FFFFFF"/>
        </w:rPr>
        <w:t xml:space="preserve">Phone (Toll Free): </w:t>
      </w:r>
      <w:r>
        <w:rPr>
          <w:rFonts w:ascii="Arial" w:cs="Arial" w:eastAsia="Arial" w:hAnsi="Arial"/>
          <w:sz w:val="14"/>
          <w:szCs w:val="14"/>
          <w:color w:val="FFFFFF"/>
        </w:rPr>
        <w:t>1-800-690-6903</w:t>
      </w:r>
    </w:p>
    <w:p>
      <w:pPr>
        <w:spacing w:after="0" w:line="207" w:lineRule="auto"/>
        <w:framePr w:w="6300" w:h="279" w:wrap="auto" w:vAnchor="page" w:hAnchor="page" w:x="640" w:y="5909"/>
        <w:rPr>
          <w:rFonts w:ascii="Arial" w:cs="Arial" w:eastAsia="Arial" w:hAnsi="Arial"/>
          <w:sz w:val="14"/>
          <w:szCs w:val="14"/>
          <w:color w:val="FFFFFF"/>
        </w:rPr>
      </w:pPr>
      <w:r>
        <w:rPr>
          <w:rFonts w:ascii="Arial" w:cs="Arial" w:eastAsia="Arial" w:hAnsi="Arial"/>
          <w:sz w:val="14"/>
          <w:szCs w:val="14"/>
          <w:color w:val="FFFFFF"/>
        </w:rPr>
        <w:t>4. To approve an amendment to our Amended and Restated Certificate of Incorporation to provide for officer exculpation to the fullest extent permitted by Delaware law;</w:t>
      </w:r>
    </w:p>
    <w:p>
      <w:pPr>
        <w:spacing w:after="0" w:line="194" w:lineRule="auto"/>
        <w:framePr w:w="1300" w:h="195" w:wrap="auto" w:vAnchor="page" w:hAnchor="page" w:x="8740" w:y="5453"/>
        <w:rPr>
          <w:rFonts w:ascii="Arial" w:cs="Arial" w:eastAsia="Arial" w:hAnsi="Arial"/>
          <w:sz w:val="21"/>
          <w:szCs w:val="21"/>
          <w:b w:val="1"/>
          <w:bCs w:val="1"/>
          <w:color w:val="FFFFFF"/>
        </w:rPr>
      </w:pPr>
      <w:r>
        <w:rPr>
          <w:rFonts w:ascii="Arial" w:cs="Arial" w:eastAsia="Arial" w:hAnsi="Arial"/>
          <w:sz w:val="21"/>
          <w:szCs w:val="21"/>
          <w:b w:val="1"/>
          <w:bCs w:val="1"/>
          <w:color w:val="FFFFFF"/>
        </w:rPr>
        <w:t>How to Vote</w:t>
      </w:r>
    </w:p>
    <w:p>
      <w:pPr>
        <w:spacing w:after="0" w:line="194" w:lineRule="auto"/>
        <w:framePr w:w="880" w:h="195" w:wrap="auto" w:vAnchor="page" w:hAnchor="page" w:x="3260" w:y="3914"/>
        <w:rPr>
          <w:rFonts w:ascii="Arial" w:cs="Arial" w:eastAsia="Arial" w:hAnsi="Arial"/>
          <w:sz w:val="21"/>
          <w:szCs w:val="21"/>
          <w:b w:val="1"/>
          <w:bCs w:val="1"/>
          <w:color w:val="FFFFFF"/>
        </w:rPr>
      </w:pPr>
      <w:r>
        <w:rPr>
          <w:rFonts w:ascii="Arial" w:cs="Arial" w:eastAsia="Arial" w:hAnsi="Arial"/>
          <w:sz w:val="21"/>
          <w:szCs w:val="21"/>
          <w:b w:val="1"/>
          <w:bCs w:val="1"/>
          <w:color w:val="FFFFFF"/>
        </w:rPr>
        <w:t>Agenda</w:t>
      </w:r>
    </w:p>
    <w:p>
      <w:pPr>
        <w:spacing w:after="0" w:line="207" w:lineRule="auto"/>
        <w:framePr w:w="6280" w:h="279" w:wrap="auto" w:vAnchor="page" w:hAnchor="page" w:x="640" w:y="4478"/>
        <w:rPr>
          <w:rFonts w:ascii="Arial" w:cs="Arial" w:eastAsia="Arial" w:hAnsi="Arial"/>
          <w:sz w:val="14"/>
          <w:szCs w:val="14"/>
          <w:b w:val="1"/>
          <w:bCs w:val="1"/>
          <w:color w:val="FFFFFF"/>
        </w:rPr>
      </w:pPr>
      <w:r>
        <w:rPr>
          <w:rFonts w:ascii="Arial" w:cs="Arial" w:eastAsia="Arial" w:hAnsi="Arial"/>
          <w:sz w:val="14"/>
          <w:szCs w:val="14"/>
          <w:b w:val="1"/>
          <w:bCs w:val="1"/>
          <w:color w:val="FFFFFF"/>
        </w:rPr>
        <w:t>1. To elect the four Class II director nominees named in the Proxy Statement to hold office until the 2029 annual meeting of stockholders or until their successors are elected and qualified;</w:t>
      </w:r>
    </w:p>
    <w:p>
      <w:pPr>
        <w:spacing w:after="0" w:line="207" w:lineRule="auto"/>
        <w:framePr w:w="6320" w:h="279" w:wrap="auto" w:vAnchor="page" w:hAnchor="page" w:x="640" w:y="4910"/>
        <w:rPr>
          <w:rFonts w:ascii="Arial" w:cs="Arial" w:eastAsia="Arial" w:hAnsi="Arial"/>
          <w:sz w:val="14"/>
          <w:szCs w:val="14"/>
          <w:b w:val="1"/>
          <w:bCs w:val="1"/>
          <w:color w:val="FFFFFF"/>
        </w:rPr>
      </w:pPr>
      <w:r>
        <w:rPr>
          <w:rFonts w:ascii="Arial" w:cs="Arial" w:eastAsia="Arial" w:hAnsi="Arial"/>
          <w:sz w:val="14"/>
          <w:szCs w:val="14"/>
          <w:b w:val="1"/>
          <w:bCs w:val="1"/>
          <w:color w:val="FFFFFF"/>
        </w:rPr>
        <w:t>2. To ratify the appointment of KPMG LLP as our independent registered public accounting firm for the fiscal year ended December 31, 2026;</w:t>
      </w:r>
    </w:p>
    <w:p>
      <w:pPr>
        <w:spacing w:after="0" w:line="212" w:lineRule="auto"/>
        <w:framePr w:w="6300" w:h="427" w:wrap="auto" w:vAnchor="page" w:hAnchor="page" w:x="640" w:y="5356"/>
        <w:rPr>
          <w:rFonts w:ascii="Arial" w:cs="Arial" w:eastAsia="Arial" w:hAnsi="Arial"/>
          <w:sz w:val="14"/>
          <w:szCs w:val="14"/>
          <w:b w:val="1"/>
          <w:bCs w:val="1"/>
          <w:color w:val="FFFFFF"/>
        </w:rPr>
      </w:pPr>
      <w:r>
        <w:rPr>
          <w:rFonts w:ascii="Arial" w:cs="Arial" w:eastAsia="Arial" w:hAnsi="Arial"/>
          <w:sz w:val="14"/>
          <w:szCs w:val="14"/>
          <w:b w:val="1"/>
          <w:bCs w:val="1"/>
          <w:color w:val="FFFFFF"/>
        </w:rPr>
        <w:t>3. To approve an amendment to our Amended and Restated Certificate of Incorporation to effect a 1-for-4 reverse stock split and related reduction of our authorized Common Stock and Preferred Stock;</w:t>
      </w:r>
    </w:p>
    <w:p>
      <w:pPr>
        <w:jc w:val="both"/>
        <w:spacing w:after="0" w:line="203" w:lineRule="auto"/>
        <w:framePr w:w="4380" w:h="927" w:wrap="auto" w:vAnchor="page" w:hAnchor="page" w:x="7200" w:y="3222"/>
        <w:rPr>
          <w:rFonts w:ascii="Arial" w:cs="Arial" w:eastAsia="Arial" w:hAnsi="Arial"/>
          <w:sz w:val="19"/>
          <w:szCs w:val="19"/>
          <w:b w:val="1"/>
          <w:bCs w:val="1"/>
          <w:color w:val="FFFFFF"/>
        </w:rPr>
      </w:pPr>
      <w:r>
        <w:rPr>
          <w:rFonts w:ascii="Arial" w:cs="Arial" w:eastAsia="Arial" w:hAnsi="Arial"/>
          <w:sz w:val="19"/>
          <w:szCs w:val="19"/>
          <w:b w:val="1"/>
          <w:bCs w:val="1"/>
          <w:color w:val="FFFFFF"/>
        </w:rPr>
        <w:t>Even if you plan to attend the virtual Annual Meeting, we ask that you please promptly vote on the internet, by phone, or by mail. Voting early will not prevent you from voting in person at the Annual Meeting if you wish to do so.</w:t>
      </w:r>
    </w:p>
    <w:p>
      <w:pPr>
        <w:spacing w:after="0" w:line="191" w:lineRule="auto"/>
        <w:framePr w:w="480" w:h="147" w:wrap="auto" w:vAnchor="page" w:hAnchor="page" w:x="300" w:y="3098"/>
        <w:rPr>
          <w:rFonts w:ascii="Arial" w:cs="Arial" w:eastAsia="Arial" w:hAnsi="Arial"/>
          <w:sz w:val="16"/>
          <w:szCs w:val="16"/>
          <w:b w:val="1"/>
          <w:bCs w:val="1"/>
          <w:color w:val="FFFFFF"/>
        </w:rPr>
      </w:pPr>
      <w:r>
        <w:rPr>
          <w:rFonts w:ascii="Arial" w:cs="Arial" w:eastAsia="Arial" w:hAnsi="Arial"/>
          <w:sz w:val="16"/>
          <w:szCs w:val="16"/>
          <w:b w:val="1"/>
          <w:bCs w:val="1"/>
          <w:color w:val="FFFFFF"/>
        </w:rPr>
        <w:t>Time:</w:t>
      </w:r>
    </w:p>
    <w:p>
      <w:pPr>
        <w:spacing w:after="0" w:line="191" w:lineRule="auto"/>
        <w:framePr w:w="1020" w:h="147" w:wrap="auto" w:vAnchor="page" w:hAnchor="page" w:x="1960" w:y="3098"/>
        <w:rPr>
          <w:rFonts w:ascii="Arial" w:cs="Arial" w:eastAsia="Arial" w:hAnsi="Arial"/>
          <w:sz w:val="16"/>
          <w:szCs w:val="16"/>
          <w:b w:val="1"/>
          <w:bCs w:val="1"/>
          <w:color w:val="FFFFFF"/>
        </w:rPr>
      </w:pPr>
      <w:r>
        <w:rPr>
          <w:rFonts w:ascii="Arial" w:cs="Arial" w:eastAsia="Arial" w:hAnsi="Arial"/>
          <w:sz w:val="16"/>
          <w:szCs w:val="16"/>
          <w:b w:val="1"/>
          <w:bCs w:val="1"/>
          <w:color w:val="FFFFFF"/>
        </w:rPr>
        <w:t>11:30 AM ET</w:t>
      </w:r>
    </w:p>
    <w:p>
      <w:pPr>
        <w:spacing w:after="0" w:line="191" w:lineRule="auto"/>
        <w:framePr w:w="460" w:h="147" w:wrap="auto" w:vAnchor="page" w:hAnchor="page" w:x="300" w:y="3355"/>
        <w:rPr>
          <w:rFonts w:ascii="Arial" w:cs="Arial" w:eastAsia="Arial" w:hAnsi="Arial"/>
          <w:sz w:val="16"/>
          <w:szCs w:val="16"/>
          <w:b w:val="1"/>
          <w:bCs w:val="1"/>
          <w:color w:val="FFFFFF"/>
        </w:rPr>
      </w:pPr>
      <w:r>
        <w:rPr>
          <w:rFonts w:ascii="Arial" w:cs="Arial" w:eastAsia="Arial" w:hAnsi="Arial"/>
          <w:sz w:val="16"/>
          <w:szCs w:val="16"/>
          <w:b w:val="1"/>
          <w:bCs w:val="1"/>
          <w:color w:val="FFFFFF"/>
        </w:rPr>
        <w:t>URL:</w:t>
      </w:r>
    </w:p>
    <w:p>
      <w:pPr>
        <w:spacing w:after="0" w:line="191" w:lineRule="auto"/>
        <w:framePr w:w="3360" w:h="147" w:wrap="auto" w:vAnchor="page" w:hAnchor="page" w:x="1960" w:y="3355"/>
        <w:rPr>
          <w:rFonts w:ascii="Arial" w:cs="Arial" w:eastAsia="Arial" w:hAnsi="Arial"/>
          <w:sz w:val="16"/>
          <w:szCs w:val="16"/>
          <w:b w:val="1"/>
          <w:bCs w:val="1"/>
          <w:color w:val="FFFFFF"/>
        </w:rPr>
      </w:pPr>
      <w:r>
        <w:rPr>
          <w:rFonts w:ascii="Arial" w:cs="Arial" w:eastAsia="Arial" w:hAnsi="Arial"/>
          <w:sz w:val="16"/>
          <w:szCs w:val="16"/>
          <w:b w:val="1"/>
          <w:bCs w:val="1"/>
          <w:color w:val="FFFFFF"/>
        </w:rPr>
        <w:t>www.virtualshareholdermeeting.com/MQ2026</w:t>
      </w:r>
    </w:p>
    <w:p>
      <w:pPr>
        <w:spacing w:after="0" w:line="191" w:lineRule="auto"/>
        <w:framePr w:w="2080" w:h="147" w:wrap="auto" w:vAnchor="page" w:hAnchor="page" w:x="300" w:y="3625"/>
        <w:rPr>
          <w:rFonts w:ascii="Arial" w:cs="Arial" w:eastAsia="Arial" w:hAnsi="Arial"/>
          <w:sz w:val="16"/>
          <w:szCs w:val="16"/>
          <w:b w:val="1"/>
          <w:bCs w:val="1"/>
          <w:color w:val="FFFFFF"/>
        </w:rPr>
      </w:pPr>
      <w:r>
        <w:rPr>
          <w:rFonts w:ascii="Arial" w:cs="Arial" w:eastAsia="Arial" w:hAnsi="Arial"/>
          <w:sz w:val="16"/>
          <w:szCs w:val="16"/>
          <w:b w:val="1"/>
          <w:bCs w:val="1"/>
          <w:color w:val="FFFFFF"/>
        </w:rPr>
        <w:t>Record Date: April 15, 2026</w:t>
      </w:r>
    </w:p>
    <w:p>
      <w:pPr>
        <w:ind w:left="9080"/>
        <w:spacing w:after="0"/>
        <w:rPr>
          <w:sz w:val="20"/>
          <w:szCs w:val="20"/>
          <w:color w:val="auto"/>
        </w:rPr>
      </w:pPr>
      <w:r>
        <w:rPr>
          <w:rFonts w:ascii="Arial" w:cs="Arial" w:eastAsia="Arial" w:hAnsi="Arial"/>
          <w:sz w:val="22"/>
          <w:szCs w:val="22"/>
          <w:color w:val="auto"/>
        </w:rPr>
        <w:t>PRELIMINARY COPY</w:t>
      </w:r>
    </w:p>
    <w:p>
      <w:pPr>
        <w:spacing w:after="0" w:line="20" w:lineRule="exact"/>
        <w:rPr>
          <w:rFonts w:ascii="Arial" w:cs="Arial" w:eastAsia="Arial" w:hAnsi="Arial"/>
          <w:sz w:val="16"/>
          <w:szCs w:val="16"/>
          <w:b w:val="1"/>
          <w:bCs w:val="1"/>
          <w:color w:val="FFFFFF"/>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column">
              <wp:posOffset>2336800</wp:posOffset>
            </wp:positionH>
            <wp:positionV relativeFrom="paragraph">
              <wp:posOffset>344805</wp:posOffset>
            </wp:positionV>
            <wp:extent cx="246888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8880" cy="351155"/>
                    </a:xfrm>
                    <a:prstGeom prst="rect">
                      <a:avLst/>
                    </a:prstGeom>
                    <a:noFill/>
                  </pic:spPr>
                </pic:pic>
              </a:graphicData>
            </a:graphic>
          </wp:anchor>
        </w:drawing>
      </w: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337" w:lineRule="exact"/>
        <w:rPr>
          <w:rFonts w:ascii="Arial" w:cs="Arial" w:eastAsia="Arial" w:hAnsi="Arial"/>
          <w:sz w:val="16"/>
          <w:szCs w:val="16"/>
          <w:b w:val="1"/>
          <w:bCs w:val="1"/>
          <w:color w:val="FFFFFF"/>
        </w:rPr>
      </w:pPr>
    </w:p>
    <w:p>
      <w:pPr>
        <w:jc w:val="center"/>
        <w:ind w:right="20"/>
        <w:spacing w:after="0"/>
        <w:rPr>
          <w:sz w:val="20"/>
          <w:szCs w:val="20"/>
          <w:color w:val="auto"/>
        </w:rPr>
      </w:pPr>
      <w:r>
        <w:rPr>
          <w:rFonts w:ascii="Arial" w:cs="Arial" w:eastAsia="Arial" w:hAnsi="Arial"/>
          <w:sz w:val="29"/>
          <w:szCs w:val="29"/>
          <w:b w:val="1"/>
          <w:bCs w:val="1"/>
          <w:color w:val="auto"/>
        </w:rPr>
        <w:t>Notice of Annual Meeting of Stockholders</w:t>
      </w:r>
    </w:p>
    <w:p>
      <w:pPr>
        <w:spacing w:after="0" w:line="20" w:lineRule="exact"/>
        <w:rPr>
          <w:rFonts w:ascii="Arial" w:cs="Arial" w:eastAsia="Arial" w:hAnsi="Arial"/>
          <w:sz w:val="16"/>
          <w:szCs w:val="16"/>
          <w:b w:val="1"/>
          <w:bCs w:val="1"/>
          <w:color w:val="FFFFFF"/>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column">
              <wp:posOffset>4796790</wp:posOffset>
            </wp:positionH>
            <wp:positionV relativeFrom="paragraph">
              <wp:posOffset>2501900</wp:posOffset>
            </wp:positionV>
            <wp:extent cx="36004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2400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2801620</wp:posOffset>
            </wp:positionV>
            <wp:extent cx="411480" cy="1054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1054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5270500</wp:posOffset>
            </wp:positionV>
            <wp:extent cx="131127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300355"/>
                    </a:xfrm>
                    <a:prstGeom prst="rect">
                      <a:avLst/>
                    </a:prstGeom>
                    <a:noFill/>
                  </pic:spPr>
                </pic:pic>
              </a:graphicData>
            </a:graphic>
          </wp:anchor>
        </w:drawing>
      </w: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15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29" w:lineRule="exact"/>
        <w:rPr>
          <w:rFonts w:ascii="Arial" w:cs="Arial" w:eastAsia="Arial" w:hAnsi="Arial"/>
          <w:sz w:val="16"/>
          <w:szCs w:val="16"/>
          <w:b w:val="1"/>
          <w:bCs w:val="1"/>
          <w:color w:val="FFFFFF"/>
        </w:rPr>
      </w:pPr>
    </w:p>
    <w:p>
      <w:pPr>
        <w:spacing w:after="0" w:line="25" w:lineRule="exact"/>
        <w:rPr>
          <w:rFonts w:ascii="Arial" w:cs="Arial" w:eastAsia="Arial" w:hAnsi="Arial"/>
          <w:sz w:val="16"/>
          <w:szCs w:val="16"/>
          <w:b w:val="1"/>
          <w:bCs w:val="1"/>
          <w:color w:val="FFFFFF"/>
        </w:rPr>
      </w:pPr>
    </w:p>
    <w:p>
      <w:pPr>
        <w:spacing w:after="0" w:line="200" w:lineRule="exact"/>
        <w:rPr>
          <w:rFonts w:ascii="Arial" w:cs="Arial" w:eastAsia="Arial" w:hAnsi="Arial"/>
          <w:sz w:val="16"/>
          <w:szCs w:val="16"/>
          <w:b w:val="1"/>
          <w:bCs w:val="1"/>
          <w:color w:val="FFFFFF"/>
        </w:rPr>
      </w:pPr>
    </w:p>
    <w:p>
      <w:pPr>
        <w:spacing w:after="0" w:line="366" w:lineRule="exact"/>
        <w:rPr>
          <w:rFonts w:ascii="Arial" w:cs="Arial" w:eastAsia="Arial" w:hAnsi="Arial"/>
          <w:sz w:val="16"/>
          <w:szCs w:val="16"/>
          <w:b w:val="1"/>
          <w:bCs w:val="1"/>
          <w:color w:val="FFFFFF"/>
        </w:rPr>
      </w:pPr>
    </w:p>
    <w:tbl>
      <w:tblPr>
        <w:tblLayout w:type="fixed"/>
        <w:tblInd w:w="0" w:type="dxa"/>
        <w:tblCellMar>
          <w:top w:w="0" w:type="dxa"/>
          <w:left w:w="0" w:type="dxa"/>
          <w:bottom w:w="0" w:type="dxa"/>
          <w:right w:w="0" w:type="dxa"/>
        </w:tblCellMar>
      </w:tblPr>
      <w:tr>
        <w:trPr>
          <w:trHeight w:val="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520" w:type="dxa"/>
            <w:vAlign w:val="bottom"/>
            <w:shd w:val="clear" w:color="auto" w:fill="000000"/>
          </w:tcPr>
          <w:p>
            <w:pPr>
              <w:ind w:left="720"/>
              <w:spacing w:after="0"/>
              <w:rPr>
                <w:sz w:val="20"/>
                <w:szCs w:val="20"/>
                <w:color w:val="auto"/>
              </w:rPr>
            </w:pPr>
            <w:r>
              <w:rPr>
                <w:rFonts w:ascii="Arial" w:cs="Arial" w:eastAsia="Arial" w:hAnsi="Arial"/>
                <w:sz w:val="22"/>
                <w:szCs w:val="22"/>
                <w:b w:val="1"/>
                <w:bCs w:val="1"/>
                <w:color w:val="auto"/>
              </w:rPr>
              <w:t>Annual Meeting Information</w:t>
            </w:r>
          </w:p>
        </w:tc>
        <w:tc>
          <w:tcPr>
            <w:tcW w:w="18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shd w:val="clear" w:color="auto" w:fill="000000"/>
          </w:tcPr>
          <w:p>
            <w:pPr>
              <w:ind w:left="1020"/>
              <w:spacing w:after="0"/>
              <w:rPr>
                <w:sz w:val="20"/>
                <w:szCs w:val="20"/>
                <w:color w:val="auto"/>
              </w:rPr>
            </w:pPr>
            <w:r>
              <w:rPr>
                <w:rFonts w:ascii="Arial" w:cs="Arial" w:eastAsia="Arial" w:hAnsi="Arial"/>
                <w:sz w:val="22"/>
                <w:szCs w:val="22"/>
                <w:b w:val="1"/>
                <w:bCs w:val="1"/>
                <w:color w:val="FFFFFF"/>
              </w:rPr>
              <w:t>Your Vote is Important</w:t>
            </w:r>
          </w:p>
        </w:tc>
      </w:tr>
      <w:tr>
        <w:trPr>
          <w:trHeight w:val="0"/>
        </w:trPr>
        <w:tc>
          <w:tcPr>
            <w:tcW w:w="20" w:type="dxa"/>
            <w:vAlign w:val="bottom"/>
          </w:tcPr>
          <w:p>
            <w:pPr>
              <w:spacing w:after="0" w:line="20" w:lineRule="exact"/>
              <w:rPr>
                <w:sz w:val="1"/>
                <w:szCs w:val="1"/>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Company:</w:t>
            </w:r>
          </w:p>
        </w:tc>
        <w:tc>
          <w:tcPr>
            <w:tcW w:w="5520" w:type="dxa"/>
            <w:vAlign w:val="bottom"/>
          </w:tcPr>
          <w:p>
            <w:pPr>
              <w:ind w:left="460"/>
              <w:spacing w:after="0"/>
              <w:rPr>
                <w:sz w:val="20"/>
                <w:szCs w:val="20"/>
                <w:color w:val="auto"/>
              </w:rPr>
            </w:pPr>
            <w:r>
              <w:rPr>
                <w:rFonts w:ascii="Arial" w:cs="Arial" w:eastAsia="Arial" w:hAnsi="Arial"/>
                <w:sz w:val="16"/>
                <w:szCs w:val="16"/>
                <w:color w:val="auto"/>
              </w:rPr>
              <w:t>Marqeta, Inc.</w:t>
            </w:r>
          </w:p>
        </w:tc>
        <w:tc>
          <w:tcPr>
            <w:tcW w:w="18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Stockholders of record at the close of business on</w:t>
            </w:r>
          </w:p>
        </w:tc>
      </w:tr>
      <w:tr>
        <w:trPr>
          <w:trHeight w:val="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April 15, 2026 (the “Record Date”) are entitled to</w:t>
            </w:r>
          </w:p>
        </w:tc>
      </w:tr>
      <w:tr>
        <w:trPr>
          <w:trHeight w:val="0"/>
        </w:trPr>
        <w:tc>
          <w:tcPr>
            <w:tcW w:w="20" w:type="dxa"/>
            <w:vAlign w:val="bottom"/>
          </w:tcPr>
          <w:p>
            <w:pPr>
              <w:spacing w:after="0" w:line="20" w:lineRule="exact"/>
              <w:rPr>
                <w:sz w:val="1"/>
                <w:szCs w:val="1"/>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Date:</w:t>
            </w:r>
          </w:p>
        </w:tc>
        <w:tc>
          <w:tcPr>
            <w:tcW w:w="5520" w:type="dxa"/>
            <w:vAlign w:val="bottom"/>
          </w:tcPr>
          <w:p>
            <w:pPr>
              <w:ind w:left="460"/>
              <w:spacing w:after="0"/>
              <w:rPr>
                <w:sz w:val="20"/>
                <w:szCs w:val="20"/>
                <w:color w:val="auto"/>
              </w:rPr>
            </w:pPr>
            <w:r>
              <w:rPr>
                <w:rFonts w:ascii="Arial" w:cs="Arial" w:eastAsia="Arial" w:hAnsi="Arial"/>
                <w:sz w:val="16"/>
                <w:szCs w:val="16"/>
                <w:color w:val="auto"/>
              </w:rPr>
              <w:t>June 10, 2026</w:t>
            </w:r>
          </w:p>
        </w:tc>
        <w:tc>
          <w:tcPr>
            <w:tcW w:w="18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notice of, and to vote at, the Annual Meeting and</w:t>
            </w:r>
          </w:p>
        </w:tc>
      </w:tr>
      <w:tr>
        <w:trPr>
          <w:trHeight w:val="25"/>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1200" w:type="dxa"/>
            <w:vAlign w:val="bottom"/>
            <w:tcBorders>
              <w:bottom w:val="single" w:sz="8" w:color="929292"/>
            </w:tcBorders>
            <w:shd w:val="clear" w:color="auto" w:fill="000000"/>
          </w:tcPr>
          <w:p>
            <w:pPr>
              <w:spacing w:after="0" w:line="20" w:lineRule="exact"/>
              <w:rPr>
                <w:sz w:val="1"/>
                <w:szCs w:val="1"/>
                <w:color w:val="auto"/>
              </w:rPr>
            </w:pPr>
          </w:p>
        </w:tc>
        <w:tc>
          <w:tcPr>
            <w:tcW w:w="5520" w:type="dxa"/>
            <w:vAlign w:val="bottom"/>
            <w:tcBorders>
              <w:bottom w:val="single" w:sz="8" w:color="929292"/>
            </w:tcBorders>
            <w:shd w:val="clear" w:color="auto" w:fill="000000"/>
          </w:tcPr>
          <w:p>
            <w:pPr>
              <w:spacing w:after="0" w:line="20" w:lineRule="exact"/>
              <w:rPr>
                <w:sz w:val="1"/>
                <w:szCs w:val="1"/>
                <w:color w:val="auto"/>
              </w:rPr>
            </w:pPr>
          </w:p>
        </w:tc>
        <w:tc>
          <w:tcPr>
            <w:tcW w:w="180" w:type="dxa"/>
            <w:vAlign w:val="bottom"/>
            <w:tcBorders>
              <w:bottom w:val="single" w:sz="8" w:color="929292"/>
              <w:right w:val="single" w:sz="8" w:color="auto"/>
            </w:tcBorders>
            <w:shd w:val="clear" w:color="auto" w:fill="000000"/>
          </w:tcPr>
          <w:p>
            <w:pPr>
              <w:spacing w:after="0" w:line="20" w:lineRule="exact"/>
              <w:rPr>
                <w:sz w:val="1"/>
                <w:szCs w:val="1"/>
                <w:color w:val="auto"/>
              </w:rPr>
            </w:pPr>
          </w:p>
        </w:tc>
        <w:tc>
          <w:tcPr>
            <w:tcW w:w="4340" w:type="dxa"/>
            <w:vAlign w:val="bottom"/>
            <w:tcBorders>
              <w:bottom w:val="single" w:sz="8" w:color="929292"/>
              <w:right w:val="single" w:sz="8" w:color="auto"/>
            </w:tcBorders>
            <w:shd w:val="clear" w:color="auto" w:fill="000000"/>
          </w:tcPr>
          <w:p>
            <w:pPr>
              <w:spacing w:after="0"/>
              <w:rPr>
                <w:sz w:val="20"/>
                <w:szCs w:val="20"/>
                <w:color w:val="auto"/>
              </w:rPr>
            </w:pPr>
            <w:r>
              <w:rPr>
                <w:rFonts w:ascii="Arial" w:cs="Arial" w:eastAsia="Arial" w:hAnsi="Arial"/>
                <w:sz w:val="19"/>
                <w:szCs w:val="19"/>
                <w:color w:val="auto"/>
              </w:rPr>
              <w:t>any postponements or adjournments thereof.</w:t>
            </w:r>
          </w:p>
        </w:tc>
      </w:tr>
      <w:tr>
        <w:trPr>
          <w:trHeight w:val="1007"/>
        </w:trPr>
        <w:tc>
          <w:tcPr>
            <w:tcW w:w="2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55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4340" w:type="dxa"/>
            <w:vAlign w:val="bottom"/>
            <w:tcBorders>
              <w:top w:val="single" w:sz="8" w:color="auto"/>
              <w:bottom w:val="single" w:sz="8" w:color="9A9A9A"/>
            </w:tcBorders>
          </w:tcPr>
          <w:p>
            <w:pPr>
              <w:spacing w:after="0"/>
              <w:rPr>
                <w:sz w:val="24"/>
                <w:szCs w:val="24"/>
                <w:color w:val="auto"/>
              </w:rPr>
            </w:pPr>
          </w:p>
        </w:tc>
      </w:tr>
    </w:tbl>
    <w:p>
      <w:pPr>
        <w:spacing w:after="0" w:line="20" w:lineRule="exact"/>
        <w:rPr>
          <w:rFonts w:ascii="Arial" w:cs="Arial" w:eastAsia="Arial" w:hAnsi="Arial"/>
          <w:sz w:val="16"/>
          <w:szCs w:val="16"/>
          <w:b w:val="1"/>
          <w:bCs w:val="1"/>
          <w:color w:val="FFFFFF"/>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47"/>
        </w:trPr>
        <w:tc>
          <w:tcPr>
            <w:tcW w:w="27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PROXY STATEMENT SUMMARY</w:t>
            </w:r>
          </w:p>
        </w:tc>
        <w:tc>
          <w:tcPr>
            <w:tcW w:w="6840" w:type="dxa"/>
            <w:vAlign w:val="bottom"/>
            <w:gridSpan w:val="25"/>
          </w:tcPr>
          <w:p>
            <w:pPr>
              <w:spacing w:after="0"/>
              <w:rPr>
                <w:sz w:val="24"/>
                <w:szCs w:val="24"/>
                <w:color w:val="auto"/>
              </w:rPr>
            </w:pPr>
          </w:p>
        </w:tc>
        <w:tc>
          <w:tcPr>
            <w:tcW w:w="154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560" w:type="dxa"/>
            <w:vAlign w:val="bottom"/>
            <w:gridSpan w:val="39"/>
          </w:tcPr>
          <w:p>
            <w:pPr>
              <w:spacing w:after="0" w:line="196" w:lineRule="exact"/>
              <w:rPr>
                <w:sz w:val="20"/>
                <w:szCs w:val="20"/>
                <w:color w:val="auto"/>
              </w:rPr>
            </w:pPr>
            <w:r>
              <w:rPr>
                <w:rFonts w:ascii="Arial" w:cs="Arial" w:eastAsia="Arial" w:hAnsi="Arial"/>
                <w:sz w:val="18"/>
                <w:szCs w:val="18"/>
                <w:color w:val="0000FF"/>
              </w:rPr>
              <w:t>PROPOSAL NO. 1: ELECTION OF DIRECTORS</w:t>
            </w:r>
          </w:p>
        </w:tc>
        <w:tc>
          <w:tcPr>
            <w:tcW w:w="15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BOARD OF DIRECTORS AND CORPORATE GOVERNANCE</w:t>
            </w:r>
          </w:p>
        </w:tc>
        <w:tc>
          <w:tcPr>
            <w:tcW w:w="4560" w:type="dxa"/>
            <w:vAlign w:val="bottom"/>
            <w:gridSpan w:val="14"/>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1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Director Nominees</w:t>
            </w:r>
          </w:p>
        </w:tc>
        <w:tc>
          <w:tcPr>
            <w:tcW w:w="7960" w:type="dxa"/>
            <w:vAlign w:val="bottom"/>
            <w:gridSpan w:val="34"/>
          </w:tcPr>
          <w:p>
            <w:pPr>
              <w:spacing w:after="0"/>
              <w:rPr>
                <w:sz w:val="24"/>
                <w:szCs w:val="24"/>
                <w:color w:val="auto"/>
              </w:rPr>
            </w:pPr>
          </w:p>
        </w:tc>
        <w:tc>
          <w:tcPr>
            <w:tcW w:w="154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40" w:type="dxa"/>
            <w:vAlign w:val="bottom"/>
            <w:gridSpan w:val="5"/>
          </w:tcPr>
          <w:p>
            <w:pPr>
              <w:spacing w:after="0"/>
              <w:rPr>
                <w:sz w:val="20"/>
                <w:szCs w:val="20"/>
                <w:color w:val="auto"/>
              </w:rPr>
            </w:pPr>
            <w:r>
              <w:rPr>
                <w:rFonts w:ascii="Arial" w:cs="Arial" w:eastAsia="Arial" w:hAnsi="Arial"/>
                <w:sz w:val="18"/>
                <w:szCs w:val="18"/>
                <w:color w:val="0000FF"/>
                <w:w w:val="99"/>
              </w:rPr>
              <w:t>Continuing Directors</w:t>
            </w:r>
          </w:p>
        </w:tc>
        <w:tc>
          <w:tcPr>
            <w:tcW w:w="7820" w:type="dxa"/>
            <w:vAlign w:val="bottom"/>
            <w:gridSpan w:val="33"/>
          </w:tcPr>
          <w:p>
            <w:pPr>
              <w:spacing w:after="0"/>
              <w:rPr>
                <w:sz w:val="20"/>
                <w:szCs w:val="20"/>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10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FF"/>
              </w:rPr>
              <w:t>Director Independence</w:t>
            </w: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10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79"/>
              </w:rPr>
              <w:t>15</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FF"/>
              </w:rPr>
              <w:t>Board Leadership Structure</w:t>
            </w:r>
          </w:p>
        </w:tc>
        <w:tc>
          <w:tcPr>
            <w:tcW w:w="146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0" w:type="dxa"/>
            <w:vAlign w:val="bottom"/>
          </w:tcPr>
          <w:p>
            <w:pPr>
              <w:spacing w:after="0"/>
              <w:rPr>
                <w:sz w:val="22"/>
                <w:szCs w:val="22"/>
                <w:color w:val="auto"/>
              </w:rPr>
            </w:pPr>
          </w:p>
        </w:tc>
        <w:tc>
          <w:tcPr>
            <w:tcW w:w="25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Board and Committee Meetings</w:t>
            </w:r>
          </w:p>
        </w:tc>
        <w:tc>
          <w:tcPr>
            <w:tcW w:w="6920" w:type="dxa"/>
            <w:vAlign w:val="bottom"/>
            <w:gridSpan w:val="26"/>
          </w:tcPr>
          <w:p>
            <w:pPr>
              <w:spacing w:after="0"/>
              <w:rPr>
                <w:sz w:val="22"/>
                <w:szCs w:val="22"/>
                <w:color w:val="auto"/>
              </w:rPr>
            </w:pPr>
          </w:p>
        </w:tc>
        <w:tc>
          <w:tcPr>
            <w:tcW w:w="14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9460" w:type="dxa"/>
            <w:vAlign w:val="bottom"/>
            <w:gridSpan w:val="38"/>
          </w:tcPr>
          <w:p>
            <w:pPr>
              <w:spacing w:after="0" w:line="189" w:lineRule="exact"/>
              <w:rPr>
                <w:sz w:val="20"/>
                <w:szCs w:val="20"/>
                <w:color w:val="auto"/>
              </w:rPr>
            </w:pPr>
            <w:r>
              <w:rPr>
                <w:rFonts w:ascii="Arial" w:cs="Arial" w:eastAsia="Arial" w:hAnsi="Arial"/>
                <w:sz w:val="18"/>
                <w:szCs w:val="18"/>
                <w:color w:val="0000FF"/>
              </w:rPr>
              <w:t>Committees of the Board of Directors</w:t>
            </w:r>
          </w:p>
        </w:tc>
        <w:tc>
          <w:tcPr>
            <w:tcW w:w="14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w w:val="7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8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Role of the Board in Risk Oversight</w:t>
            </w:r>
          </w:p>
        </w:tc>
        <w:tc>
          <w:tcPr>
            <w:tcW w:w="140" w:type="dxa"/>
            <w:vAlign w:val="bottom"/>
            <w:tcBorders>
              <w:top w:val="single" w:sz="8" w:color="0000FF"/>
            </w:tcBorders>
          </w:tcPr>
          <w:p>
            <w:pPr>
              <w:spacing w:after="0"/>
              <w:rPr>
                <w:sz w:val="21"/>
                <w:szCs w:val="21"/>
                <w:color w:val="auto"/>
              </w:rPr>
            </w:pPr>
          </w:p>
        </w:tc>
        <w:tc>
          <w:tcPr>
            <w:tcW w:w="6500" w:type="dxa"/>
            <w:vAlign w:val="bottom"/>
            <w:gridSpan w:val="22"/>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FF"/>
              </w:rPr>
              <w:t>Compensation Committee Interlocks and Insider Participation</w:t>
            </w:r>
          </w:p>
        </w:tc>
        <w:tc>
          <w:tcPr>
            <w:tcW w:w="146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88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Considerations in Evaluating Director Nominees</w:t>
            </w:r>
          </w:p>
        </w:tc>
        <w:tc>
          <w:tcPr>
            <w:tcW w:w="4580" w:type="dxa"/>
            <w:vAlign w:val="bottom"/>
            <w:gridSpan w:val="15"/>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5820" w:type="dxa"/>
            <w:vAlign w:val="bottom"/>
            <w:gridSpan w:val="28"/>
            <w:vMerge w:val="restart"/>
          </w:tcPr>
          <w:p>
            <w:pPr>
              <w:spacing w:after="0"/>
              <w:rPr>
                <w:sz w:val="20"/>
                <w:szCs w:val="20"/>
                <w:color w:val="auto"/>
              </w:rPr>
            </w:pPr>
            <w:r>
              <w:rPr>
                <w:rFonts w:ascii="Arial" w:cs="Arial" w:eastAsia="Arial" w:hAnsi="Arial"/>
                <w:sz w:val="18"/>
                <w:szCs w:val="18"/>
                <w:color w:val="0000FF"/>
                <w:w w:val="99"/>
              </w:rPr>
              <w:t>Stockholder Recommendations for Nominations to the Board of Directors</w:t>
            </w:r>
          </w:p>
        </w:tc>
        <w:tc>
          <w:tcPr>
            <w:tcW w:w="3640" w:type="dxa"/>
            <w:vAlign w:val="bottom"/>
            <w:gridSpan w:val="10"/>
            <w:vMerge w:val="restart"/>
          </w:tcPr>
          <w:p>
            <w:pPr>
              <w:spacing w:after="0"/>
              <w:rPr>
                <w:sz w:val="20"/>
                <w:szCs w:val="20"/>
                <w:color w:val="auto"/>
              </w:rPr>
            </w:pPr>
          </w:p>
        </w:tc>
        <w:tc>
          <w:tcPr>
            <w:tcW w:w="16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5820" w:type="dxa"/>
            <w:vAlign w:val="bottom"/>
            <w:tcBorders>
              <w:bottom w:val="single" w:sz="8" w:color="0000FF"/>
            </w:tcBorders>
            <w:gridSpan w:val="28"/>
            <w:vMerge w:val="continue"/>
          </w:tcPr>
          <w:p>
            <w:pPr>
              <w:spacing w:after="0"/>
              <w:rPr>
                <w:sz w:val="18"/>
                <w:szCs w:val="18"/>
                <w:color w:val="auto"/>
              </w:rPr>
            </w:pPr>
          </w:p>
        </w:tc>
        <w:tc>
          <w:tcPr>
            <w:tcW w:w="3640" w:type="dxa"/>
            <w:vAlign w:val="bottom"/>
            <w:gridSpan w:val="10"/>
            <w:vMerge w:val="continue"/>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5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Communications with the Board of Directors</w:t>
            </w:r>
          </w:p>
        </w:tc>
        <w:tc>
          <w:tcPr>
            <w:tcW w:w="5940" w:type="dxa"/>
            <w:vAlign w:val="bottom"/>
            <w:gridSpan w:val="19"/>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616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Corporate Governance Guidelines and Code of Business Conduct and Ethics</w:t>
            </w:r>
          </w:p>
        </w:tc>
        <w:tc>
          <w:tcPr>
            <w:tcW w:w="3300" w:type="dxa"/>
            <w:vAlign w:val="bottom"/>
            <w:gridSpan w:val="7"/>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8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Insider Trading Policy; Prohibition on Hedging, Short Sales, and Pledging</w:t>
            </w:r>
          </w:p>
        </w:tc>
        <w:tc>
          <w:tcPr>
            <w:tcW w:w="3620" w:type="dxa"/>
            <w:vAlign w:val="bottom"/>
            <w:gridSpan w:val="9"/>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FF"/>
              </w:rPr>
              <w:t>Non-Employee Director Compensation</w:t>
            </w:r>
          </w:p>
        </w:tc>
        <w:tc>
          <w:tcPr>
            <w:tcW w:w="166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560" w:type="dxa"/>
            <w:vAlign w:val="bottom"/>
            <w:gridSpan w:val="39"/>
          </w:tcPr>
          <w:p>
            <w:pPr>
              <w:spacing w:after="0"/>
              <w:rPr>
                <w:sz w:val="20"/>
                <w:szCs w:val="20"/>
                <w:color w:val="auto"/>
              </w:rPr>
            </w:pPr>
            <w:r>
              <w:rPr>
                <w:rFonts w:ascii="Arial" w:cs="Arial" w:eastAsia="Arial" w:hAnsi="Arial"/>
                <w:sz w:val="18"/>
                <w:szCs w:val="18"/>
                <w:color w:val="0000FF"/>
              </w:rPr>
              <w:t>PROPOSAL NO. 2: RATIFICATION OF APPOINTMENT OF INDEPENDENT REGISTERED PUBLIC ACCOUNTING</w:t>
            </w:r>
          </w:p>
        </w:tc>
        <w:tc>
          <w:tcPr>
            <w:tcW w:w="1460" w:type="dxa"/>
            <w:vAlign w:val="bottom"/>
          </w:tcPr>
          <w:p>
            <w:pPr>
              <w:spacing w:after="0"/>
              <w:rPr>
                <w:sz w:val="21"/>
                <w:szCs w:val="2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9300" w:type="dxa"/>
            <w:vAlign w:val="bottom"/>
            <w:tcBorders>
              <w:top w:val="single" w:sz="8" w:color="0000FF"/>
              <w:bottom w:val="single" w:sz="8" w:color="0000FF"/>
            </w:tcBorders>
            <w:gridSpan w:val="36"/>
            <w:vMerge w:val="restart"/>
          </w:tcPr>
          <w:p>
            <w:pPr>
              <w:spacing w:after="0" w:line="182" w:lineRule="exact"/>
              <w:rPr>
                <w:sz w:val="20"/>
                <w:szCs w:val="20"/>
                <w:color w:val="auto"/>
              </w:rPr>
            </w:pPr>
            <w:r>
              <w:rPr>
                <w:rFonts w:ascii="Arial" w:cs="Arial" w:eastAsia="Arial" w:hAnsi="Arial"/>
                <w:sz w:val="18"/>
                <w:szCs w:val="18"/>
                <w:color w:val="0000FF"/>
              </w:rPr>
              <w:t>FIRM</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Borders>
              <w:bottom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300" w:type="dxa"/>
            <w:vAlign w:val="bottom"/>
            <w:gridSpan w:val="36"/>
            <w:vMerge w:val="continue"/>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restart"/>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24</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4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AUDIT COMMITTEE REPORT</w:t>
            </w:r>
          </w:p>
        </w:tc>
        <w:tc>
          <w:tcPr>
            <w:tcW w:w="7080" w:type="dxa"/>
            <w:vAlign w:val="bottom"/>
            <w:gridSpan w:val="28"/>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560" w:type="dxa"/>
            <w:vAlign w:val="bottom"/>
            <w:gridSpan w:val="39"/>
          </w:tcPr>
          <w:p>
            <w:pPr>
              <w:spacing w:after="0"/>
              <w:rPr>
                <w:sz w:val="20"/>
                <w:szCs w:val="20"/>
                <w:color w:val="auto"/>
              </w:rPr>
            </w:pPr>
            <w:r>
              <w:rPr>
                <w:rFonts w:ascii="Arial" w:cs="Arial" w:eastAsia="Arial" w:hAnsi="Arial"/>
                <w:sz w:val="18"/>
                <w:szCs w:val="18"/>
                <w:color w:val="0000FF"/>
              </w:rPr>
              <w:t>PROPOSAL 3: APPROVAL OF A REVERSE STOCK SPLIT AND RELATED REDUCTION OF OUR AUTHORIZED</w:t>
            </w: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1520" w:type="dxa"/>
            <w:vAlign w:val="bottom"/>
            <w:tcBorders>
              <w:top w:val="single" w:sz="8" w:color="0000FF"/>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COMMON STOCK</w:t>
            </w:r>
          </w:p>
        </w:tc>
        <w:tc>
          <w:tcPr>
            <w:tcW w:w="7660" w:type="dxa"/>
            <w:vAlign w:val="bottom"/>
            <w:tcBorders>
              <w:top w:val="single" w:sz="8" w:color="0000FF"/>
            </w:tcBorders>
            <w:gridSpan w:val="32"/>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560" w:type="dxa"/>
            <w:vAlign w:val="bottom"/>
            <w:gridSpan w:val="39"/>
          </w:tcPr>
          <w:p>
            <w:pPr>
              <w:spacing w:after="0"/>
              <w:rPr>
                <w:sz w:val="20"/>
                <w:szCs w:val="20"/>
                <w:color w:val="auto"/>
              </w:rPr>
            </w:pPr>
            <w:r>
              <w:rPr>
                <w:rFonts w:ascii="Arial" w:cs="Arial" w:eastAsia="Arial" w:hAnsi="Arial"/>
                <w:sz w:val="18"/>
                <w:szCs w:val="18"/>
                <w:color w:val="0000FF"/>
                <w:w w:val="99"/>
              </w:rPr>
              <w:t>PROPOSAL 4: APPROVAL OF AMENDMENT TO CERTIFICATE OF INCORPORATION TO PROVIDE FOR OFFICER</w:t>
            </w: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4400" w:type="dxa"/>
            <w:vAlign w:val="bottom"/>
            <w:tcBorders>
              <w:top w:val="single" w:sz="8" w:color="0000FF"/>
              <w:bottom w:val="single" w:sz="8" w:color="0000FF"/>
            </w:tcBorders>
            <w:gridSpan w:val="23"/>
          </w:tcPr>
          <w:p>
            <w:pPr>
              <w:spacing w:after="0" w:line="189" w:lineRule="exact"/>
              <w:rPr>
                <w:sz w:val="20"/>
                <w:szCs w:val="20"/>
                <w:color w:val="auto"/>
              </w:rPr>
            </w:pPr>
            <w:r>
              <w:rPr>
                <w:rFonts w:ascii="Arial" w:cs="Arial" w:eastAsia="Arial" w:hAnsi="Arial"/>
                <w:sz w:val="18"/>
                <w:szCs w:val="18"/>
                <w:color w:val="0000FF"/>
                <w:w w:val="98"/>
              </w:rPr>
              <w:t>EXCULPATION AS PERMITTED BY DELAWARE LAW</w:t>
            </w:r>
          </w:p>
        </w:tc>
        <w:tc>
          <w:tcPr>
            <w:tcW w:w="5120" w:type="dxa"/>
            <w:vAlign w:val="bottom"/>
            <w:tcBorders>
              <w:top w:val="single" w:sz="8" w:color="0000FF"/>
            </w:tcBorders>
            <w:gridSpan w:val="15"/>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560" w:type="dxa"/>
            <w:vAlign w:val="bottom"/>
            <w:gridSpan w:val="39"/>
          </w:tcPr>
          <w:p>
            <w:pPr>
              <w:spacing w:after="0"/>
              <w:rPr>
                <w:sz w:val="20"/>
                <w:szCs w:val="20"/>
                <w:color w:val="auto"/>
              </w:rPr>
            </w:pPr>
            <w:r>
              <w:rPr>
                <w:rFonts w:ascii="Arial" w:cs="Arial" w:eastAsia="Arial" w:hAnsi="Arial"/>
                <w:sz w:val="18"/>
                <w:szCs w:val="18"/>
                <w:color w:val="0000FF"/>
              </w:rPr>
              <w:t>PROPOSAL NO. 5: ADVISORY VOTE ON EXECUTIVE COMPENSATION</w:t>
            </w:r>
          </w:p>
        </w:tc>
        <w:tc>
          <w:tcPr>
            <w:tcW w:w="14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6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EXECUTIVE OFFICERS AND KEY EMPLOYEES</w:t>
            </w:r>
          </w:p>
        </w:tc>
        <w:tc>
          <w:tcPr>
            <w:tcW w:w="3600" w:type="dxa"/>
            <w:vAlign w:val="bottom"/>
            <w:gridSpan w:val="8"/>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8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EXECUTIVE COMPENSATION</w:t>
            </w:r>
          </w:p>
        </w:tc>
        <w:tc>
          <w:tcPr>
            <w:tcW w:w="5580" w:type="dxa"/>
            <w:vAlign w:val="bottom"/>
            <w:gridSpan w:val="17"/>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29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Compensation Discussion &amp; Analysis</w:t>
            </w:r>
          </w:p>
        </w:tc>
        <w:tc>
          <w:tcPr>
            <w:tcW w:w="6480" w:type="dxa"/>
            <w:vAlign w:val="bottom"/>
            <w:gridSpan w:val="21"/>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6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Compensation Committee Report</w:t>
            </w:r>
          </w:p>
        </w:tc>
        <w:tc>
          <w:tcPr>
            <w:tcW w:w="6780" w:type="dxa"/>
            <w:vAlign w:val="bottom"/>
            <w:gridSpan w:val="24"/>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Compensation Tables</w:t>
            </w:r>
          </w:p>
        </w:tc>
        <w:tc>
          <w:tcPr>
            <w:tcW w:w="7720" w:type="dxa"/>
            <w:vAlign w:val="bottom"/>
            <w:gridSpan w:val="32"/>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8"/>
              </w:rPr>
              <w:t>PAY VERSUS PERFORMANCE</w:t>
            </w:r>
          </w:p>
        </w:tc>
        <w:tc>
          <w:tcPr>
            <w:tcW w:w="6980" w:type="dxa"/>
            <w:vAlign w:val="bottom"/>
            <w:gridSpan w:val="27"/>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gridSpan w:val="39"/>
          </w:tcPr>
          <w:p>
            <w:pPr>
              <w:spacing w:after="0"/>
              <w:rPr>
                <w:sz w:val="20"/>
                <w:szCs w:val="20"/>
                <w:color w:val="auto"/>
              </w:rPr>
            </w:pPr>
            <w:r>
              <w:rPr>
                <w:rFonts w:ascii="Arial" w:cs="Arial" w:eastAsia="Arial" w:hAnsi="Arial"/>
                <w:sz w:val="18"/>
                <w:szCs w:val="18"/>
                <w:color w:val="0000FF"/>
              </w:rPr>
              <w:t>PAY RATIO DISCLOSURE</w:t>
            </w:r>
          </w:p>
        </w:tc>
        <w:tc>
          <w:tcPr>
            <w:tcW w:w="14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70</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39"/>
          </w:tcPr>
          <w:p>
            <w:pPr>
              <w:spacing w:after="0"/>
              <w:rPr>
                <w:sz w:val="20"/>
                <w:szCs w:val="20"/>
                <w:color w:val="auto"/>
              </w:rPr>
            </w:pPr>
            <w:r>
              <w:rPr>
                <w:rFonts w:ascii="Arial" w:cs="Arial" w:eastAsia="Arial" w:hAnsi="Arial"/>
                <w:sz w:val="18"/>
                <w:szCs w:val="18"/>
                <w:color w:val="0000FF"/>
              </w:rPr>
              <w:t>EQUITY COMPENSATION PLAN INFORMATION</w:t>
            </w:r>
          </w:p>
        </w:tc>
        <w:tc>
          <w:tcPr>
            <w:tcW w:w="1460" w:type="dxa"/>
            <w:vAlign w:val="bottom"/>
            <w:vMerge w:val="continue"/>
          </w:tcPr>
          <w:p>
            <w:pPr>
              <w:spacing w:after="0"/>
              <w:rPr>
                <w:sz w:val="18"/>
                <w:szCs w:val="18"/>
                <w:color w:val="auto"/>
              </w:rPr>
            </w:pPr>
          </w:p>
        </w:tc>
        <w:tc>
          <w:tcPr>
            <w:tcW w:w="180" w:type="dxa"/>
            <w:vAlign w:val="bottom"/>
            <w:tcBorders>
              <w:bottom w:val="single" w:sz="8" w:color="auto"/>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1500" w:type="dxa"/>
            <w:vAlign w:val="bottom"/>
            <w:tcBorders>
              <w:left w:val="single" w:sz="8" w:color="0000FF"/>
            </w:tcBorders>
            <w:gridSpan w:val="11"/>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70</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560" w:type="dxa"/>
            <w:vAlign w:val="bottom"/>
            <w:gridSpan w:val="39"/>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1460" w:type="dxa"/>
            <w:vAlign w:val="bottom"/>
            <w:vMerge w:val="continue"/>
          </w:tcPr>
          <w:p>
            <w:pPr>
              <w:spacing w:after="0"/>
              <w:rPr>
                <w:sz w:val="20"/>
                <w:szCs w:val="20"/>
                <w:color w:val="auto"/>
              </w:rPr>
            </w:pPr>
          </w:p>
        </w:tc>
        <w:tc>
          <w:tcPr>
            <w:tcW w:w="180" w:type="dxa"/>
            <w:vAlign w:val="bottom"/>
            <w:tcBorders>
              <w:bottom w:val="single" w:sz="8" w:color="auto"/>
            </w:tcBorders>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920" w:type="dxa"/>
            <w:vAlign w:val="bottom"/>
            <w:tcBorders>
              <w:top w:val="single" w:sz="8" w:color="0000EE"/>
            </w:tcBorders>
            <w:gridSpan w:val="34"/>
          </w:tcPr>
          <w:p>
            <w:pPr>
              <w:spacing w:after="0"/>
              <w:rPr>
                <w:sz w:val="20"/>
                <w:szCs w:val="20"/>
                <w:color w:val="auto"/>
              </w:rPr>
            </w:pPr>
            <w:r>
              <w:rPr>
                <w:rFonts w:ascii="Arial" w:cs="Arial" w:eastAsia="Arial" w:hAnsi="Arial"/>
                <w:sz w:val="18"/>
                <w:szCs w:val="18"/>
                <w:color w:val="0000FF"/>
              </w:rPr>
              <w:t>CERTAIN RELATIONSHIPS AND RELATED PERSON TRANSACTIONS</w:t>
            </w:r>
          </w:p>
        </w:tc>
        <w:tc>
          <w:tcPr>
            <w:tcW w:w="2640" w:type="dxa"/>
            <w:vAlign w:val="bottom"/>
            <w:gridSpan w:val="5"/>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5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MATTERS</w:t>
            </w:r>
          </w:p>
        </w:tc>
        <w:tc>
          <w:tcPr>
            <w:tcW w:w="4280" w:type="dxa"/>
            <w:vAlign w:val="bottom"/>
            <w:tcBorders>
              <w:top w:val="single" w:sz="8" w:color="0000FF"/>
            </w:tcBorders>
            <w:gridSpan w:val="24"/>
          </w:tcPr>
          <w:p>
            <w:pPr>
              <w:spacing w:after="0"/>
              <w:rPr>
                <w:sz w:val="24"/>
                <w:szCs w:val="24"/>
                <w:color w:val="auto"/>
              </w:rPr>
            </w:pPr>
          </w:p>
        </w:tc>
        <w:tc>
          <w:tcPr>
            <w:tcW w:w="3740" w:type="dxa"/>
            <w:vAlign w:val="bottom"/>
            <w:gridSpan w:val="11"/>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560" w:type="dxa"/>
            <w:vAlign w:val="bottom"/>
            <w:gridSpan w:val="39"/>
          </w:tcPr>
          <w:p>
            <w:pPr>
              <w:spacing w:after="0"/>
              <w:rPr>
                <w:sz w:val="20"/>
                <w:szCs w:val="20"/>
                <w:color w:val="auto"/>
              </w:rPr>
            </w:pPr>
            <w:r>
              <w:rPr>
                <w:rFonts w:ascii="Arial" w:cs="Arial" w:eastAsia="Arial" w:hAnsi="Arial"/>
                <w:sz w:val="18"/>
                <w:szCs w:val="18"/>
                <w:color w:val="0000FF"/>
              </w:rPr>
              <w:t>QUESTIONS AND ANSWERS ABOUT THE ANNUAL MEETING</w:t>
            </w:r>
          </w:p>
        </w:tc>
        <w:tc>
          <w:tcPr>
            <w:tcW w:w="14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gridSpan w:val="11"/>
            <w:shd w:val="clear" w:color="auto" w:fill="0000FF"/>
          </w:tcPr>
          <w:p>
            <w:pPr>
              <w:spacing w:after="0" w:line="20" w:lineRule="exact"/>
              <w:rPr>
                <w:sz w:val="1"/>
                <w:szCs w:val="1"/>
                <w:color w:val="auto"/>
              </w:rPr>
            </w:pPr>
          </w:p>
        </w:tc>
        <w:tc>
          <w:tcPr>
            <w:tcW w:w="2700" w:type="dxa"/>
            <w:vAlign w:val="bottom"/>
            <w:tcBorders>
              <w:left w:val="single" w:sz="8" w:color="0000FF"/>
            </w:tcBorders>
            <w:gridSpan w:val="1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82</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560" w:type="dxa"/>
            <w:vAlign w:val="bottom"/>
            <w:gridSpan w:val="39"/>
          </w:tcPr>
          <w:p>
            <w:pPr>
              <w:spacing w:after="0"/>
              <w:rPr>
                <w:sz w:val="20"/>
                <w:szCs w:val="20"/>
                <w:color w:val="auto"/>
              </w:rPr>
            </w:pPr>
            <w:r>
              <w:rPr>
                <w:rFonts w:ascii="Arial" w:cs="Arial" w:eastAsia="Arial" w:hAnsi="Arial"/>
                <w:sz w:val="18"/>
                <w:szCs w:val="18"/>
                <w:color w:val="0000FF"/>
              </w:rPr>
              <w:t>PROPOSALS OF STOCKHOLDERS FOR 2026 ANNUAL MEETING</w:t>
            </w:r>
          </w:p>
        </w:tc>
        <w:tc>
          <w:tcPr>
            <w:tcW w:w="1460" w:type="dxa"/>
            <w:vAlign w:val="bottom"/>
            <w:vMerge w:val="continue"/>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gridSpan w:val="11"/>
            <w:shd w:val="clear" w:color="auto" w:fill="0000FF"/>
          </w:tcPr>
          <w:p>
            <w:pPr>
              <w:spacing w:after="0" w:line="20" w:lineRule="exact"/>
              <w:rPr>
                <w:sz w:val="1"/>
                <w:szCs w:val="1"/>
                <w:color w:val="auto"/>
              </w:rPr>
            </w:pPr>
          </w:p>
        </w:tc>
        <w:tc>
          <w:tcPr>
            <w:tcW w:w="3000" w:type="dxa"/>
            <w:vAlign w:val="bottom"/>
            <w:tcBorders>
              <w:left w:val="single" w:sz="8" w:color="0000FF"/>
            </w:tcBorders>
            <w:gridSpan w:val="16"/>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83</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8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9"/>
              </w:rPr>
              <w:t>ANNEX I - KEY OPERATING METRIC AND NON-GAAP FINANCIAL MEASURES</w:t>
            </w:r>
          </w:p>
        </w:tc>
        <w:tc>
          <w:tcPr>
            <w:tcW w:w="2980" w:type="dxa"/>
            <w:vAlign w:val="bottom"/>
            <w:gridSpan w:val="6"/>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560" w:type="dxa"/>
            <w:vAlign w:val="bottom"/>
            <w:gridSpan w:val="39"/>
          </w:tcPr>
          <w:p>
            <w:pPr>
              <w:spacing w:after="0"/>
              <w:rPr>
                <w:sz w:val="20"/>
                <w:szCs w:val="20"/>
                <w:color w:val="auto"/>
              </w:rPr>
            </w:pPr>
            <w:r>
              <w:rPr>
                <w:rFonts w:ascii="Arial" w:cs="Arial" w:eastAsia="Arial" w:hAnsi="Arial"/>
                <w:sz w:val="18"/>
                <w:szCs w:val="18"/>
                <w:color w:val="0000FF"/>
              </w:rPr>
              <w:t>ANNEX II - PROPOSED AMENDMENT TO OUR AMENDED AND RESTATED CERTIFICATE OF INCORPORATION</w:t>
            </w:r>
          </w:p>
        </w:tc>
        <w:tc>
          <w:tcPr>
            <w:tcW w:w="166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9340" w:type="dxa"/>
            <w:vAlign w:val="bottom"/>
            <w:tcBorders>
              <w:top w:val="single" w:sz="8" w:color="0000FF"/>
            </w:tcBorders>
            <w:gridSpan w:val="37"/>
          </w:tcPr>
          <w:p>
            <w:pPr>
              <w:spacing w:after="0" w:line="189" w:lineRule="exact"/>
              <w:rPr>
                <w:sz w:val="20"/>
                <w:szCs w:val="20"/>
                <w:color w:val="auto"/>
              </w:rPr>
            </w:pPr>
            <w:r>
              <w:rPr>
                <w:rFonts w:ascii="Arial" w:cs="Arial" w:eastAsia="Arial" w:hAnsi="Arial"/>
                <w:sz w:val="18"/>
                <w:szCs w:val="18"/>
                <w:color w:val="0000FF"/>
              </w:rPr>
              <w:t>PURSUANT TO PROPOSAL 3</w:t>
            </w:r>
          </w:p>
        </w:tc>
        <w:tc>
          <w:tcPr>
            <w:tcW w:w="220" w:type="dxa"/>
            <w:vAlign w:val="bottom"/>
            <w:gridSpan w:val="2"/>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gridSpan w:val="11"/>
            <w:shd w:val="clear" w:color="auto" w:fill="0000FF"/>
          </w:tcPr>
          <w:p>
            <w:pPr>
              <w:spacing w:after="0" w:line="20" w:lineRule="exact"/>
              <w:rPr>
                <w:sz w:val="1"/>
                <w:szCs w:val="1"/>
                <w:color w:val="auto"/>
              </w:rPr>
            </w:pPr>
          </w:p>
        </w:tc>
        <w:tc>
          <w:tcPr>
            <w:tcW w:w="7080" w:type="dxa"/>
            <w:vAlign w:val="bottom"/>
            <w:gridSpan w:val="28"/>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88</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560" w:type="dxa"/>
            <w:vAlign w:val="bottom"/>
            <w:tcBorders>
              <w:bottom w:val="single" w:sz="8" w:color="0000FF"/>
            </w:tcBorders>
            <w:gridSpan w:val="39"/>
          </w:tcPr>
          <w:p>
            <w:pPr>
              <w:spacing w:after="0"/>
              <w:rPr>
                <w:sz w:val="20"/>
                <w:szCs w:val="20"/>
                <w:color w:val="auto"/>
              </w:rPr>
            </w:pPr>
            <w:r>
              <w:rPr>
                <w:rFonts w:ascii="Arial" w:cs="Arial" w:eastAsia="Arial" w:hAnsi="Arial"/>
                <w:sz w:val="18"/>
                <w:szCs w:val="18"/>
                <w:color w:val="0000FF"/>
                <w:w w:val="99"/>
              </w:rPr>
              <w:t>ANNEX III - PROPOSED AMENDMENT TO OUR CERTIFICATE OF INCORPORATION PURSUANT TO PROPOSAL 4</w:t>
            </w:r>
          </w:p>
        </w:tc>
        <w:tc>
          <w:tcPr>
            <w:tcW w:w="1460" w:type="dxa"/>
            <w:vAlign w:val="bottom"/>
            <w:vMerge w:val="continue"/>
          </w:tcPr>
          <w:p>
            <w:pPr>
              <w:spacing w:after="0"/>
              <w:rPr>
                <w:sz w:val="21"/>
                <w:szCs w:val="21"/>
                <w:color w:val="auto"/>
              </w:rPr>
            </w:pPr>
          </w:p>
        </w:tc>
        <w:tc>
          <w:tcPr>
            <w:tcW w:w="180" w:type="dxa"/>
            <w:vAlign w:val="bottom"/>
            <w:tcBorders>
              <w:bottom w:val="single" w:sz="8" w:color="auto"/>
            </w:tcBorders>
            <w:gridSpan w:val="2"/>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1109980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15"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5"/>
          <w:szCs w:val="25"/>
          <w:b w:val="1"/>
          <w:bCs w:val="1"/>
          <w:color w:val="auto"/>
        </w:rPr>
        <w:t>PROXY STATEMENT SUMMARY</w:t>
      </w:r>
    </w:p>
    <w:p>
      <w:pPr>
        <w:spacing w:after="0" w:line="1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Our board of directors (the “Board”) is soliciting your proxy to vote at the 2026 Annual Meeting of Stockholders of Marqeta, Inc., including any adjournments, continuations, or postponements (the “Annual Meeting”) for the purposes set forth in this proxy statement for our Annual Meeting (the “Proxy Statement”). In this Proxy Statement, we refer to Marqeta, Inc. as “Marqeta,” the “Company,” “we,” “us,” or “our.” The contents of our websites are not intended to be incorporated by reference into this Proxy Statement or in any other report or document we file with the Securities and Exchange Commission (the “SEC”), and any references to our websites in this Proxy Statement are intended to be inactive textual references only, unless specifically noted otherwise.</w:t>
      </w:r>
    </w:p>
    <w:p>
      <w:pPr>
        <w:spacing w:after="0" w:line="74"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and does not contain all of the information you should consider when voting. Please carefully read the entire Proxy Statement and our Annual Report on Form 10-K for the fiscal year ended December 31, 2025 (“fiscal year 2025”) (the “2025 Annual Report”) before voting.</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2026 Annual Meeting of Stockholders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20" w:type="dxa"/>
            <w:vAlign w:val="bottom"/>
            <w:tcBorders>
              <w:top w:val="single" w:sz="8" w:color="auto"/>
              <w:left w:val="single" w:sz="8" w:color="auto"/>
              <w:bottom w:val="single" w:sz="8" w:color="auto"/>
            </w:tcBorders>
            <w:shd w:val="clear" w:color="auto" w:fill="929292"/>
          </w:tcPr>
          <w:p>
            <w:pPr>
              <w:jc w:val="center"/>
              <w:spacing w:after="0"/>
              <w:rPr>
                <w:sz w:val="20"/>
                <w:szCs w:val="20"/>
                <w:color w:val="auto"/>
              </w:rPr>
            </w:pPr>
            <w:r>
              <w:rPr>
                <w:rFonts w:ascii="Arial" w:cs="Arial" w:eastAsia="Arial" w:hAnsi="Arial"/>
                <w:sz w:val="15"/>
                <w:szCs w:val="15"/>
                <w:b w:val="1"/>
                <w:bCs w:val="1"/>
                <w:color w:val="FFFFFF"/>
              </w:rPr>
              <w:t>Date and Time</w:t>
            </w:r>
          </w:p>
        </w:tc>
        <w:tc>
          <w:tcPr>
            <w:tcW w:w="1880" w:type="dxa"/>
            <w:vAlign w:val="bottom"/>
            <w:tcBorders>
              <w:top w:val="single" w:sz="8" w:color="auto"/>
              <w:bottom w:val="single" w:sz="8" w:color="auto"/>
            </w:tcBorders>
            <w:shd w:val="clear" w:color="auto" w:fill="929292"/>
          </w:tcPr>
          <w:p>
            <w:pPr>
              <w:ind w:left="400"/>
              <w:spacing w:after="0"/>
              <w:rPr>
                <w:sz w:val="20"/>
                <w:szCs w:val="20"/>
                <w:color w:val="auto"/>
              </w:rPr>
            </w:pPr>
            <w:r>
              <w:rPr>
                <w:rFonts w:ascii="Arial" w:cs="Arial" w:eastAsia="Arial" w:hAnsi="Arial"/>
                <w:sz w:val="15"/>
                <w:szCs w:val="15"/>
                <w:b w:val="1"/>
                <w:bCs w:val="1"/>
                <w:color w:val="FFFFFF"/>
              </w:rPr>
              <w:t>Record Date</w:t>
            </w:r>
          </w:p>
        </w:tc>
        <w:tc>
          <w:tcPr>
            <w:tcW w:w="4060" w:type="dxa"/>
            <w:vAlign w:val="bottom"/>
            <w:tcBorders>
              <w:top w:val="single" w:sz="8" w:color="auto"/>
              <w:bottom w:val="single" w:sz="8" w:color="auto"/>
            </w:tcBorders>
            <w:shd w:val="clear" w:color="auto" w:fill="929292"/>
          </w:tcPr>
          <w:p>
            <w:pPr>
              <w:jc w:val="center"/>
              <w:ind w:left="104"/>
              <w:spacing w:after="0"/>
              <w:rPr>
                <w:sz w:val="20"/>
                <w:szCs w:val="20"/>
                <w:color w:val="auto"/>
              </w:rPr>
            </w:pPr>
            <w:r>
              <w:rPr>
                <w:rFonts w:ascii="Arial" w:cs="Arial" w:eastAsia="Arial" w:hAnsi="Arial"/>
                <w:sz w:val="15"/>
                <w:szCs w:val="15"/>
                <w:b w:val="1"/>
                <w:bCs w:val="1"/>
                <w:color w:val="FFFFFF"/>
              </w:rPr>
              <w:t>Place</w:t>
            </w:r>
          </w:p>
        </w:tc>
        <w:tc>
          <w:tcPr>
            <w:tcW w:w="3500" w:type="dxa"/>
            <w:vAlign w:val="bottom"/>
            <w:tcBorders>
              <w:top w:val="single" w:sz="8" w:color="auto"/>
              <w:bottom w:val="single" w:sz="8" w:color="auto"/>
              <w:right w:val="single" w:sz="8" w:color="auto"/>
            </w:tcBorders>
            <w:shd w:val="clear" w:color="auto" w:fill="929292"/>
          </w:tcPr>
          <w:p>
            <w:pPr>
              <w:ind w:left="1000"/>
              <w:spacing w:after="0"/>
              <w:rPr>
                <w:sz w:val="20"/>
                <w:szCs w:val="20"/>
                <w:color w:val="auto"/>
              </w:rPr>
            </w:pPr>
            <w:r>
              <w:rPr>
                <w:rFonts w:ascii="Arial" w:cs="Arial" w:eastAsia="Arial" w:hAnsi="Arial"/>
                <w:sz w:val="15"/>
                <w:szCs w:val="15"/>
                <w:b w:val="1"/>
                <w:bCs w:val="1"/>
                <w:color w:val="FFFFFF"/>
              </w:rPr>
              <w:t>Who Can Attend and Vote</w:t>
            </w:r>
          </w:p>
        </w:tc>
      </w:tr>
      <w:tr>
        <w:trPr>
          <w:trHeight w:val="152"/>
        </w:trPr>
        <w:tc>
          <w:tcPr>
            <w:tcW w:w="1820" w:type="dxa"/>
            <w:vAlign w:val="bottom"/>
            <w:tcBorders>
              <w:left w:val="single" w:sz="8" w:color="auto"/>
            </w:tcBorders>
          </w:tcPr>
          <w:p>
            <w:pPr>
              <w:jc w:val="center"/>
              <w:spacing w:after="0" w:line="151" w:lineRule="exact"/>
              <w:rPr>
                <w:sz w:val="20"/>
                <w:szCs w:val="20"/>
                <w:color w:val="auto"/>
              </w:rPr>
            </w:pPr>
            <w:r>
              <w:rPr>
                <w:rFonts w:ascii="Arial" w:cs="Arial" w:eastAsia="Arial" w:hAnsi="Arial"/>
                <w:sz w:val="15"/>
                <w:szCs w:val="15"/>
                <w:color w:val="auto"/>
              </w:rPr>
              <w:t>June 10, 2026</w:t>
            </w:r>
          </w:p>
        </w:tc>
        <w:tc>
          <w:tcPr>
            <w:tcW w:w="1880" w:type="dxa"/>
            <w:vAlign w:val="bottom"/>
          </w:tcPr>
          <w:p>
            <w:pPr>
              <w:ind w:left="360"/>
              <w:spacing w:after="0" w:line="151" w:lineRule="exact"/>
              <w:rPr>
                <w:sz w:val="20"/>
                <w:szCs w:val="20"/>
                <w:color w:val="auto"/>
              </w:rPr>
            </w:pPr>
            <w:r>
              <w:rPr>
                <w:rFonts w:ascii="Arial" w:cs="Arial" w:eastAsia="Arial" w:hAnsi="Arial"/>
                <w:sz w:val="15"/>
                <w:szCs w:val="15"/>
                <w:color w:val="auto"/>
              </w:rPr>
              <w:t>April 15, 2026</w:t>
            </w:r>
          </w:p>
        </w:tc>
        <w:tc>
          <w:tcPr>
            <w:tcW w:w="4060" w:type="dxa"/>
            <w:vAlign w:val="bottom"/>
          </w:tcPr>
          <w:p>
            <w:pPr>
              <w:jc w:val="center"/>
              <w:ind w:left="104"/>
              <w:spacing w:after="0" w:line="151" w:lineRule="exact"/>
              <w:rPr>
                <w:sz w:val="20"/>
                <w:szCs w:val="20"/>
                <w:color w:val="auto"/>
              </w:rPr>
            </w:pPr>
            <w:r>
              <w:rPr>
                <w:rFonts w:ascii="Arial" w:cs="Arial" w:eastAsia="Arial" w:hAnsi="Arial"/>
                <w:sz w:val="15"/>
                <w:szCs w:val="15"/>
                <w:color w:val="auto"/>
              </w:rPr>
              <w:t>www.virtualshareholdermeeting.com/MQ2026</w:t>
            </w:r>
          </w:p>
        </w:tc>
        <w:tc>
          <w:tcPr>
            <w:tcW w:w="3500" w:type="dxa"/>
            <w:vAlign w:val="bottom"/>
            <w:tcBorders>
              <w:right w:val="single" w:sz="8" w:color="auto"/>
            </w:tcBorders>
          </w:tcPr>
          <w:p>
            <w:pPr>
              <w:ind w:left="400"/>
              <w:spacing w:after="0" w:line="151" w:lineRule="exact"/>
              <w:rPr>
                <w:sz w:val="20"/>
                <w:szCs w:val="20"/>
                <w:color w:val="auto"/>
              </w:rPr>
            </w:pPr>
            <w:r>
              <w:rPr>
                <w:rFonts w:ascii="Arial" w:cs="Arial" w:eastAsia="Arial" w:hAnsi="Arial"/>
                <w:sz w:val="15"/>
                <w:szCs w:val="15"/>
                <w:color w:val="auto"/>
              </w:rPr>
              <w:t>Stockholders of record at the close of</w:t>
            </w:r>
          </w:p>
        </w:tc>
      </w:tr>
      <w:tr>
        <w:trPr>
          <w:trHeight w:val="203"/>
        </w:trPr>
        <w:tc>
          <w:tcPr>
            <w:tcW w:w="182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rPr>
              <w:t>11:30 AM ET</w:t>
            </w:r>
          </w:p>
        </w:tc>
        <w:tc>
          <w:tcPr>
            <w:tcW w:w="188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5"/>
                <w:szCs w:val="15"/>
                <w:color w:val="auto"/>
              </w:rPr>
              <w:t>business on April 15, 2026</w:t>
            </w: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Proposals and Board Recommendations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80" w:type="dxa"/>
            <w:vAlign w:val="bottom"/>
            <w:tcBorders>
              <w:top w:val="single" w:sz="8" w:color="auto"/>
              <w:left w:val="single" w:sz="8" w:color="auto"/>
            </w:tcBorders>
            <w:vMerge w:val="restart"/>
            <w:shd w:val="clear" w:color="auto" w:fill="929292"/>
          </w:tcPr>
          <w:p>
            <w:pPr>
              <w:jc w:val="center"/>
              <w:ind w:left="10"/>
              <w:spacing w:after="0"/>
              <w:rPr>
                <w:sz w:val="20"/>
                <w:szCs w:val="20"/>
                <w:color w:val="auto"/>
              </w:rPr>
            </w:pPr>
            <w:r>
              <w:rPr>
                <w:rFonts w:ascii="Arial" w:cs="Arial" w:eastAsia="Arial" w:hAnsi="Arial"/>
                <w:sz w:val="18"/>
                <w:szCs w:val="18"/>
                <w:b w:val="1"/>
                <w:bCs w:val="1"/>
                <w:color w:val="FFFFFF"/>
              </w:rPr>
              <w:t>Item</w:t>
            </w:r>
          </w:p>
        </w:tc>
        <w:tc>
          <w:tcPr>
            <w:tcW w:w="5600" w:type="dxa"/>
            <w:vAlign w:val="bottom"/>
            <w:tcBorders>
              <w:top w:val="single" w:sz="8" w:color="auto"/>
            </w:tcBorders>
            <w:vMerge w:val="restart"/>
            <w:shd w:val="clear" w:color="auto" w:fill="929292"/>
          </w:tcPr>
          <w:p>
            <w:pPr>
              <w:ind w:left="2460"/>
              <w:spacing w:after="0"/>
              <w:rPr>
                <w:sz w:val="20"/>
                <w:szCs w:val="20"/>
                <w:color w:val="auto"/>
              </w:rPr>
            </w:pPr>
            <w:r>
              <w:rPr>
                <w:rFonts w:ascii="Arial" w:cs="Arial" w:eastAsia="Arial" w:hAnsi="Arial"/>
                <w:sz w:val="18"/>
                <w:szCs w:val="18"/>
                <w:b w:val="1"/>
                <w:bCs w:val="1"/>
                <w:color w:val="FFFFFF"/>
              </w:rPr>
              <w:t>Proposal</w:t>
            </w:r>
          </w:p>
        </w:tc>
        <w:tc>
          <w:tcPr>
            <w:tcW w:w="3360" w:type="dxa"/>
            <w:vAlign w:val="bottom"/>
            <w:tcBorders>
              <w:top w:val="single" w:sz="8" w:color="auto"/>
            </w:tcBorders>
            <w:shd w:val="clear" w:color="auto" w:fill="929292"/>
          </w:tcPr>
          <w:p>
            <w:pPr>
              <w:ind w:left="1560"/>
              <w:spacing w:after="0" w:line="170" w:lineRule="exact"/>
              <w:rPr>
                <w:sz w:val="20"/>
                <w:szCs w:val="20"/>
                <w:color w:val="auto"/>
              </w:rPr>
            </w:pPr>
            <w:r>
              <w:rPr>
                <w:rFonts w:ascii="Arial" w:cs="Arial" w:eastAsia="Arial" w:hAnsi="Arial"/>
                <w:sz w:val="18"/>
                <w:szCs w:val="18"/>
                <w:b w:val="1"/>
                <w:bCs w:val="1"/>
                <w:color w:val="FFFFFF"/>
              </w:rPr>
              <w:t>Board</w:t>
            </w:r>
          </w:p>
        </w:tc>
        <w:tc>
          <w:tcPr>
            <w:tcW w:w="1620" w:type="dxa"/>
            <w:vAlign w:val="bottom"/>
            <w:tcBorders>
              <w:top w:val="single" w:sz="8" w:color="auto"/>
              <w:right w:val="single" w:sz="8" w:color="auto"/>
            </w:tcBorders>
            <w:gridSpan w:val="5"/>
            <w:vMerge w:val="restart"/>
            <w:shd w:val="clear" w:color="auto" w:fill="929292"/>
          </w:tcPr>
          <w:p>
            <w:pPr>
              <w:ind w:left="760"/>
              <w:spacing w:after="0"/>
              <w:rPr>
                <w:sz w:val="20"/>
                <w:szCs w:val="20"/>
                <w:color w:val="auto"/>
              </w:rPr>
            </w:pPr>
            <w:r>
              <w:rPr>
                <w:rFonts w:ascii="Arial" w:cs="Arial" w:eastAsia="Arial" w:hAnsi="Arial"/>
                <w:sz w:val="18"/>
                <w:szCs w:val="18"/>
                <w:b w:val="1"/>
                <w:bCs w:val="1"/>
                <w:color w:val="FFFFFF"/>
              </w:rPr>
              <w:t>Page</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bottom w:val="single" w:sz="8" w:color="auto"/>
            </w:tcBorders>
            <w:vMerge w:val="continue"/>
            <w:shd w:val="clear" w:color="auto" w:fill="929292"/>
          </w:tcPr>
          <w:p>
            <w:pPr>
              <w:spacing w:after="0"/>
              <w:rPr>
                <w:sz w:val="21"/>
                <w:szCs w:val="21"/>
                <w:color w:val="auto"/>
              </w:rPr>
            </w:pPr>
          </w:p>
        </w:tc>
        <w:tc>
          <w:tcPr>
            <w:tcW w:w="5600" w:type="dxa"/>
            <w:vAlign w:val="bottom"/>
            <w:tcBorders>
              <w:bottom w:val="single" w:sz="8" w:color="auto"/>
            </w:tcBorders>
            <w:vMerge w:val="continue"/>
            <w:shd w:val="clear" w:color="auto" w:fill="929292"/>
          </w:tcPr>
          <w:p>
            <w:pPr>
              <w:spacing w:after="0"/>
              <w:rPr>
                <w:sz w:val="21"/>
                <w:szCs w:val="21"/>
                <w:color w:val="auto"/>
              </w:rPr>
            </w:pPr>
          </w:p>
        </w:tc>
        <w:tc>
          <w:tcPr>
            <w:tcW w:w="3360" w:type="dxa"/>
            <w:vAlign w:val="bottom"/>
            <w:tcBorders>
              <w:bottom w:val="single" w:sz="8" w:color="auto"/>
            </w:tcBorders>
            <w:shd w:val="clear" w:color="auto" w:fill="929292"/>
          </w:tcPr>
          <w:p>
            <w:pPr>
              <w:ind w:left="1100"/>
              <w:spacing w:after="0"/>
              <w:rPr>
                <w:sz w:val="20"/>
                <w:szCs w:val="20"/>
                <w:color w:val="auto"/>
              </w:rPr>
            </w:pPr>
            <w:r>
              <w:rPr>
                <w:rFonts w:ascii="Arial" w:cs="Arial" w:eastAsia="Arial" w:hAnsi="Arial"/>
                <w:sz w:val="18"/>
                <w:szCs w:val="18"/>
                <w:b w:val="1"/>
                <w:bCs w:val="1"/>
                <w:color w:val="FFFFFF"/>
              </w:rPr>
              <w:t>Recommendation</w:t>
            </w:r>
          </w:p>
        </w:tc>
        <w:tc>
          <w:tcPr>
            <w:tcW w:w="1620" w:type="dxa"/>
            <w:vAlign w:val="bottom"/>
            <w:tcBorders>
              <w:bottom w:val="single" w:sz="8" w:color="auto"/>
              <w:right w:val="single" w:sz="8" w:color="auto"/>
            </w:tcBorders>
            <w:gridSpan w:val="5"/>
            <w:vMerge w:val="continue"/>
            <w:shd w:val="clear" w:color="auto" w:fill="929292"/>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tcBorders>
          </w:tcPr>
          <w:p>
            <w:pPr>
              <w:jc w:val="center"/>
              <w:ind w:left="10"/>
              <w:spacing w:after="0" w:line="182" w:lineRule="exact"/>
              <w:rPr>
                <w:sz w:val="20"/>
                <w:szCs w:val="20"/>
                <w:color w:val="auto"/>
              </w:rPr>
            </w:pPr>
            <w:r>
              <w:rPr>
                <w:rFonts w:ascii="Arial" w:cs="Arial" w:eastAsia="Arial" w:hAnsi="Arial"/>
                <w:sz w:val="18"/>
                <w:szCs w:val="18"/>
                <w:b w:val="1"/>
                <w:bCs w:val="1"/>
                <w:color w:val="auto"/>
                <w:w w:val="99"/>
              </w:rPr>
              <w:t>1</w:t>
            </w:r>
          </w:p>
        </w:tc>
        <w:tc>
          <w:tcPr>
            <w:tcW w:w="5600" w:type="dxa"/>
            <w:vAlign w:val="bottom"/>
          </w:tcPr>
          <w:p>
            <w:pPr>
              <w:ind w:left="100"/>
              <w:spacing w:after="0" w:line="182" w:lineRule="exact"/>
              <w:rPr>
                <w:sz w:val="20"/>
                <w:szCs w:val="20"/>
                <w:color w:val="auto"/>
              </w:rPr>
            </w:pPr>
            <w:r>
              <w:rPr>
                <w:rFonts w:ascii="Arial" w:cs="Arial" w:eastAsia="Arial" w:hAnsi="Arial"/>
                <w:sz w:val="18"/>
                <w:szCs w:val="18"/>
                <w:color w:val="auto"/>
              </w:rPr>
              <w:t>Election of the four Class II directors</w:t>
            </w:r>
          </w:p>
        </w:tc>
        <w:tc>
          <w:tcPr>
            <w:tcW w:w="33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nominee</w:t>
            </w:r>
          </w:p>
        </w:tc>
        <w:tc>
          <w:tcPr>
            <w:tcW w:w="1060" w:type="dxa"/>
            <w:vAlign w:val="bottom"/>
            <w:gridSpan w:val="4"/>
          </w:tcPr>
          <w:p>
            <w:pPr>
              <w:jc w:val="center"/>
              <w:ind w:left="790"/>
              <w:spacing w:after="0" w:line="182" w:lineRule="exact"/>
              <w:rPr>
                <w:sz w:val="20"/>
                <w:szCs w:val="20"/>
                <w:color w:val="auto"/>
              </w:rPr>
            </w:pPr>
            <w:r>
              <w:rPr>
                <w:rFonts w:ascii="Arial" w:cs="Arial" w:eastAsia="Arial" w:hAnsi="Arial"/>
                <w:sz w:val="18"/>
                <w:szCs w:val="18"/>
                <w:color w:val="0000FF"/>
                <w:w w:val="99"/>
              </w:rPr>
              <w:t>7</w:t>
            </w: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lef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99"/>
              </w:rPr>
              <w:t>2</w:t>
            </w:r>
          </w:p>
        </w:tc>
        <w:tc>
          <w:tcPr>
            <w:tcW w:w="5600" w:type="dxa"/>
            <w:vAlign w:val="bottom"/>
            <w:vMerge w:val="restart"/>
          </w:tcPr>
          <w:p>
            <w:pPr>
              <w:ind w:left="100"/>
              <w:spacing w:after="0"/>
              <w:rPr>
                <w:sz w:val="20"/>
                <w:szCs w:val="20"/>
                <w:color w:val="auto"/>
              </w:rPr>
            </w:pPr>
            <w:r>
              <w:rPr>
                <w:rFonts w:ascii="Arial" w:cs="Arial" w:eastAsia="Arial" w:hAnsi="Arial"/>
                <w:sz w:val="18"/>
                <w:szCs w:val="18"/>
                <w:color w:val="auto"/>
              </w:rPr>
              <w:t>Ratification of KPMG LLP as our independent registered public</w:t>
            </w: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left w:val="single" w:sz="8" w:color="auto"/>
            </w:tcBorders>
            <w:vMerge w:val="continue"/>
          </w:tcPr>
          <w:p>
            <w:pPr>
              <w:spacing w:after="0"/>
              <w:rPr>
                <w:sz w:val="17"/>
                <w:szCs w:val="17"/>
                <w:color w:val="auto"/>
              </w:rPr>
            </w:pPr>
          </w:p>
        </w:tc>
        <w:tc>
          <w:tcPr>
            <w:tcW w:w="5600" w:type="dxa"/>
            <w:vAlign w:val="bottom"/>
            <w:vMerge w:val="continue"/>
          </w:tcPr>
          <w:p>
            <w:pPr>
              <w:spacing w:after="0"/>
              <w:rPr>
                <w:sz w:val="17"/>
                <w:szCs w:val="17"/>
                <w:color w:val="auto"/>
              </w:rPr>
            </w:pPr>
          </w:p>
        </w:tc>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gridSpan w:val="5"/>
            <w:vMerge w:val="restart"/>
          </w:tcPr>
          <w:p>
            <w:pPr>
              <w:jc w:val="center"/>
              <w:ind w:left="21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5600" w:type="dxa"/>
            <w:vAlign w:val="bottom"/>
            <w:vMerge w:val="restart"/>
          </w:tcPr>
          <w:p>
            <w:pPr>
              <w:ind w:left="100"/>
              <w:spacing w:after="0"/>
              <w:rPr>
                <w:sz w:val="20"/>
                <w:szCs w:val="20"/>
                <w:color w:val="auto"/>
              </w:rPr>
            </w:pPr>
            <w:r>
              <w:rPr>
                <w:rFonts w:ascii="Arial" w:cs="Arial" w:eastAsia="Arial" w:hAnsi="Arial"/>
                <w:sz w:val="18"/>
                <w:szCs w:val="18"/>
                <w:color w:val="auto"/>
              </w:rPr>
              <w:t>accounting firm</w:t>
            </w:r>
          </w:p>
        </w:tc>
        <w:tc>
          <w:tcPr>
            <w:tcW w:w="3360" w:type="dxa"/>
            <w:vAlign w:val="bottom"/>
            <w:vMerge w:val="continue"/>
          </w:tcPr>
          <w:p>
            <w:pPr>
              <w:spacing w:after="0"/>
              <w:rPr>
                <w:sz w:val="9"/>
                <w:szCs w:val="9"/>
                <w:color w:val="auto"/>
              </w:rPr>
            </w:pPr>
          </w:p>
        </w:tc>
        <w:tc>
          <w:tcPr>
            <w:tcW w:w="162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80" w:type="dxa"/>
            <w:vAlign w:val="bottom"/>
            <w:tcBorders>
              <w:left w:val="single" w:sz="8" w:color="auto"/>
            </w:tcBorders>
          </w:tcPr>
          <w:p>
            <w:pPr>
              <w:spacing w:after="0"/>
              <w:rPr>
                <w:sz w:val="9"/>
                <w:szCs w:val="9"/>
                <w:color w:val="auto"/>
              </w:rPr>
            </w:pPr>
          </w:p>
        </w:tc>
        <w:tc>
          <w:tcPr>
            <w:tcW w:w="56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680" w:type="dxa"/>
            <w:vAlign w:val="bottom"/>
            <w:tcBorders>
              <w:left w:val="single" w:sz="8" w:color="auto"/>
            </w:tcBorders>
          </w:tcPr>
          <w:p>
            <w:pPr>
              <w:jc w:val="center"/>
              <w:ind w:left="10"/>
              <w:spacing w:after="0" w:line="181" w:lineRule="exact"/>
              <w:rPr>
                <w:sz w:val="20"/>
                <w:szCs w:val="20"/>
                <w:color w:val="auto"/>
              </w:rPr>
            </w:pPr>
            <w:r>
              <w:rPr>
                <w:rFonts w:ascii="Arial" w:cs="Arial" w:eastAsia="Arial" w:hAnsi="Arial"/>
                <w:sz w:val="18"/>
                <w:szCs w:val="18"/>
                <w:b w:val="1"/>
                <w:bCs w:val="1"/>
                <w:color w:val="auto"/>
                <w:w w:val="99"/>
              </w:rPr>
              <w:t>3</w:t>
            </w:r>
          </w:p>
        </w:tc>
        <w:tc>
          <w:tcPr>
            <w:tcW w:w="5600" w:type="dxa"/>
            <w:vAlign w:val="bottom"/>
          </w:tcPr>
          <w:p>
            <w:pPr>
              <w:ind w:left="100"/>
              <w:spacing w:after="0" w:line="181" w:lineRule="exact"/>
              <w:rPr>
                <w:sz w:val="20"/>
                <w:szCs w:val="20"/>
                <w:color w:val="auto"/>
              </w:rPr>
            </w:pPr>
            <w:r>
              <w:rPr>
                <w:rFonts w:ascii="Arial" w:cs="Arial" w:eastAsia="Arial" w:hAnsi="Arial"/>
                <w:sz w:val="18"/>
                <w:szCs w:val="18"/>
                <w:color w:val="auto"/>
              </w:rPr>
              <w:t>Approval of an amendment to our Amended and Restated Certificate</w:t>
            </w:r>
          </w:p>
        </w:tc>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gridSpan w:val="5"/>
            <w:vMerge w:val="restart"/>
          </w:tcPr>
          <w:p>
            <w:pPr>
              <w:jc w:val="center"/>
              <w:ind w:left="210"/>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189"/>
        </w:trPr>
        <w:tc>
          <w:tcPr>
            <w:tcW w:w="680" w:type="dxa"/>
            <w:vAlign w:val="bottom"/>
            <w:tcBorders>
              <w:left w:val="single" w:sz="8" w:color="auto"/>
            </w:tcBorders>
          </w:tcPr>
          <w:p>
            <w:pPr>
              <w:spacing w:after="0"/>
              <w:rPr>
                <w:sz w:val="16"/>
                <w:szCs w:val="16"/>
                <w:color w:val="auto"/>
              </w:rPr>
            </w:pPr>
          </w:p>
        </w:tc>
        <w:tc>
          <w:tcPr>
            <w:tcW w:w="5600" w:type="dxa"/>
            <w:vAlign w:val="bottom"/>
          </w:tcPr>
          <w:p>
            <w:pPr>
              <w:ind w:left="100"/>
              <w:spacing w:after="0" w:line="189" w:lineRule="exact"/>
              <w:rPr>
                <w:sz w:val="20"/>
                <w:szCs w:val="20"/>
                <w:color w:val="auto"/>
              </w:rPr>
            </w:pPr>
            <w:r>
              <w:rPr>
                <w:rFonts w:ascii="Arial" w:cs="Arial" w:eastAsia="Arial" w:hAnsi="Arial"/>
                <w:sz w:val="18"/>
                <w:szCs w:val="18"/>
                <w:color w:val="auto"/>
              </w:rPr>
              <w:t>of Incorporation to effect a 1-for-4 reverse stock split and related</w:t>
            </w:r>
          </w:p>
        </w:tc>
        <w:tc>
          <w:tcPr>
            <w:tcW w:w="3360" w:type="dxa"/>
            <w:vAlign w:val="bottom"/>
            <w:vMerge w:val="continue"/>
          </w:tcPr>
          <w:p>
            <w:pPr>
              <w:spacing w:after="0"/>
              <w:rPr>
                <w:sz w:val="16"/>
                <w:szCs w:val="16"/>
                <w:color w:val="auto"/>
              </w:rPr>
            </w:pPr>
          </w:p>
        </w:tc>
        <w:tc>
          <w:tcPr>
            <w:tcW w:w="1620" w:type="dxa"/>
            <w:vAlign w:val="bottom"/>
            <w:tcBorders>
              <w:right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0" w:type="dxa"/>
            <w:vAlign w:val="bottom"/>
            <w:tcBorders>
              <w:left w:val="single" w:sz="8" w:color="auto"/>
            </w:tcBorders>
          </w:tcPr>
          <w:p>
            <w:pPr>
              <w:spacing w:after="0"/>
              <w:rPr>
                <w:sz w:val="17"/>
                <w:szCs w:val="17"/>
                <w:color w:val="auto"/>
              </w:rPr>
            </w:pPr>
          </w:p>
        </w:tc>
        <w:tc>
          <w:tcPr>
            <w:tcW w:w="5600" w:type="dxa"/>
            <w:vAlign w:val="bottom"/>
          </w:tcPr>
          <w:p>
            <w:pPr>
              <w:ind w:left="100"/>
              <w:spacing w:after="0" w:line="204" w:lineRule="exact"/>
              <w:rPr>
                <w:sz w:val="20"/>
                <w:szCs w:val="20"/>
                <w:color w:val="auto"/>
              </w:rPr>
            </w:pPr>
            <w:r>
              <w:rPr>
                <w:rFonts w:ascii="Arial" w:cs="Arial" w:eastAsia="Arial" w:hAnsi="Arial"/>
                <w:sz w:val="18"/>
                <w:szCs w:val="18"/>
                <w:color w:val="auto"/>
              </w:rPr>
              <w:t>reduction of our authorized Common Stock and Preferred Stock</w:t>
            </w:r>
          </w:p>
        </w:tc>
        <w:tc>
          <w:tcPr>
            <w:tcW w:w="3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0" w:type="dxa"/>
            <w:vAlign w:val="bottom"/>
            <w:tcBorders>
              <w:left w:val="single" w:sz="8" w:color="auto"/>
            </w:tcBorders>
          </w:tcPr>
          <w:p>
            <w:pPr>
              <w:jc w:val="center"/>
              <w:ind w:left="10"/>
              <w:spacing w:after="0" w:line="181" w:lineRule="exact"/>
              <w:rPr>
                <w:sz w:val="20"/>
                <w:szCs w:val="20"/>
                <w:color w:val="auto"/>
              </w:rPr>
            </w:pPr>
            <w:r>
              <w:rPr>
                <w:rFonts w:ascii="Arial" w:cs="Arial" w:eastAsia="Arial" w:hAnsi="Arial"/>
                <w:sz w:val="18"/>
                <w:szCs w:val="18"/>
                <w:b w:val="1"/>
                <w:bCs w:val="1"/>
                <w:color w:val="auto"/>
                <w:w w:val="99"/>
              </w:rPr>
              <w:t>4</w:t>
            </w:r>
          </w:p>
        </w:tc>
        <w:tc>
          <w:tcPr>
            <w:tcW w:w="5600" w:type="dxa"/>
            <w:vAlign w:val="bottom"/>
          </w:tcPr>
          <w:p>
            <w:pPr>
              <w:ind w:left="100"/>
              <w:spacing w:after="0" w:line="181" w:lineRule="exact"/>
              <w:rPr>
                <w:sz w:val="20"/>
                <w:szCs w:val="20"/>
                <w:color w:val="auto"/>
              </w:rPr>
            </w:pPr>
            <w:r>
              <w:rPr>
                <w:rFonts w:ascii="Arial" w:cs="Arial" w:eastAsia="Arial" w:hAnsi="Arial"/>
                <w:sz w:val="18"/>
                <w:szCs w:val="18"/>
                <w:color w:val="auto"/>
              </w:rPr>
              <w:t>Approval of an amendment to our Amended and Restated Certificate</w:t>
            </w:r>
          </w:p>
        </w:tc>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gridSpan w:val="5"/>
            <w:vMerge w:val="restart"/>
          </w:tcPr>
          <w:p>
            <w:pPr>
              <w:jc w:val="center"/>
              <w:ind w:left="210"/>
              <w:spacing w:after="0"/>
              <w:rPr>
                <w:sz w:val="20"/>
                <w:szCs w:val="20"/>
                <w:color w:val="auto"/>
              </w:rPr>
            </w:pPr>
            <w:r>
              <w:rPr>
                <w:rFonts w:ascii="Arial" w:cs="Arial" w:eastAsia="Arial" w:hAnsi="Arial"/>
                <w:sz w:val="18"/>
                <w:szCs w:val="18"/>
                <w:color w:val="0000FF"/>
                <w:w w:val="99"/>
              </w:rPr>
              <w:t>30</w:t>
            </w:r>
          </w:p>
        </w:tc>
        <w:tc>
          <w:tcPr>
            <w:tcW w:w="0" w:type="dxa"/>
            <w:vAlign w:val="bottom"/>
          </w:tcPr>
          <w:p>
            <w:pPr>
              <w:spacing w:after="0"/>
              <w:rPr>
                <w:sz w:val="1"/>
                <w:szCs w:val="1"/>
                <w:color w:val="auto"/>
              </w:rPr>
            </w:pPr>
          </w:p>
        </w:tc>
      </w:tr>
      <w:tr>
        <w:trPr>
          <w:trHeight w:val="189"/>
        </w:trPr>
        <w:tc>
          <w:tcPr>
            <w:tcW w:w="680" w:type="dxa"/>
            <w:vAlign w:val="bottom"/>
            <w:tcBorders>
              <w:left w:val="single" w:sz="8" w:color="auto"/>
            </w:tcBorders>
          </w:tcPr>
          <w:p>
            <w:pPr>
              <w:spacing w:after="0"/>
              <w:rPr>
                <w:sz w:val="16"/>
                <w:szCs w:val="16"/>
                <w:color w:val="auto"/>
              </w:rPr>
            </w:pPr>
          </w:p>
        </w:tc>
        <w:tc>
          <w:tcPr>
            <w:tcW w:w="5600" w:type="dxa"/>
            <w:vAlign w:val="bottom"/>
          </w:tcPr>
          <w:p>
            <w:pPr>
              <w:ind w:left="100"/>
              <w:spacing w:after="0" w:line="189" w:lineRule="exact"/>
              <w:rPr>
                <w:sz w:val="20"/>
                <w:szCs w:val="20"/>
                <w:color w:val="auto"/>
              </w:rPr>
            </w:pPr>
            <w:r>
              <w:rPr>
                <w:rFonts w:ascii="Arial" w:cs="Arial" w:eastAsia="Arial" w:hAnsi="Arial"/>
                <w:sz w:val="18"/>
                <w:szCs w:val="18"/>
                <w:color w:val="auto"/>
              </w:rPr>
              <w:t>of Incorporation to provide for officer exculpation as permitted by</w:t>
            </w:r>
          </w:p>
        </w:tc>
        <w:tc>
          <w:tcPr>
            <w:tcW w:w="3360" w:type="dxa"/>
            <w:vAlign w:val="bottom"/>
            <w:vMerge w:val="continue"/>
          </w:tcPr>
          <w:p>
            <w:pPr>
              <w:spacing w:after="0"/>
              <w:rPr>
                <w:sz w:val="16"/>
                <w:szCs w:val="16"/>
                <w:color w:val="auto"/>
              </w:rPr>
            </w:pPr>
          </w:p>
        </w:tc>
        <w:tc>
          <w:tcPr>
            <w:tcW w:w="1620" w:type="dxa"/>
            <w:vAlign w:val="bottom"/>
            <w:tcBorders>
              <w:right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0" w:type="dxa"/>
            <w:vAlign w:val="bottom"/>
            <w:tcBorders>
              <w:left w:val="single" w:sz="8" w:color="auto"/>
            </w:tcBorders>
          </w:tcPr>
          <w:p>
            <w:pPr>
              <w:spacing w:after="0"/>
              <w:rPr>
                <w:sz w:val="17"/>
                <w:szCs w:val="17"/>
                <w:color w:val="auto"/>
              </w:rPr>
            </w:pPr>
          </w:p>
        </w:tc>
        <w:tc>
          <w:tcPr>
            <w:tcW w:w="5600" w:type="dxa"/>
            <w:vAlign w:val="bottom"/>
          </w:tcPr>
          <w:p>
            <w:pPr>
              <w:ind w:left="100"/>
              <w:spacing w:after="0" w:line="204" w:lineRule="exact"/>
              <w:rPr>
                <w:sz w:val="20"/>
                <w:szCs w:val="20"/>
                <w:color w:val="auto"/>
              </w:rPr>
            </w:pPr>
            <w:r>
              <w:rPr>
                <w:rFonts w:ascii="Arial" w:cs="Arial" w:eastAsia="Arial" w:hAnsi="Arial"/>
                <w:sz w:val="18"/>
                <w:szCs w:val="18"/>
                <w:color w:val="auto"/>
              </w:rPr>
              <w:t>Delaware law</w:t>
            </w:r>
          </w:p>
        </w:tc>
        <w:tc>
          <w:tcPr>
            <w:tcW w:w="3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0" w:type="dxa"/>
            <w:vAlign w:val="bottom"/>
            <w:tcBorders>
              <w:left w:val="single" w:sz="8" w:color="auto"/>
            </w:tcBorders>
          </w:tcPr>
          <w:p>
            <w:pPr>
              <w:jc w:val="center"/>
              <w:ind w:left="10"/>
              <w:spacing w:after="0" w:line="194" w:lineRule="exact"/>
              <w:rPr>
                <w:sz w:val="20"/>
                <w:szCs w:val="20"/>
                <w:color w:val="auto"/>
              </w:rPr>
            </w:pPr>
            <w:r>
              <w:rPr>
                <w:rFonts w:ascii="Arial" w:cs="Arial" w:eastAsia="Arial" w:hAnsi="Arial"/>
                <w:sz w:val="18"/>
                <w:szCs w:val="18"/>
                <w:b w:val="1"/>
                <w:bCs w:val="1"/>
                <w:color w:val="auto"/>
                <w:w w:val="99"/>
              </w:rPr>
              <w:t>5</w:t>
            </w:r>
          </w:p>
        </w:tc>
        <w:tc>
          <w:tcPr>
            <w:tcW w:w="5600" w:type="dxa"/>
            <w:vAlign w:val="bottom"/>
          </w:tcPr>
          <w:p>
            <w:pPr>
              <w:ind w:left="100"/>
              <w:spacing w:after="0" w:line="194" w:lineRule="exact"/>
              <w:rPr>
                <w:sz w:val="20"/>
                <w:szCs w:val="20"/>
                <w:color w:val="auto"/>
              </w:rPr>
            </w:pPr>
            <w:r>
              <w:rPr>
                <w:rFonts w:ascii="Arial" w:cs="Arial" w:eastAsia="Arial" w:hAnsi="Arial"/>
                <w:sz w:val="18"/>
                <w:szCs w:val="18"/>
                <w:color w:val="auto"/>
              </w:rPr>
              <w:t>Approval on a non-binding advisory basis of the compensation of our</w:t>
            </w:r>
          </w:p>
        </w:tc>
        <w:tc>
          <w:tcPr>
            <w:tcW w:w="3360" w:type="dxa"/>
            <w:vAlign w:val="bottom"/>
          </w:tcPr>
          <w:p>
            <w:pPr>
              <w:ind w:left="20"/>
              <w:spacing w:after="0" w:line="194" w:lineRule="exact"/>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gridSpan w:val="5"/>
          </w:tcPr>
          <w:p>
            <w:pPr>
              <w:jc w:val="center"/>
              <w:ind w:left="210"/>
              <w:spacing w:after="0" w:line="194" w:lineRule="exact"/>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95"/>
        </w:trPr>
        <w:tc>
          <w:tcPr>
            <w:tcW w:w="680" w:type="dxa"/>
            <w:vAlign w:val="bottom"/>
            <w:tcBorders>
              <w:left w:val="single" w:sz="8" w:color="auto"/>
            </w:tcBorders>
          </w:tcPr>
          <w:p>
            <w:pPr>
              <w:spacing w:after="0"/>
              <w:rPr>
                <w:sz w:val="8"/>
                <w:szCs w:val="8"/>
                <w:color w:val="auto"/>
              </w:rPr>
            </w:pPr>
          </w:p>
        </w:tc>
        <w:tc>
          <w:tcPr>
            <w:tcW w:w="5600" w:type="dxa"/>
            <w:vAlign w:val="bottom"/>
            <w:vMerge w:val="restart"/>
          </w:tcPr>
          <w:p>
            <w:pPr>
              <w:ind w:left="100"/>
              <w:spacing w:after="0"/>
              <w:rPr>
                <w:sz w:val="20"/>
                <w:szCs w:val="20"/>
                <w:color w:val="auto"/>
              </w:rPr>
            </w:pPr>
            <w:r>
              <w:rPr>
                <w:rFonts w:ascii="Arial" w:cs="Arial" w:eastAsia="Arial" w:hAnsi="Arial"/>
                <w:sz w:val="18"/>
                <w:szCs w:val="18"/>
                <w:color w:val="auto"/>
              </w:rPr>
              <w:t>named executive officers</w:t>
            </w:r>
          </w:p>
        </w:tc>
        <w:tc>
          <w:tcPr>
            <w:tcW w:w="3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Borders>
              <w:bottom w:val="single" w:sz="8" w:color="0000FF"/>
            </w:tcBorders>
          </w:tcPr>
          <w:p>
            <w:pPr>
              <w:spacing w:after="0"/>
              <w:rPr>
                <w:sz w:val="8"/>
                <w:szCs w:val="8"/>
                <w:color w:val="auto"/>
              </w:rPr>
            </w:pPr>
          </w:p>
        </w:tc>
        <w:tc>
          <w:tcPr>
            <w:tcW w:w="100" w:type="dxa"/>
            <w:vAlign w:val="bottom"/>
            <w:tcBorders>
              <w:bottom w:val="single" w:sz="8" w:color="0000FF"/>
            </w:tcBorders>
          </w:tcPr>
          <w:p>
            <w:pPr>
              <w:spacing w:after="0"/>
              <w:rPr>
                <w:sz w:val="8"/>
                <w:szCs w:val="8"/>
                <w:color w:val="auto"/>
              </w:rPr>
            </w:pPr>
          </w:p>
        </w:tc>
        <w:tc>
          <w:tcPr>
            <w:tcW w:w="40" w:type="dxa"/>
            <w:vAlign w:val="bottom"/>
            <w:tcBorders>
              <w:bottom w:val="single" w:sz="8" w:color="0000FF"/>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tcBorders>
          </w:tcPr>
          <w:p>
            <w:pPr>
              <w:spacing w:after="0"/>
              <w:rPr>
                <w:sz w:val="10"/>
                <w:szCs w:val="10"/>
                <w:color w:val="auto"/>
              </w:rPr>
            </w:pPr>
          </w:p>
        </w:tc>
        <w:tc>
          <w:tcPr>
            <w:tcW w:w="5600" w:type="dxa"/>
            <w:vAlign w:val="bottom"/>
            <w:tcBorders>
              <w:bottom w:val="single" w:sz="8" w:color="auto"/>
            </w:tcBorders>
            <w:vMerge w:val="continue"/>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Financial and Operating Highlights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Marqeta had a transformative fiscal year 2025</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Processing Volume (“TPV”) increased by 31% year-over-year, from $291 billion in 2024, to $383 billion in 2025.</w:t>
      </w:r>
    </w:p>
    <w:p>
      <w:pPr>
        <w:spacing w:after="0" w:line="27" w:lineRule="exact"/>
        <w:rPr>
          <w:rFonts w:ascii="Arial" w:cs="Arial" w:eastAsia="Arial" w:hAnsi="Arial"/>
          <w:sz w:val="18"/>
          <w:szCs w:val="18"/>
          <w:color w:val="auto"/>
        </w:rPr>
      </w:pPr>
    </w:p>
    <w:p>
      <w:pPr>
        <w:jc w:val="both"/>
        <w:ind w:left="660" w:right="2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of $625 million, increased by $118 million, or 23% year-over-year, primarily driven by increased volumes, partially offset by unfavorable mix due to faster growth of card programs where we provide processing services with minimal or no program management.</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increased by 24% year-over-year to $437 million in 2025, from $352 million in 2024, primarily due to TPV growth. Gross margin was 70% for the year ended December 31, 2025.</w:t>
      </w:r>
    </w:p>
    <w:p>
      <w:pPr>
        <w:jc w:val="both"/>
        <w:ind w:left="660" w:right="20" w:hanging="328"/>
        <w:spacing w:after="0" w:line="258"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of $14 million in 2025 compared to Net Income of $27 million in 2024. The change was primarily driven by the $145 million one-time reversal of share-based compensation recognized in 2024 related to the forfeiture of the Executive Chairman Long-Term Performance Award, as well as increases in gross profit growth and operating efficiency.</w:t>
      </w:r>
    </w:p>
    <w:p>
      <w:pPr>
        <w:spacing w:after="0" w:line="332" w:lineRule="exact"/>
        <w:rPr>
          <w:sz w:val="20"/>
          <w:szCs w:val="20"/>
          <w:color w:val="auto"/>
        </w:rPr>
      </w:pPr>
    </w:p>
    <w:p>
      <w:pPr>
        <w:ind w:left="9340"/>
        <w:spacing w:after="0"/>
        <w:rPr>
          <w:sz w:val="20"/>
          <w:szCs w:val="20"/>
          <w:color w:val="auto"/>
        </w:rPr>
      </w:pPr>
      <w:r>
        <w:rPr>
          <w:sz w:val="1"/>
          <w:szCs w:val="1"/>
          <w:color w:val="auto"/>
        </w:rPr>
        <w:drawing>
          <wp:inline distT="0" distB="0" distL="0" distR="0">
            <wp:extent cx="1105535" cy="154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6"/>
          <w:szCs w:val="16"/>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3" w:right="319" w:bottom="1440" w:gutter="0" w:footer="0" w:header="0"/>
        </w:sectPr>
      </w:pPr>
    </w:p>
    <w:bookmarkStart w:id="6" w:name="page7"/>
    <w:bookmarkEnd w:id="6"/>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for the year ended December 31, 2025 was $110 million, an $80 million year-over-year improvement.</w:t>
      </w:r>
    </w:p>
    <w:p>
      <w:pPr>
        <w:spacing w:after="0" w:line="73"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reconciliation in Annex I - Key Operating Metric and 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Director Nominees</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You are being asked to vote on the election of the following four Class II director nominees. Detailed information about each director can be found beginning on page </w:t>
      </w:r>
      <w:r>
        <w:rPr>
          <w:rFonts w:ascii="Arial" w:cs="Arial" w:eastAsia="Arial" w:hAnsi="Arial"/>
          <w:sz w:val="18"/>
          <w:szCs w:val="18"/>
          <w:u w:val="single" w:color="auto"/>
          <w:color w:val="0000FF"/>
        </w:rPr>
        <w:t>9</w:t>
      </w:r>
      <w:r>
        <w:rPr>
          <w:rFonts w:ascii="Arial" w:cs="Arial" w:eastAsia="Arial" w:hAnsi="Arial"/>
          <w:sz w:val="18"/>
          <w:szCs w:val="18"/>
          <w:color w:val="auto"/>
        </w:rPr>
        <w:t>.</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500" w:type="dxa"/>
            <w:vAlign w:val="bottom"/>
            <w:tcBorders>
              <w:top w:val="single" w:sz="8" w:color="auto"/>
              <w:left w:val="single" w:sz="8" w:color="auto"/>
            </w:tcBorders>
            <w:vMerge w:val="restart"/>
            <w:shd w:val="clear" w:color="auto" w:fill="929292"/>
          </w:tcPr>
          <w:p>
            <w:pPr>
              <w:ind w:left="40"/>
              <w:spacing w:after="0"/>
              <w:rPr>
                <w:sz w:val="20"/>
                <w:szCs w:val="20"/>
                <w:color w:val="auto"/>
              </w:rPr>
            </w:pPr>
            <w:r>
              <w:rPr>
                <w:rFonts w:ascii="Arial" w:cs="Arial" w:eastAsia="Arial" w:hAnsi="Arial"/>
                <w:sz w:val="14"/>
                <w:szCs w:val="14"/>
                <w:b w:val="1"/>
                <w:bCs w:val="1"/>
                <w:color w:val="FFFFFF"/>
              </w:rPr>
              <w:t>Name and Principal Occupation</w:t>
            </w:r>
          </w:p>
        </w:tc>
        <w:tc>
          <w:tcPr>
            <w:tcW w:w="1580" w:type="dxa"/>
            <w:vAlign w:val="bottom"/>
            <w:tcBorders>
              <w:top w:val="single" w:sz="8" w:color="auto"/>
            </w:tcBorders>
            <w:vMerge w:val="restart"/>
            <w:shd w:val="clear" w:color="auto" w:fill="929292"/>
          </w:tcPr>
          <w:p>
            <w:pPr>
              <w:jc w:val="center"/>
              <w:ind w:left="928"/>
              <w:spacing w:after="0"/>
              <w:rPr>
                <w:sz w:val="20"/>
                <w:szCs w:val="20"/>
                <w:color w:val="auto"/>
              </w:rPr>
            </w:pPr>
            <w:r>
              <w:rPr>
                <w:rFonts w:ascii="Arial" w:cs="Arial" w:eastAsia="Arial" w:hAnsi="Arial"/>
                <w:sz w:val="14"/>
                <w:szCs w:val="14"/>
                <w:b w:val="1"/>
                <w:bCs w:val="1"/>
                <w:color w:val="FFFFFF"/>
                <w:w w:val="98"/>
              </w:rPr>
              <w:t>Age</w:t>
            </w:r>
          </w:p>
        </w:tc>
        <w:tc>
          <w:tcPr>
            <w:tcW w:w="900" w:type="dxa"/>
            <w:vAlign w:val="bottom"/>
            <w:tcBorders>
              <w:top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Director</w:t>
            </w:r>
          </w:p>
        </w:tc>
        <w:tc>
          <w:tcPr>
            <w:tcW w:w="1260" w:type="dxa"/>
            <w:vAlign w:val="bottom"/>
            <w:tcBorders>
              <w:top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Independent</w:t>
            </w:r>
          </w:p>
        </w:tc>
        <w:tc>
          <w:tcPr>
            <w:tcW w:w="600" w:type="dxa"/>
            <w:vAlign w:val="bottom"/>
            <w:tcBorders>
              <w:top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w w:val="98"/>
              </w:rPr>
              <w:t>AC</w:t>
            </w:r>
          </w:p>
        </w:tc>
        <w:tc>
          <w:tcPr>
            <w:tcW w:w="580" w:type="dxa"/>
            <w:vAlign w:val="bottom"/>
            <w:tcBorders>
              <w:top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w w:val="98"/>
              </w:rPr>
              <w:t>CC</w:t>
            </w:r>
          </w:p>
        </w:tc>
        <w:tc>
          <w:tcPr>
            <w:tcW w:w="1060" w:type="dxa"/>
            <w:vAlign w:val="bottom"/>
            <w:tcBorders>
              <w:top w:val="single" w:sz="8" w:color="auto"/>
            </w:tcBorders>
            <w:vMerge w:val="restart"/>
            <w:shd w:val="clear" w:color="auto" w:fill="929292"/>
          </w:tcPr>
          <w:p>
            <w:pPr>
              <w:ind w:left="160"/>
              <w:spacing w:after="0"/>
              <w:rPr>
                <w:sz w:val="20"/>
                <w:szCs w:val="20"/>
                <w:color w:val="auto"/>
              </w:rPr>
            </w:pPr>
            <w:r>
              <w:rPr>
                <w:rFonts w:ascii="Arial" w:cs="Arial" w:eastAsia="Arial" w:hAnsi="Arial"/>
                <w:sz w:val="14"/>
                <w:szCs w:val="14"/>
                <w:b w:val="1"/>
                <w:bCs w:val="1"/>
                <w:color w:val="FFFFFF"/>
              </w:rPr>
              <w:t>NGC   PIC</w:t>
            </w:r>
          </w:p>
        </w:tc>
        <w:tc>
          <w:tcPr>
            <w:tcW w:w="1780" w:type="dxa"/>
            <w:vAlign w:val="bottom"/>
            <w:tcBorders>
              <w:top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Other Public Company</w:t>
            </w:r>
          </w:p>
        </w:tc>
        <w:tc>
          <w:tcPr>
            <w:tcW w:w="0" w:type="dxa"/>
            <w:vAlign w:val="bottom"/>
          </w:tcPr>
          <w:p>
            <w:pPr>
              <w:spacing w:after="0"/>
              <w:rPr>
                <w:sz w:val="1"/>
                <w:szCs w:val="1"/>
                <w:color w:val="auto"/>
              </w:rPr>
            </w:pPr>
          </w:p>
        </w:tc>
      </w:tr>
      <w:tr>
        <w:trPr>
          <w:trHeight w:val="185"/>
        </w:trPr>
        <w:tc>
          <w:tcPr>
            <w:tcW w:w="3500" w:type="dxa"/>
            <w:vAlign w:val="bottom"/>
            <w:tcBorders>
              <w:left w:val="single" w:sz="8" w:color="auto"/>
              <w:bottom w:val="single" w:sz="8" w:color="auto"/>
            </w:tcBorders>
            <w:vMerge w:val="continue"/>
            <w:shd w:val="clear" w:color="auto" w:fill="929292"/>
          </w:tcPr>
          <w:p>
            <w:pPr>
              <w:spacing w:after="0"/>
              <w:rPr>
                <w:sz w:val="16"/>
                <w:szCs w:val="16"/>
                <w:color w:val="auto"/>
              </w:rPr>
            </w:pPr>
          </w:p>
        </w:tc>
        <w:tc>
          <w:tcPr>
            <w:tcW w:w="1580" w:type="dxa"/>
            <w:vAlign w:val="bottom"/>
            <w:tcBorders>
              <w:bottom w:val="single" w:sz="8" w:color="auto"/>
            </w:tcBorders>
            <w:vMerge w:val="continue"/>
            <w:shd w:val="clear" w:color="auto" w:fill="929292"/>
          </w:tcPr>
          <w:p>
            <w:pPr>
              <w:spacing w:after="0"/>
              <w:rPr>
                <w:sz w:val="16"/>
                <w:szCs w:val="16"/>
                <w:color w:val="auto"/>
              </w:rPr>
            </w:pPr>
          </w:p>
        </w:tc>
        <w:tc>
          <w:tcPr>
            <w:tcW w:w="900" w:type="dxa"/>
            <w:vAlign w:val="bottom"/>
            <w:tcBorders>
              <w:bottom w:val="single" w:sz="8" w:color="auto"/>
            </w:tcBorders>
            <w:shd w:val="clear" w:color="auto" w:fill="929292"/>
          </w:tcPr>
          <w:p>
            <w:pPr>
              <w:jc w:val="center"/>
              <w:ind w:right="8"/>
              <w:spacing w:after="0"/>
              <w:rPr>
                <w:sz w:val="20"/>
                <w:szCs w:val="20"/>
                <w:color w:val="auto"/>
              </w:rPr>
            </w:pPr>
            <w:r>
              <w:rPr>
                <w:rFonts w:ascii="Arial" w:cs="Arial" w:eastAsia="Arial" w:hAnsi="Arial"/>
                <w:sz w:val="14"/>
                <w:szCs w:val="14"/>
                <w:b w:val="1"/>
                <w:bCs w:val="1"/>
                <w:color w:val="FFFFFF"/>
              </w:rPr>
              <w:t>Since</w:t>
            </w:r>
          </w:p>
        </w:tc>
        <w:tc>
          <w:tcPr>
            <w:tcW w:w="1260" w:type="dxa"/>
            <w:vAlign w:val="bottom"/>
            <w:tcBorders>
              <w:bottom w:val="single" w:sz="8" w:color="auto"/>
            </w:tcBorders>
            <w:vMerge w:val="continue"/>
            <w:shd w:val="clear" w:color="auto" w:fill="929292"/>
          </w:tcPr>
          <w:p>
            <w:pPr>
              <w:spacing w:after="0"/>
              <w:rPr>
                <w:sz w:val="16"/>
                <w:szCs w:val="16"/>
                <w:color w:val="auto"/>
              </w:rPr>
            </w:pPr>
          </w:p>
        </w:tc>
        <w:tc>
          <w:tcPr>
            <w:tcW w:w="600" w:type="dxa"/>
            <w:vAlign w:val="bottom"/>
            <w:tcBorders>
              <w:bottom w:val="single" w:sz="8" w:color="auto"/>
            </w:tcBorders>
            <w:vMerge w:val="continue"/>
            <w:shd w:val="clear" w:color="auto" w:fill="929292"/>
          </w:tcPr>
          <w:p>
            <w:pPr>
              <w:spacing w:after="0"/>
              <w:rPr>
                <w:sz w:val="16"/>
                <w:szCs w:val="16"/>
                <w:color w:val="auto"/>
              </w:rPr>
            </w:pPr>
          </w:p>
        </w:tc>
        <w:tc>
          <w:tcPr>
            <w:tcW w:w="580" w:type="dxa"/>
            <w:vAlign w:val="bottom"/>
            <w:tcBorders>
              <w:bottom w:val="single" w:sz="8" w:color="auto"/>
            </w:tcBorders>
            <w:vMerge w:val="continue"/>
            <w:shd w:val="clear" w:color="auto" w:fill="929292"/>
          </w:tcPr>
          <w:p>
            <w:pPr>
              <w:spacing w:after="0"/>
              <w:rPr>
                <w:sz w:val="16"/>
                <w:szCs w:val="16"/>
                <w:color w:val="auto"/>
              </w:rPr>
            </w:pPr>
          </w:p>
        </w:tc>
        <w:tc>
          <w:tcPr>
            <w:tcW w:w="1060" w:type="dxa"/>
            <w:vAlign w:val="bottom"/>
            <w:tcBorders>
              <w:bottom w:val="single" w:sz="8" w:color="auto"/>
            </w:tcBorders>
            <w:vMerge w:val="continue"/>
            <w:shd w:val="clear" w:color="auto" w:fill="929292"/>
          </w:tcPr>
          <w:p>
            <w:pPr>
              <w:spacing w:after="0"/>
              <w:rPr>
                <w:sz w:val="16"/>
                <w:szCs w:val="16"/>
                <w:color w:val="auto"/>
              </w:rPr>
            </w:pPr>
          </w:p>
        </w:tc>
        <w:tc>
          <w:tcPr>
            <w:tcW w:w="178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146"/>
        </w:trPr>
        <w:tc>
          <w:tcPr>
            <w:tcW w:w="350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Najuma Atkinson</w:t>
            </w:r>
          </w:p>
        </w:tc>
        <w:tc>
          <w:tcPr>
            <w:tcW w:w="1580" w:type="dxa"/>
            <w:vAlign w:val="bottom"/>
          </w:tcPr>
          <w:p>
            <w:pPr>
              <w:jc w:val="center"/>
              <w:ind w:left="948"/>
              <w:spacing w:after="0" w:line="147" w:lineRule="exact"/>
              <w:rPr>
                <w:sz w:val="20"/>
                <w:szCs w:val="20"/>
                <w:color w:val="auto"/>
              </w:rPr>
            </w:pPr>
            <w:r>
              <w:rPr>
                <w:rFonts w:ascii="Arial" w:cs="Arial" w:eastAsia="Arial" w:hAnsi="Arial"/>
                <w:sz w:val="14"/>
                <w:szCs w:val="14"/>
                <w:color w:val="auto"/>
              </w:rPr>
              <w:t>54</w:t>
            </w:r>
          </w:p>
        </w:tc>
        <w:tc>
          <w:tcPr>
            <w:tcW w:w="900" w:type="dxa"/>
            <w:vAlign w:val="bottom"/>
          </w:tcPr>
          <w:p>
            <w:pPr>
              <w:jc w:val="center"/>
              <w:spacing w:after="0" w:line="147" w:lineRule="exact"/>
              <w:rPr>
                <w:sz w:val="20"/>
                <w:szCs w:val="20"/>
                <w:color w:val="auto"/>
              </w:rPr>
            </w:pPr>
            <w:r>
              <w:rPr>
                <w:rFonts w:ascii="Arial" w:cs="Arial" w:eastAsia="Arial" w:hAnsi="Arial"/>
                <w:sz w:val="14"/>
                <w:szCs w:val="14"/>
                <w:color w:val="auto"/>
              </w:rPr>
              <w:t>2023</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5"/>
        </w:trPr>
        <w:tc>
          <w:tcPr>
            <w:tcW w:w="3500" w:type="dxa"/>
            <w:vAlign w:val="bottom"/>
            <w:tcBorders>
              <w:left w:val="single" w:sz="8" w:color="auto"/>
              <w:bottom w:val="single" w:sz="8" w:color="929292"/>
            </w:tcBorders>
          </w:tcPr>
          <w:p>
            <w:pPr>
              <w:ind w:left="40"/>
              <w:spacing w:after="0"/>
              <w:rPr>
                <w:sz w:val="20"/>
                <w:szCs w:val="20"/>
                <w:color w:val="auto"/>
              </w:rPr>
            </w:pPr>
            <w:r>
              <w:rPr>
                <w:rFonts w:ascii="Arial" w:cs="Arial" w:eastAsia="Arial" w:hAnsi="Arial"/>
                <w:sz w:val="14"/>
                <w:szCs w:val="14"/>
                <w:color w:val="auto"/>
              </w:rPr>
              <w:t>Director</w:t>
            </w:r>
          </w:p>
        </w:tc>
        <w:tc>
          <w:tcPr>
            <w:tcW w:w="1580" w:type="dxa"/>
            <w:vAlign w:val="bottom"/>
            <w:tcBorders>
              <w:bottom w:val="single" w:sz="8" w:color="929292"/>
            </w:tcBorders>
          </w:tcPr>
          <w:p>
            <w:pPr>
              <w:spacing w:after="0"/>
              <w:rPr>
                <w:sz w:val="16"/>
                <w:szCs w:val="16"/>
                <w:color w:val="auto"/>
              </w:rPr>
            </w:pPr>
          </w:p>
        </w:tc>
        <w:tc>
          <w:tcPr>
            <w:tcW w:w="90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spacing w:after="0"/>
              <w:rPr>
                <w:sz w:val="16"/>
                <w:szCs w:val="16"/>
                <w:color w:val="auto"/>
              </w:rPr>
            </w:pPr>
          </w:p>
        </w:tc>
        <w:tc>
          <w:tcPr>
            <w:tcW w:w="600" w:type="dxa"/>
            <w:vAlign w:val="bottom"/>
            <w:tcBorders>
              <w:bottom w:val="single" w:sz="8" w:color="929292"/>
            </w:tcBorders>
          </w:tcPr>
          <w:p>
            <w:pPr>
              <w:spacing w:after="0"/>
              <w:rPr>
                <w:sz w:val="16"/>
                <w:szCs w:val="16"/>
                <w:color w:val="auto"/>
              </w:rPr>
            </w:pPr>
          </w:p>
        </w:tc>
        <w:tc>
          <w:tcPr>
            <w:tcW w:w="580" w:type="dxa"/>
            <w:vAlign w:val="bottom"/>
            <w:tcBorders>
              <w:bottom w:val="single" w:sz="8" w:color="929292"/>
            </w:tcBorders>
          </w:tcPr>
          <w:p>
            <w:pPr>
              <w:spacing w:after="0"/>
              <w:rPr>
                <w:sz w:val="16"/>
                <w:szCs w:val="16"/>
                <w:color w:val="auto"/>
              </w:rPr>
            </w:pPr>
          </w:p>
        </w:tc>
        <w:tc>
          <w:tcPr>
            <w:tcW w:w="1060" w:type="dxa"/>
            <w:vAlign w:val="bottom"/>
            <w:tcBorders>
              <w:bottom w:val="single" w:sz="8" w:color="929292"/>
            </w:tcBorders>
          </w:tcPr>
          <w:p>
            <w:pPr>
              <w:spacing w:after="0"/>
              <w:rPr>
                <w:sz w:val="16"/>
                <w:szCs w:val="16"/>
                <w:color w:val="auto"/>
              </w:rPr>
            </w:pPr>
          </w:p>
        </w:tc>
        <w:tc>
          <w:tcPr>
            <w:tcW w:w="1780" w:type="dxa"/>
            <w:vAlign w:val="bottom"/>
            <w:tcBorders>
              <w:bottom w:val="single" w:sz="8" w:color="929292"/>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Martha Cummings</w:t>
            </w:r>
          </w:p>
        </w:tc>
        <w:tc>
          <w:tcPr>
            <w:tcW w:w="1580" w:type="dxa"/>
            <w:vAlign w:val="bottom"/>
          </w:tcPr>
          <w:p>
            <w:pPr>
              <w:jc w:val="center"/>
              <w:ind w:left="948"/>
              <w:spacing w:after="0" w:line="147" w:lineRule="exact"/>
              <w:rPr>
                <w:sz w:val="20"/>
                <w:szCs w:val="20"/>
                <w:color w:val="auto"/>
              </w:rPr>
            </w:pPr>
            <w:r>
              <w:rPr>
                <w:rFonts w:ascii="Arial" w:cs="Arial" w:eastAsia="Arial" w:hAnsi="Arial"/>
                <w:sz w:val="14"/>
                <w:szCs w:val="14"/>
                <w:color w:val="auto"/>
              </w:rPr>
              <w:t>65</w:t>
            </w:r>
          </w:p>
        </w:tc>
        <w:tc>
          <w:tcPr>
            <w:tcW w:w="900" w:type="dxa"/>
            <w:vAlign w:val="bottom"/>
          </w:tcPr>
          <w:p>
            <w:pPr>
              <w:jc w:val="center"/>
              <w:spacing w:after="0" w:line="147" w:lineRule="exact"/>
              <w:rPr>
                <w:sz w:val="20"/>
                <w:szCs w:val="20"/>
                <w:color w:val="auto"/>
              </w:rPr>
            </w:pPr>
            <w:r>
              <w:rPr>
                <w:rFonts w:ascii="Arial" w:cs="Arial" w:eastAsia="Arial" w:hAnsi="Arial"/>
                <w:sz w:val="14"/>
                <w:szCs w:val="14"/>
                <w:color w:val="auto"/>
              </w:rPr>
              <w:t>2021</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5"/>
        </w:trPr>
        <w:tc>
          <w:tcPr>
            <w:tcW w:w="3500" w:type="dxa"/>
            <w:vAlign w:val="bottom"/>
            <w:tcBorders>
              <w:left w:val="single" w:sz="8" w:color="auto"/>
              <w:bottom w:val="single" w:sz="8" w:color="929292"/>
            </w:tcBorders>
          </w:tcPr>
          <w:p>
            <w:pPr>
              <w:ind w:left="40"/>
              <w:spacing w:after="0"/>
              <w:rPr>
                <w:sz w:val="20"/>
                <w:szCs w:val="20"/>
                <w:color w:val="auto"/>
              </w:rPr>
            </w:pPr>
            <w:r>
              <w:rPr>
                <w:rFonts w:ascii="Arial" w:cs="Arial" w:eastAsia="Arial" w:hAnsi="Arial"/>
                <w:sz w:val="14"/>
                <w:szCs w:val="14"/>
                <w:color w:val="auto"/>
              </w:rPr>
              <w:t>Director</w:t>
            </w:r>
          </w:p>
        </w:tc>
        <w:tc>
          <w:tcPr>
            <w:tcW w:w="1580" w:type="dxa"/>
            <w:vAlign w:val="bottom"/>
            <w:tcBorders>
              <w:bottom w:val="single" w:sz="8" w:color="929292"/>
            </w:tcBorders>
          </w:tcPr>
          <w:p>
            <w:pPr>
              <w:spacing w:after="0"/>
              <w:rPr>
                <w:sz w:val="16"/>
                <w:szCs w:val="16"/>
                <w:color w:val="auto"/>
              </w:rPr>
            </w:pPr>
          </w:p>
        </w:tc>
        <w:tc>
          <w:tcPr>
            <w:tcW w:w="90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spacing w:after="0"/>
              <w:rPr>
                <w:sz w:val="16"/>
                <w:szCs w:val="16"/>
                <w:color w:val="auto"/>
              </w:rPr>
            </w:pPr>
          </w:p>
        </w:tc>
        <w:tc>
          <w:tcPr>
            <w:tcW w:w="600" w:type="dxa"/>
            <w:vAlign w:val="bottom"/>
            <w:tcBorders>
              <w:bottom w:val="single" w:sz="8" w:color="929292"/>
            </w:tcBorders>
          </w:tcPr>
          <w:p>
            <w:pPr>
              <w:spacing w:after="0"/>
              <w:rPr>
                <w:sz w:val="16"/>
                <w:szCs w:val="16"/>
                <w:color w:val="auto"/>
              </w:rPr>
            </w:pPr>
          </w:p>
        </w:tc>
        <w:tc>
          <w:tcPr>
            <w:tcW w:w="580" w:type="dxa"/>
            <w:vAlign w:val="bottom"/>
            <w:tcBorders>
              <w:bottom w:val="single" w:sz="8" w:color="929292"/>
            </w:tcBorders>
          </w:tcPr>
          <w:p>
            <w:pPr>
              <w:spacing w:after="0"/>
              <w:rPr>
                <w:sz w:val="16"/>
                <w:szCs w:val="16"/>
                <w:color w:val="auto"/>
              </w:rPr>
            </w:pPr>
          </w:p>
        </w:tc>
        <w:tc>
          <w:tcPr>
            <w:tcW w:w="1060" w:type="dxa"/>
            <w:vAlign w:val="bottom"/>
            <w:tcBorders>
              <w:bottom w:val="single" w:sz="8" w:color="929292"/>
            </w:tcBorders>
          </w:tcPr>
          <w:p>
            <w:pPr>
              <w:spacing w:after="0"/>
              <w:rPr>
                <w:sz w:val="16"/>
                <w:szCs w:val="16"/>
                <w:color w:val="auto"/>
              </w:rPr>
            </w:pPr>
          </w:p>
        </w:tc>
        <w:tc>
          <w:tcPr>
            <w:tcW w:w="1780" w:type="dxa"/>
            <w:vAlign w:val="bottom"/>
            <w:tcBorders>
              <w:bottom w:val="single" w:sz="8" w:color="929292"/>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Judson (Jud) Linville</w:t>
            </w:r>
          </w:p>
        </w:tc>
        <w:tc>
          <w:tcPr>
            <w:tcW w:w="1580" w:type="dxa"/>
            <w:vAlign w:val="bottom"/>
          </w:tcPr>
          <w:p>
            <w:pPr>
              <w:jc w:val="center"/>
              <w:ind w:left="948"/>
              <w:spacing w:after="0" w:line="147" w:lineRule="exact"/>
              <w:rPr>
                <w:sz w:val="20"/>
                <w:szCs w:val="20"/>
                <w:color w:val="auto"/>
              </w:rPr>
            </w:pPr>
            <w:r>
              <w:rPr>
                <w:rFonts w:ascii="Arial" w:cs="Arial" w:eastAsia="Arial" w:hAnsi="Arial"/>
                <w:sz w:val="14"/>
                <w:szCs w:val="14"/>
                <w:color w:val="auto"/>
              </w:rPr>
              <w:t>68</w:t>
            </w:r>
          </w:p>
        </w:tc>
        <w:tc>
          <w:tcPr>
            <w:tcW w:w="900" w:type="dxa"/>
            <w:vAlign w:val="bottom"/>
          </w:tcPr>
          <w:p>
            <w:pPr>
              <w:jc w:val="center"/>
              <w:spacing w:after="0" w:line="147" w:lineRule="exact"/>
              <w:rPr>
                <w:sz w:val="20"/>
                <w:szCs w:val="20"/>
                <w:color w:val="auto"/>
              </w:rPr>
            </w:pPr>
            <w:r>
              <w:rPr>
                <w:rFonts w:ascii="Arial" w:cs="Arial" w:eastAsia="Arial" w:hAnsi="Arial"/>
                <w:sz w:val="14"/>
                <w:szCs w:val="14"/>
                <w:color w:val="auto"/>
              </w:rPr>
              <w:t>2020</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60" w:type="dxa"/>
            <w:vAlign w:val="bottom"/>
          </w:tcPr>
          <w:p>
            <w:pPr>
              <w:spacing w:after="0"/>
              <w:rPr>
                <w:sz w:val="12"/>
                <w:szCs w:val="12"/>
                <w:color w:val="auto"/>
              </w:rPr>
            </w:pPr>
          </w:p>
        </w:tc>
        <w:tc>
          <w:tcPr>
            <w:tcW w:w="17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500" w:type="dxa"/>
            <w:vAlign w:val="bottom"/>
            <w:tcBorders>
              <w:left w:val="single" w:sz="8" w:color="auto"/>
              <w:bottom w:val="single" w:sz="8" w:color="929292"/>
            </w:tcBorders>
          </w:tcPr>
          <w:p>
            <w:pPr>
              <w:ind w:left="40"/>
              <w:spacing w:after="0"/>
              <w:rPr>
                <w:sz w:val="20"/>
                <w:szCs w:val="20"/>
                <w:color w:val="auto"/>
              </w:rPr>
            </w:pPr>
            <w:r>
              <w:rPr>
                <w:rFonts w:ascii="Arial" w:cs="Arial" w:eastAsia="Arial" w:hAnsi="Arial"/>
                <w:sz w:val="14"/>
                <w:szCs w:val="14"/>
                <w:color w:val="auto"/>
              </w:rPr>
              <w:t>Chair of the Board</w:t>
            </w:r>
          </w:p>
        </w:tc>
        <w:tc>
          <w:tcPr>
            <w:tcW w:w="1580" w:type="dxa"/>
            <w:vAlign w:val="bottom"/>
            <w:tcBorders>
              <w:bottom w:val="single" w:sz="8" w:color="929292"/>
            </w:tcBorders>
          </w:tcPr>
          <w:p>
            <w:pPr>
              <w:spacing w:after="0"/>
              <w:rPr>
                <w:sz w:val="16"/>
                <w:szCs w:val="16"/>
                <w:color w:val="auto"/>
              </w:rPr>
            </w:pPr>
          </w:p>
        </w:tc>
        <w:tc>
          <w:tcPr>
            <w:tcW w:w="90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spacing w:after="0"/>
              <w:rPr>
                <w:sz w:val="16"/>
                <w:szCs w:val="16"/>
                <w:color w:val="auto"/>
              </w:rPr>
            </w:pPr>
          </w:p>
        </w:tc>
        <w:tc>
          <w:tcPr>
            <w:tcW w:w="600" w:type="dxa"/>
            <w:vAlign w:val="bottom"/>
            <w:tcBorders>
              <w:bottom w:val="single" w:sz="8" w:color="929292"/>
            </w:tcBorders>
          </w:tcPr>
          <w:p>
            <w:pPr>
              <w:spacing w:after="0"/>
              <w:rPr>
                <w:sz w:val="16"/>
                <w:szCs w:val="16"/>
                <w:color w:val="auto"/>
              </w:rPr>
            </w:pPr>
          </w:p>
        </w:tc>
        <w:tc>
          <w:tcPr>
            <w:tcW w:w="580" w:type="dxa"/>
            <w:vAlign w:val="bottom"/>
            <w:tcBorders>
              <w:bottom w:val="single" w:sz="8" w:color="929292"/>
            </w:tcBorders>
          </w:tcPr>
          <w:p>
            <w:pPr>
              <w:spacing w:after="0"/>
              <w:rPr>
                <w:sz w:val="16"/>
                <w:szCs w:val="16"/>
                <w:color w:val="auto"/>
              </w:rPr>
            </w:pPr>
          </w:p>
        </w:tc>
        <w:tc>
          <w:tcPr>
            <w:tcW w:w="1060" w:type="dxa"/>
            <w:vAlign w:val="bottom"/>
            <w:tcBorders>
              <w:bottom w:val="single" w:sz="8" w:color="929292"/>
            </w:tcBorders>
          </w:tcPr>
          <w:p>
            <w:pPr>
              <w:spacing w:after="0"/>
              <w:rPr>
                <w:sz w:val="16"/>
                <w:szCs w:val="16"/>
                <w:color w:val="auto"/>
              </w:rPr>
            </w:pPr>
          </w:p>
        </w:tc>
        <w:tc>
          <w:tcPr>
            <w:tcW w:w="1780" w:type="dxa"/>
            <w:vAlign w:val="bottom"/>
            <w:tcBorders>
              <w:bottom w:val="single" w:sz="8" w:color="929292"/>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Michael (Mike) Milotich</w:t>
            </w:r>
          </w:p>
        </w:tc>
        <w:tc>
          <w:tcPr>
            <w:tcW w:w="1580" w:type="dxa"/>
            <w:vAlign w:val="bottom"/>
          </w:tcPr>
          <w:p>
            <w:pPr>
              <w:jc w:val="center"/>
              <w:ind w:left="948"/>
              <w:spacing w:after="0" w:line="147" w:lineRule="exact"/>
              <w:rPr>
                <w:sz w:val="20"/>
                <w:szCs w:val="20"/>
                <w:color w:val="auto"/>
              </w:rPr>
            </w:pPr>
            <w:r>
              <w:rPr>
                <w:rFonts w:ascii="Arial" w:cs="Arial" w:eastAsia="Arial" w:hAnsi="Arial"/>
                <w:sz w:val="14"/>
                <w:szCs w:val="14"/>
                <w:color w:val="auto"/>
              </w:rPr>
              <w:t>49</w:t>
            </w:r>
          </w:p>
        </w:tc>
        <w:tc>
          <w:tcPr>
            <w:tcW w:w="900" w:type="dxa"/>
            <w:vAlign w:val="bottom"/>
          </w:tcPr>
          <w:p>
            <w:pPr>
              <w:jc w:val="center"/>
              <w:spacing w:after="0" w:line="147" w:lineRule="exact"/>
              <w:rPr>
                <w:sz w:val="20"/>
                <w:szCs w:val="20"/>
                <w:color w:val="auto"/>
              </w:rPr>
            </w:pPr>
            <w:r>
              <w:rPr>
                <w:rFonts w:ascii="Arial" w:cs="Arial" w:eastAsia="Arial" w:hAnsi="Arial"/>
                <w:sz w:val="14"/>
                <w:szCs w:val="14"/>
                <w:color w:val="auto"/>
              </w:rPr>
              <w:t>2025</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5"/>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Director and Chief Executive Officer</w:t>
            </w:r>
          </w:p>
        </w:tc>
        <w:tc>
          <w:tcPr>
            <w:tcW w:w="1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p>
    <w:p>
      <w:pPr>
        <w:ind w:left="20"/>
        <w:spacing w:after="0" w:line="203" w:lineRule="auto"/>
        <w:rPr>
          <w:sz w:val="20"/>
          <w:szCs w:val="20"/>
          <w:color w:val="auto"/>
        </w:rPr>
      </w:pPr>
      <w:r>
        <w:rPr>
          <w:rFonts w:ascii="Arial" w:cs="Arial" w:eastAsia="Arial" w:hAnsi="Arial"/>
          <w:sz w:val="14"/>
          <w:szCs w:val="14"/>
          <w:b w:val="1"/>
          <w:bCs w:val="1"/>
          <w:color w:val="auto"/>
        </w:rPr>
        <w:t xml:space="preserve">CC </w:t>
      </w:r>
      <w:r>
        <w:rPr>
          <w:rFonts w:ascii="Arial" w:cs="Arial" w:eastAsia="Arial" w:hAnsi="Arial"/>
          <w:sz w:val="14"/>
          <w:szCs w:val="14"/>
          <w:color w:val="auto"/>
        </w:rPr>
        <w:t>= Compensation Committee</w:t>
      </w:r>
    </w:p>
    <w:p>
      <w:pPr>
        <w:ind w:left="20"/>
        <w:spacing w:after="0" w:line="221" w:lineRule="auto"/>
        <w:rPr>
          <w:sz w:val="20"/>
          <w:szCs w:val="20"/>
          <w:color w:val="auto"/>
        </w:rPr>
      </w:pPr>
      <w:r>
        <w:rPr>
          <w:rFonts w:ascii="Arial" w:cs="Arial" w:eastAsia="Arial" w:hAnsi="Arial"/>
          <w:sz w:val="14"/>
          <w:szCs w:val="14"/>
          <w:b w:val="1"/>
          <w:bCs w:val="1"/>
          <w:color w:val="auto"/>
        </w:rPr>
        <w:t xml:space="preserve">NGC </w:t>
      </w:r>
      <w:r>
        <w:rPr>
          <w:rFonts w:ascii="Arial" w:cs="Arial" w:eastAsia="Arial" w:hAnsi="Arial"/>
          <w:sz w:val="14"/>
          <w:szCs w:val="14"/>
          <w:color w:val="auto"/>
        </w:rPr>
        <w:t>= Nomination and Governance Committee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PIC </w:t>
      </w:r>
      <w:r>
        <w:rPr>
          <w:rFonts w:ascii="Arial" w:cs="Arial" w:eastAsia="Arial" w:hAnsi="Arial"/>
          <w:sz w:val="14"/>
          <w:szCs w:val="14"/>
          <w:color w:val="auto"/>
        </w:rPr>
        <w:t>= Payments Innovation Committee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Marqeta</w:t>
      </w:r>
    </w:p>
    <w:p>
      <w:pPr>
        <w:spacing w:after="0" w:line="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giving them configurability and flexibility. When our customers come to us to build a payments solution, they are not just building a card, they are building a payments experience.</w:t>
      </w:r>
    </w:p>
    <w:p>
      <w:pPr>
        <w:spacing w:after="0" w:line="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platform encompasses debit, prepaid, and credit programs, and provides banking and money movement, risk management, and rewards products. We deliver a scaled solution to our customers to maximize the benefit of their card programs while also providing the tech layer that bridges the bank and the customer. Marqeta’s open APIs provide instant access to a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w:t>
      </w:r>
    </w:p>
    <w:p>
      <w:pPr>
        <w:spacing w:after="0" w:line="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also deliver robust card program management, allowing our customers to embed Marqeta in their offering without having to build certain complex elements or customer support services. Our customers can focus on their areas of expertise, with more control over their card programs, while we manage the complexity of running the card programs with issuing banks and card networks.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Board of Directors</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directors possess a diverse range of skills, experience, qualifications, and perspectives, as well as a range of tenures, that allow the Board to effectively oversee the business, ensuring alignment with long term strategic decisions and the interests of our stockholders.</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960" w:type="dxa"/>
            <w:vAlign w:val="bottom"/>
            <w:tcBorders>
              <w:top w:val="single" w:sz="8" w:color="auto"/>
              <w:left w:val="single" w:sz="8" w:color="auto"/>
              <w:bottom w:val="single" w:sz="8" w:color="auto"/>
            </w:tcBorders>
            <w:shd w:val="clear" w:color="auto" w:fill="DBDBDB"/>
          </w:tcPr>
          <w:p>
            <w:pPr>
              <w:jc w:val="right"/>
              <w:ind w:right="36"/>
              <w:spacing w:after="0"/>
              <w:rPr>
                <w:sz w:val="20"/>
                <w:szCs w:val="20"/>
                <w:color w:val="auto"/>
              </w:rPr>
            </w:pPr>
            <w:r>
              <w:rPr>
                <w:rFonts w:ascii="Arial" w:cs="Arial" w:eastAsia="Arial" w:hAnsi="Arial"/>
                <w:sz w:val="29"/>
                <w:szCs w:val="29"/>
                <w:b w:val="1"/>
                <w:bCs w:val="1"/>
                <w:color w:val="auto"/>
              </w:rPr>
              <w:t>80%</w:t>
            </w:r>
          </w:p>
        </w:tc>
        <w:tc>
          <w:tcPr>
            <w:tcW w:w="4460" w:type="dxa"/>
            <w:vAlign w:val="bottom"/>
            <w:tcBorders>
              <w:top w:val="single" w:sz="8" w:color="auto"/>
              <w:bottom w:val="single" w:sz="8" w:color="auto"/>
              <w:right w:val="single" w:sz="8" w:color="auto"/>
            </w:tcBorders>
            <w:shd w:val="clear" w:color="auto" w:fill="929292"/>
          </w:tcPr>
          <w:p>
            <w:pPr>
              <w:ind w:left="20"/>
              <w:spacing w:after="0"/>
              <w:rPr>
                <w:sz w:val="20"/>
                <w:szCs w:val="20"/>
                <w:color w:val="auto"/>
              </w:rPr>
            </w:pPr>
            <w:r>
              <w:rPr>
                <w:rFonts w:ascii="Arial" w:cs="Arial" w:eastAsia="Arial" w:hAnsi="Arial"/>
                <w:sz w:val="25"/>
                <w:szCs w:val="25"/>
                <w:b w:val="1"/>
                <w:bCs w:val="1"/>
                <w:i w:val="1"/>
                <w:iCs w:val="1"/>
                <w:color w:val="FFFFFF"/>
              </w:rPr>
              <w:t>Independent Directors</w:t>
            </w:r>
          </w:p>
        </w:tc>
        <w:tc>
          <w:tcPr>
            <w:tcW w:w="420" w:type="dxa"/>
            <w:vAlign w:val="bottom"/>
            <w:tcBorders>
              <w:right w:val="single" w:sz="8" w:color="auto"/>
            </w:tcBorders>
          </w:tcPr>
          <w:p>
            <w:pPr>
              <w:spacing w:after="0"/>
              <w:rPr>
                <w:sz w:val="24"/>
                <w:szCs w:val="24"/>
                <w:color w:val="auto"/>
              </w:rPr>
            </w:pPr>
          </w:p>
        </w:tc>
        <w:tc>
          <w:tcPr>
            <w:tcW w:w="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29"/>
                <w:szCs w:val="29"/>
                <w:b w:val="1"/>
                <w:bCs w:val="1"/>
                <w:color w:val="auto"/>
              </w:rPr>
              <w:t>7</w:t>
            </w:r>
          </w:p>
        </w:tc>
        <w:tc>
          <w:tcPr>
            <w:tcW w:w="5080" w:type="dxa"/>
            <w:vAlign w:val="bottom"/>
            <w:tcBorders>
              <w:top w:val="single" w:sz="8" w:color="auto"/>
              <w:bottom w:val="single" w:sz="8" w:color="auto"/>
              <w:right w:val="single" w:sz="8" w:color="auto"/>
            </w:tcBorders>
            <w:shd w:val="clear" w:color="auto" w:fill="929292"/>
          </w:tcPr>
          <w:p>
            <w:pPr>
              <w:ind w:left="20"/>
              <w:spacing w:after="0"/>
              <w:rPr>
                <w:sz w:val="20"/>
                <w:szCs w:val="20"/>
                <w:color w:val="auto"/>
              </w:rPr>
            </w:pPr>
            <w:r>
              <w:rPr>
                <w:rFonts w:ascii="Arial" w:cs="Arial" w:eastAsia="Arial" w:hAnsi="Arial"/>
                <w:sz w:val="25"/>
                <w:szCs w:val="25"/>
                <w:b w:val="1"/>
                <w:bCs w:val="1"/>
                <w:i w:val="1"/>
                <w:iCs w:val="1"/>
                <w:color w:val="FFFFFF"/>
              </w:rPr>
              <w:t>Directors Added Since 2022</w:t>
            </w:r>
          </w:p>
        </w:tc>
      </w:tr>
    </w:tbl>
    <w:p>
      <w:pPr>
        <w:spacing w:after="0" w:line="209" w:lineRule="exact"/>
        <w:rPr>
          <w:sz w:val="20"/>
          <w:szCs w:val="20"/>
          <w:color w:val="auto"/>
        </w:rPr>
      </w:pPr>
    </w:p>
    <w:p>
      <w:pPr>
        <w:ind w:left="2420"/>
        <w:spacing w:after="0"/>
        <w:tabs>
          <w:tab w:leader="none" w:pos="4140" w:val="left"/>
        </w:tabs>
        <w:rPr>
          <w:sz w:val="20"/>
          <w:szCs w:val="20"/>
          <w:color w:val="auto"/>
        </w:rPr>
      </w:pPr>
      <w:r>
        <w:rPr>
          <w:rFonts w:ascii="Arial" w:cs="Arial" w:eastAsia="Arial" w:hAnsi="Arial"/>
          <w:sz w:val="29"/>
          <w:szCs w:val="29"/>
          <w:b w:val="1"/>
          <w:bCs w:val="1"/>
          <w:color w:val="auto"/>
        </w:rPr>
        <w:t>5 Years</w:t>
      </w:r>
      <w:r>
        <w:rPr>
          <w:sz w:val="20"/>
          <w:szCs w:val="20"/>
          <w:color w:val="auto"/>
        </w:rPr>
        <w:tab/>
      </w:r>
      <w:r>
        <w:rPr>
          <w:rFonts w:ascii="Arial" w:cs="Arial" w:eastAsia="Arial" w:hAnsi="Arial"/>
          <w:sz w:val="25"/>
          <w:szCs w:val="25"/>
          <w:b w:val="1"/>
          <w:bCs w:val="1"/>
          <w:i w:val="1"/>
          <w:iCs w:val="1"/>
          <w:color w:val="FFFFFF"/>
        </w:rPr>
        <w:t>Average Director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-198120</wp:posOffset>
            </wp:positionV>
            <wp:extent cx="398589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85895" cy="2311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page </w:t>
      </w:r>
      <w:r>
        <w:rPr>
          <w:rFonts w:ascii="Arial" w:cs="Arial" w:eastAsia="Arial" w:hAnsi="Arial"/>
          <w:sz w:val="18"/>
          <w:szCs w:val="18"/>
          <w:u w:val="single" w:color="auto"/>
          <w:color w:val="0000FF"/>
        </w:rPr>
        <w:t>9</w:t>
      </w:r>
      <w:r>
        <w:rPr>
          <w:rFonts w:ascii="Arial" w:cs="Arial" w:eastAsia="Arial" w:hAnsi="Arial"/>
          <w:sz w:val="18"/>
          <w:szCs w:val="18"/>
          <w:color w:val="auto"/>
        </w:rPr>
        <w:t xml:space="preserve"> for individual details for each director, including experience and qualifications.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Corporate Governance Highlights</w:t>
      </w:r>
    </w:p>
    <w:p>
      <w:pPr>
        <w:spacing w:after="0" w:line="1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Strong corporate governance practices are key to achieving our performance goals while maintaining the trust and confidence of our stockholders, customers, and other stakeholders. Our corporate governance practices are described in more detail beginning on page </w:t>
      </w:r>
      <w:r>
        <w:rPr>
          <w:rFonts w:ascii="Arial" w:cs="Arial" w:eastAsia="Arial" w:hAnsi="Arial"/>
          <w:sz w:val="18"/>
          <w:szCs w:val="18"/>
          <w:u w:val="single" w:color="auto"/>
          <w:color w:val="0000FF"/>
        </w:rPr>
        <w:t>15</w:t>
      </w:r>
      <w:r>
        <w:rPr>
          <w:rFonts w:ascii="Arial" w:cs="Arial" w:eastAsia="Arial" w:hAnsi="Arial"/>
          <w:sz w:val="18"/>
          <w:szCs w:val="18"/>
          <w:color w:val="auto"/>
        </w:rPr>
        <w:t xml:space="preserve"> and in our Corporate Governance Guidelines, which can be found at www.investors.marqeta.com/governance/governance-overview.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4740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474091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760" w:type="dxa"/>
            <w:vAlign w:val="bottom"/>
            <w:tcBorders>
              <w:top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20"/>
                <w:szCs w:val="20"/>
                <w:b w:val="1"/>
                <w:bCs w:val="1"/>
                <w:color w:val="auto"/>
              </w:rPr>
              <w:t>Director Independence</w:t>
            </w:r>
          </w:p>
        </w:tc>
        <w:tc>
          <w:tcPr>
            <w:tcW w:w="4480" w:type="dxa"/>
            <w:vAlign w:val="bottom"/>
            <w:tcBorders>
              <w:top w:val="single" w:sz="8" w:color="auto"/>
              <w:bottom w:val="single" w:sz="8" w:color="auto"/>
            </w:tcBorders>
            <w:shd w:val="clear" w:color="auto" w:fill="929292"/>
          </w:tcPr>
          <w:p>
            <w:pPr>
              <w:spacing w:after="0"/>
              <w:rPr>
                <w:sz w:val="20"/>
                <w:szCs w:val="20"/>
                <w:color w:val="auto"/>
              </w:rPr>
            </w:pPr>
            <w:r>
              <w:rPr>
                <w:rFonts w:ascii="Arial" w:cs="Arial" w:eastAsia="Arial" w:hAnsi="Arial"/>
                <w:sz w:val="22"/>
                <w:szCs w:val="22"/>
                <w:b w:val="1"/>
                <w:bCs w:val="1"/>
                <w:i w:val="1"/>
                <w:iCs w:val="1"/>
                <w:color w:val="FFFFFF"/>
              </w:rPr>
              <w:t>80% Independent</w:t>
            </w:r>
          </w:p>
        </w:tc>
        <w:tc>
          <w:tcPr>
            <w:tcW w:w="20" w:type="dxa"/>
            <w:vAlign w:val="bottom"/>
            <w:tcBorders>
              <w:top w:val="single" w:sz="8" w:color="auto"/>
              <w:bottom w:val="single" w:sz="8" w:color="auto"/>
            </w:tcBorders>
          </w:tcPr>
          <w:p>
            <w:pPr>
              <w:spacing w:after="0"/>
              <w:rPr>
                <w:sz w:val="24"/>
                <w:szCs w:val="24"/>
                <w:color w:val="auto"/>
              </w:rPr>
            </w:pPr>
          </w:p>
        </w:tc>
      </w:tr>
    </w:tbl>
    <w:p>
      <w:pPr>
        <w:ind w:left="380" w:hanging="341"/>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an independent Chair of the Board.</w:t>
      </w:r>
    </w:p>
    <w:p>
      <w:pPr>
        <w:spacing w:after="0" w:line="26" w:lineRule="exact"/>
        <w:rPr>
          <w:rFonts w:ascii="Arial" w:cs="Arial" w:eastAsia="Arial" w:hAnsi="Arial"/>
          <w:sz w:val="18"/>
          <w:szCs w:val="18"/>
          <w:color w:val="auto"/>
        </w:rPr>
      </w:pPr>
    </w:p>
    <w:p>
      <w:pPr>
        <w:ind w:left="380" w:hanging="341"/>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8 of our 10 directors are independent.</w:t>
      </w:r>
    </w:p>
    <w:p>
      <w:pPr>
        <w:spacing w:after="0" w:line="22" w:lineRule="exact"/>
        <w:rPr>
          <w:rFonts w:ascii="Arial" w:cs="Arial" w:eastAsia="Arial" w:hAnsi="Arial"/>
          <w:sz w:val="18"/>
          <w:szCs w:val="18"/>
          <w:color w:val="auto"/>
        </w:rPr>
      </w:pPr>
    </w:p>
    <w:p>
      <w:pPr>
        <w:ind w:left="360" w:right="200" w:hanging="321"/>
        <w:spacing w:after="0"/>
        <w:tabs>
          <w:tab w:leader="none" w:pos="36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the Compensation Committee, and the Nomination and Governance Committee are each composed exclusively of independent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tcBorders>
              <w:top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20"/>
                <w:szCs w:val="20"/>
                <w:b w:val="1"/>
                <w:bCs w:val="1"/>
                <w:color w:val="auto"/>
              </w:rPr>
              <w:t>Board Risk Oversight</w:t>
            </w:r>
          </w:p>
        </w:tc>
        <w:tc>
          <w:tcPr>
            <w:tcW w:w="4480" w:type="dxa"/>
            <w:vAlign w:val="bottom"/>
            <w:tcBorders>
              <w:top w:val="single" w:sz="8" w:color="auto"/>
            </w:tcBorders>
            <w:shd w:val="clear" w:color="auto" w:fill="929292"/>
          </w:tcPr>
          <w:p>
            <w:pPr>
              <w:spacing w:after="0" w:line="197" w:lineRule="exact"/>
              <w:rPr>
                <w:sz w:val="20"/>
                <w:szCs w:val="20"/>
                <w:color w:val="auto"/>
              </w:rPr>
            </w:pPr>
            <w:r>
              <w:rPr>
                <w:rFonts w:ascii="Arial" w:cs="Arial" w:eastAsia="Arial" w:hAnsi="Arial"/>
                <w:sz w:val="22"/>
                <w:szCs w:val="22"/>
                <w:b w:val="1"/>
                <w:bCs w:val="1"/>
                <w:i w:val="1"/>
                <w:iCs w:val="1"/>
                <w:color w:val="FFFFFF"/>
              </w:rPr>
              <w:t>Active Oversight of Strategy and</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760" w:type="dxa"/>
            <w:vAlign w:val="bottom"/>
            <w:tcBorders>
              <w:right w:val="single" w:sz="8" w:color="auto"/>
            </w:tcBorders>
            <w:vMerge w:val="continue"/>
            <w:shd w:val="clear" w:color="auto" w:fill="DBDBDB"/>
          </w:tcPr>
          <w:p>
            <w:pPr>
              <w:spacing w:after="0"/>
              <w:rPr>
                <w:sz w:val="14"/>
                <w:szCs w:val="14"/>
                <w:color w:val="auto"/>
              </w:rPr>
            </w:pPr>
          </w:p>
        </w:tc>
        <w:tc>
          <w:tcPr>
            <w:tcW w:w="4480" w:type="dxa"/>
            <w:vAlign w:val="bottom"/>
            <w:vMerge w:val="restart"/>
            <w:shd w:val="clear" w:color="auto" w:fill="929292"/>
          </w:tcPr>
          <w:p>
            <w:pPr>
              <w:spacing w:after="0"/>
              <w:rPr>
                <w:sz w:val="20"/>
                <w:szCs w:val="20"/>
                <w:color w:val="auto"/>
              </w:rPr>
            </w:pPr>
            <w:r>
              <w:rPr>
                <w:rFonts w:ascii="Arial" w:cs="Arial" w:eastAsia="Arial" w:hAnsi="Arial"/>
                <w:sz w:val="22"/>
                <w:szCs w:val="22"/>
                <w:b w:val="1"/>
                <w:bCs w:val="1"/>
                <w:i w:val="1"/>
                <w:iCs w:val="1"/>
                <w:color w:val="FFFFFF"/>
              </w:rPr>
              <w:t>Enterprise Risk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760" w:type="dxa"/>
            <w:vAlign w:val="bottom"/>
            <w:tcBorders>
              <w:bottom w:val="single" w:sz="8" w:color="auto"/>
              <w:right w:val="single" w:sz="8" w:color="auto"/>
            </w:tcBorders>
            <w:shd w:val="clear" w:color="auto" w:fill="DBDBDB"/>
          </w:tcPr>
          <w:p>
            <w:pPr>
              <w:spacing w:after="0"/>
              <w:rPr>
                <w:sz w:val="10"/>
                <w:szCs w:val="10"/>
                <w:color w:val="auto"/>
              </w:rPr>
            </w:pPr>
          </w:p>
        </w:tc>
        <w:tc>
          <w:tcPr>
            <w:tcW w:w="4480" w:type="dxa"/>
            <w:vAlign w:val="bottom"/>
            <w:tcBorders>
              <w:bottom w:val="single" w:sz="8" w:color="auto"/>
            </w:tcBorders>
            <w:vMerge w:val="continue"/>
            <w:shd w:val="clear" w:color="auto" w:fill="92929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ind w:left="380" w:hanging="341"/>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actively engages in strategic planning through an integrated, risk-informed approach that supports our long-term growth.</w:t>
      </w:r>
    </w:p>
    <w:p>
      <w:pPr>
        <w:spacing w:after="0" w:line="26" w:lineRule="exact"/>
        <w:rPr>
          <w:rFonts w:ascii="Arial" w:cs="Arial" w:eastAsia="Arial" w:hAnsi="Arial"/>
          <w:sz w:val="18"/>
          <w:szCs w:val="18"/>
          <w:color w:val="auto"/>
        </w:rPr>
      </w:pPr>
    </w:p>
    <w:p>
      <w:pPr>
        <w:ind w:left="360" w:right="40" w:hanging="321"/>
        <w:spacing w:after="0" w:line="242" w:lineRule="auto"/>
        <w:tabs>
          <w:tab w:leader="none" w:pos="3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meets regularly with members of management to review and discuss risk assessment and risk management policies and procedures, including with respect to artificial intelligence and cybersecurity.</w:t>
      </w:r>
    </w:p>
    <w:p>
      <w:pPr>
        <w:spacing w:after="0" w:line="1" w:lineRule="exact"/>
        <w:rPr>
          <w:rFonts w:ascii="Arial" w:cs="Arial" w:eastAsia="Arial" w:hAnsi="Arial"/>
          <w:sz w:val="18"/>
          <w:szCs w:val="18"/>
          <w:color w:val="auto"/>
        </w:rPr>
      </w:pPr>
    </w:p>
    <w:p>
      <w:pPr>
        <w:ind w:left="360" w:right="40" w:hanging="321"/>
        <w:spacing w:after="0" w:line="242" w:lineRule="auto"/>
        <w:tabs>
          <w:tab w:leader="none" w:pos="3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Committee meets regularly with members of management to review risks associated with our compensation policies and practices.</w:t>
      </w:r>
    </w:p>
    <w:p>
      <w:pPr>
        <w:spacing w:after="0" w:line="1" w:lineRule="exact"/>
        <w:rPr>
          <w:rFonts w:ascii="Arial" w:cs="Arial" w:eastAsia="Arial" w:hAnsi="Arial"/>
          <w:sz w:val="18"/>
          <w:szCs w:val="18"/>
          <w:color w:val="auto"/>
        </w:rPr>
      </w:pPr>
    </w:p>
    <w:p>
      <w:pPr>
        <w:ind w:left="360" w:right="40" w:hanging="321"/>
        <w:spacing w:after="0" w:line="242" w:lineRule="auto"/>
        <w:tabs>
          <w:tab w:leader="none" w:pos="3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Nomination and Governance Committee meets regularly with members of management to review risks associated with corporate governance policies and practices.</w:t>
      </w:r>
    </w:p>
    <w:p>
      <w:pPr>
        <w:spacing w:after="0" w:line="1" w:lineRule="exact"/>
        <w:rPr>
          <w:rFonts w:ascii="Arial" w:cs="Arial" w:eastAsia="Arial" w:hAnsi="Arial"/>
          <w:sz w:val="18"/>
          <w:szCs w:val="18"/>
          <w:color w:val="auto"/>
        </w:rPr>
      </w:pPr>
    </w:p>
    <w:p>
      <w:pPr>
        <w:ind w:left="360" w:right="40" w:hanging="321"/>
        <w:spacing w:after="0"/>
        <w:tabs>
          <w:tab w:leader="none" w:pos="3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Payments Innovation Committee meets regularly with members of management to review risks associated with innovation and technology, including risks associated with our intellectual property strategy.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tcBorders>
              <w:top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20"/>
                <w:szCs w:val="20"/>
                <w:b w:val="1"/>
                <w:bCs w:val="1"/>
                <w:color w:val="auto"/>
              </w:rPr>
              <w:t>Stock Ownership Requirements</w:t>
            </w:r>
          </w:p>
        </w:tc>
        <w:tc>
          <w:tcPr>
            <w:tcW w:w="4480" w:type="dxa"/>
            <w:vAlign w:val="bottom"/>
            <w:tcBorders>
              <w:top w:val="single" w:sz="8" w:color="auto"/>
            </w:tcBorders>
            <w:shd w:val="clear" w:color="auto" w:fill="929292"/>
          </w:tcPr>
          <w:p>
            <w:pPr>
              <w:spacing w:after="0" w:line="197" w:lineRule="exact"/>
              <w:rPr>
                <w:sz w:val="20"/>
                <w:szCs w:val="20"/>
                <w:color w:val="auto"/>
              </w:rPr>
            </w:pPr>
            <w:r>
              <w:rPr>
                <w:rFonts w:ascii="Arial" w:cs="Arial" w:eastAsia="Arial" w:hAnsi="Arial"/>
                <w:sz w:val="22"/>
                <w:szCs w:val="22"/>
                <w:b w:val="1"/>
                <w:bCs w:val="1"/>
                <w:i w:val="1"/>
                <w:iCs w:val="1"/>
                <w:color w:val="FFFFFF"/>
              </w:rPr>
              <w:t>Robust Director and Officer Stock</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760" w:type="dxa"/>
            <w:vAlign w:val="bottom"/>
            <w:tcBorders>
              <w:right w:val="single" w:sz="8" w:color="auto"/>
            </w:tcBorders>
            <w:vMerge w:val="continue"/>
            <w:shd w:val="clear" w:color="auto" w:fill="DBDBDB"/>
          </w:tcPr>
          <w:p>
            <w:pPr>
              <w:spacing w:after="0"/>
              <w:rPr>
                <w:sz w:val="14"/>
                <w:szCs w:val="14"/>
                <w:color w:val="auto"/>
              </w:rPr>
            </w:pPr>
          </w:p>
        </w:tc>
        <w:tc>
          <w:tcPr>
            <w:tcW w:w="4480" w:type="dxa"/>
            <w:vAlign w:val="bottom"/>
            <w:vMerge w:val="restart"/>
            <w:shd w:val="clear" w:color="auto" w:fill="929292"/>
          </w:tcPr>
          <w:p>
            <w:pPr>
              <w:spacing w:after="0"/>
              <w:rPr>
                <w:sz w:val="20"/>
                <w:szCs w:val="20"/>
                <w:color w:val="auto"/>
              </w:rPr>
            </w:pPr>
            <w:r>
              <w:rPr>
                <w:rFonts w:ascii="Arial" w:cs="Arial" w:eastAsia="Arial" w:hAnsi="Arial"/>
                <w:sz w:val="22"/>
                <w:szCs w:val="22"/>
                <w:b w:val="1"/>
                <w:bCs w:val="1"/>
                <w:i w:val="1"/>
                <w:iCs w:val="1"/>
                <w:color w:val="FFFFFF"/>
              </w:rPr>
              <w:t>Ownership Guidelines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760" w:type="dxa"/>
            <w:vAlign w:val="bottom"/>
            <w:tcBorders>
              <w:bottom w:val="single" w:sz="8" w:color="auto"/>
              <w:right w:val="single" w:sz="8" w:color="auto"/>
            </w:tcBorders>
            <w:shd w:val="clear" w:color="auto" w:fill="DBDBDB"/>
          </w:tcPr>
          <w:p>
            <w:pPr>
              <w:spacing w:after="0"/>
              <w:rPr>
                <w:sz w:val="10"/>
                <w:szCs w:val="10"/>
                <w:color w:val="auto"/>
              </w:rPr>
            </w:pPr>
          </w:p>
        </w:tc>
        <w:tc>
          <w:tcPr>
            <w:tcW w:w="4480" w:type="dxa"/>
            <w:vAlign w:val="bottom"/>
            <w:tcBorders>
              <w:bottom w:val="single" w:sz="8" w:color="auto"/>
            </w:tcBorders>
            <w:vMerge w:val="continue"/>
            <w:shd w:val="clear" w:color="auto" w:fill="92929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ind w:left="360" w:right="40" w:hanging="321"/>
        <w:spacing w:after="0" w:line="244" w:lineRule="auto"/>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five years of joining the Board, our non-employee directors are expected to hold shares of Marqeta common stock equal in value to five times their annual cash retainer.</w:t>
      </w:r>
    </w:p>
    <w:p>
      <w:pPr>
        <w:spacing w:after="0" w:line="1" w:lineRule="exact"/>
        <w:rPr>
          <w:rFonts w:ascii="Arial" w:cs="Arial" w:eastAsia="Arial" w:hAnsi="Arial"/>
          <w:sz w:val="18"/>
          <w:szCs w:val="18"/>
          <w:color w:val="auto"/>
        </w:rPr>
      </w:pPr>
    </w:p>
    <w:p>
      <w:pPr>
        <w:jc w:val="both"/>
        <w:ind w:left="360" w:right="60" w:hanging="321"/>
        <w:spacing w:after="0" w:line="229" w:lineRule="auto"/>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Chief Executive Officer is expected to hold shares of Marqeta common stock equal in value to five times his or her salary, and our other named executive officers (“NEOs”) are expected to hold shares of Marqeta common stock equal in value to 1.5 times their annual salary.</w:t>
      </w:r>
    </w:p>
    <w:p>
      <w:pPr>
        <w:spacing w:after="0" w:line="1" w:lineRule="exact"/>
        <w:rPr>
          <w:rFonts w:ascii="Arial" w:cs="Arial" w:eastAsia="Arial" w:hAnsi="Arial"/>
          <w:sz w:val="18"/>
          <w:szCs w:val="18"/>
          <w:color w:val="auto"/>
        </w:rPr>
      </w:pPr>
    </w:p>
    <w:p>
      <w:pPr>
        <w:ind w:left="360" w:right="40" w:hanging="321"/>
        <w:spacing w:after="0"/>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allow our employees, including our executive officers, or our directors to pledge shares as collateral or hedge the economic risk of owning shares of Marqeta.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760" w:type="dxa"/>
            <w:vAlign w:val="bottom"/>
            <w:tcBorders>
              <w:top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20"/>
                <w:szCs w:val="20"/>
                <w:b w:val="1"/>
                <w:bCs w:val="1"/>
                <w:color w:val="auto"/>
              </w:rPr>
              <w:t>Governance Matters</w:t>
            </w:r>
          </w:p>
        </w:tc>
        <w:tc>
          <w:tcPr>
            <w:tcW w:w="4480" w:type="dxa"/>
            <w:vAlign w:val="bottom"/>
            <w:tcBorders>
              <w:top w:val="single" w:sz="8" w:color="auto"/>
              <w:bottom w:val="single" w:sz="8" w:color="auto"/>
            </w:tcBorders>
            <w:shd w:val="clear" w:color="auto" w:fill="929292"/>
          </w:tcPr>
          <w:p>
            <w:pPr>
              <w:spacing w:after="0"/>
              <w:rPr>
                <w:sz w:val="20"/>
                <w:szCs w:val="20"/>
                <w:color w:val="auto"/>
              </w:rPr>
            </w:pPr>
            <w:r>
              <w:rPr>
                <w:rFonts w:ascii="Arial" w:cs="Arial" w:eastAsia="Arial" w:hAnsi="Arial"/>
                <w:sz w:val="22"/>
                <w:szCs w:val="22"/>
                <w:b w:val="1"/>
                <w:bCs w:val="1"/>
                <w:i w:val="1"/>
                <w:iCs w:val="1"/>
                <w:color w:val="FFFFFF"/>
              </w:rPr>
              <w:t>Strong Corporate Governance</w:t>
            </w:r>
          </w:p>
        </w:tc>
        <w:tc>
          <w:tcPr>
            <w:tcW w:w="20" w:type="dxa"/>
            <w:vAlign w:val="bottom"/>
            <w:tcBorders>
              <w:top w:val="single" w:sz="8" w:color="auto"/>
              <w:bottom w:val="single" w:sz="8" w:color="auto"/>
            </w:tcBorders>
          </w:tcPr>
          <w:p>
            <w:pPr>
              <w:spacing w:after="0"/>
              <w:rPr>
                <w:sz w:val="24"/>
                <w:szCs w:val="24"/>
                <w:color w:val="auto"/>
              </w:rPr>
            </w:pPr>
          </w:p>
        </w:tc>
      </w:tr>
    </w:tbl>
    <w:p>
      <w:pPr>
        <w:ind w:left="360" w:right="140" w:hanging="321"/>
        <w:spacing w:after="0" w:line="244" w:lineRule="auto"/>
        <w:tabs>
          <w:tab w:leader="none" w:pos="3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independent directors regularly meet in executive sessions without management present, and our Board Chair presides over those sessions.</w:t>
      </w:r>
    </w:p>
    <w:p>
      <w:pPr>
        <w:spacing w:after="0" w:line="1" w:lineRule="exact"/>
        <w:rPr>
          <w:rFonts w:ascii="Arial" w:cs="Arial" w:eastAsia="Arial" w:hAnsi="Arial"/>
          <w:sz w:val="18"/>
          <w:szCs w:val="18"/>
          <w:color w:val="auto"/>
        </w:rPr>
      </w:pPr>
    </w:p>
    <w:p>
      <w:pPr>
        <w:ind w:left="380" w:hanging="341"/>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and its committees conduct annual self-assessments.</w:t>
      </w:r>
    </w:p>
    <w:p>
      <w:pPr>
        <w:spacing w:after="0" w:line="22" w:lineRule="exact"/>
        <w:rPr>
          <w:rFonts w:ascii="Arial" w:cs="Arial" w:eastAsia="Arial" w:hAnsi="Arial"/>
          <w:sz w:val="18"/>
          <w:szCs w:val="18"/>
          <w:color w:val="auto"/>
        </w:rPr>
      </w:pPr>
    </w:p>
    <w:p>
      <w:pPr>
        <w:ind w:left="380" w:hanging="341"/>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comprehensive orientation program for new directors.</w:t>
      </w:r>
    </w:p>
    <w:p>
      <w:pPr>
        <w:spacing w:after="0" w:line="22" w:lineRule="exact"/>
        <w:rPr>
          <w:rFonts w:ascii="Arial" w:cs="Arial" w:eastAsia="Arial" w:hAnsi="Arial"/>
          <w:sz w:val="18"/>
          <w:szCs w:val="18"/>
          <w:color w:val="auto"/>
        </w:rPr>
      </w:pPr>
    </w:p>
    <w:p>
      <w:pPr>
        <w:ind w:left="380" w:hanging="341"/>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focus on Board succession, including committee and chair refreshment.</w:t>
      </w:r>
    </w:p>
    <w:p>
      <w:pPr>
        <w:spacing w:after="0" w:line="22" w:lineRule="exact"/>
        <w:rPr>
          <w:rFonts w:ascii="Arial" w:cs="Arial" w:eastAsia="Arial" w:hAnsi="Arial"/>
          <w:sz w:val="18"/>
          <w:szCs w:val="18"/>
          <w:color w:val="auto"/>
        </w:rPr>
      </w:pPr>
    </w:p>
    <w:p>
      <w:pPr>
        <w:ind w:left="380" w:hanging="341"/>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independent directors have complete access to management and other senior level executives.</w:t>
      </w:r>
    </w:p>
    <w:p>
      <w:pPr>
        <w:spacing w:after="0" w:line="22" w:lineRule="exact"/>
        <w:rPr>
          <w:rFonts w:ascii="Arial" w:cs="Arial" w:eastAsia="Arial" w:hAnsi="Arial"/>
          <w:sz w:val="18"/>
          <w:szCs w:val="18"/>
          <w:color w:val="auto"/>
        </w:rPr>
      </w:pPr>
    </w:p>
    <w:p>
      <w:pPr>
        <w:ind w:left="380" w:hanging="341"/>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 poison pill.</w:t>
      </w:r>
    </w:p>
    <w:p>
      <w:pPr>
        <w:spacing w:after="0" w:line="200" w:lineRule="exact"/>
        <w:rPr>
          <w:sz w:val="20"/>
          <w:szCs w:val="20"/>
          <w:color w:val="auto"/>
        </w:rPr>
      </w:pPr>
    </w:p>
    <w:p>
      <w:pPr>
        <w:spacing w:after="0" w:line="278" w:lineRule="exact"/>
        <w:rPr>
          <w:sz w:val="20"/>
          <w:szCs w:val="20"/>
          <w:color w:val="auto"/>
        </w:rPr>
      </w:pPr>
    </w:p>
    <w:p>
      <w:pPr>
        <w:ind w:left="9340"/>
        <w:spacing w:after="0"/>
        <w:rPr>
          <w:sz w:val="20"/>
          <w:szCs w:val="20"/>
          <w:color w:val="auto"/>
        </w:rPr>
      </w:pPr>
      <w:r>
        <w:rPr>
          <w:sz w:val="1"/>
          <w:szCs w:val="1"/>
          <w:color w:val="auto"/>
        </w:rPr>
        <w:drawing>
          <wp:inline distT="0" distB="0" distL="0" distR="0">
            <wp:extent cx="1105535" cy="154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6"/>
          <w:szCs w:val="16"/>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Executive Compensation Highlights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You are being asked to vote on an advisory basis on the compensation paid to the Company’s NEOs as described in this Proxy Statement, including the Compensation Discussion &amp; Analysis and Compensation Tables beginning on page </w:t>
      </w:r>
      <w:r>
        <w:rPr>
          <w:rFonts w:ascii="Arial" w:cs="Arial" w:eastAsia="Arial" w:hAnsi="Arial"/>
          <w:sz w:val="18"/>
          <w:szCs w:val="18"/>
          <w:u w:val="single" w:color="auto"/>
          <w:color w:val="0000FF"/>
        </w:rPr>
        <w:t>36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40575"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67754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Our executive compensation program is designed to:</w:t>
      </w:r>
    </w:p>
    <w:p>
      <w:pPr>
        <w:spacing w:after="0" w:line="45" w:lineRule="exact"/>
        <w:rPr>
          <w:sz w:val="20"/>
          <w:szCs w:val="20"/>
          <w:color w:val="auto"/>
        </w:rPr>
      </w:pPr>
    </w:p>
    <w:p>
      <w:pPr>
        <w:ind w:left="380" w:hanging="341"/>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 reward, and retain highly qualified executive officers.</w:t>
      </w:r>
    </w:p>
    <w:p>
      <w:pPr>
        <w:ind w:left="380" w:hanging="341"/>
        <w:spacing w:after="0" w:line="20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long-term interests of stockholders and executive officers.</w:t>
      </w:r>
    </w:p>
    <w:p>
      <w:pPr>
        <w:ind w:left="380" w:hanging="341"/>
        <w:spacing w:after="0" w:line="20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our executive officers by giving them a stake in our growth.</w:t>
      </w:r>
    </w:p>
    <w:p>
      <w:pPr>
        <w:ind w:left="380" w:hanging="341"/>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compensation packages that are competitive and reasonable relative to peers, the overall market, and individual performance.</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meet these objectives through our compensation mix, including base salary, short-term incentives, including annual cash incentives (“ACI”), and long-term incentives.</w:t>
      </w:r>
    </w:p>
    <w:p>
      <w:pPr>
        <w:spacing w:after="0" w:line="76" w:lineRule="exact"/>
        <w:rPr>
          <w:sz w:val="20"/>
          <w:szCs w:val="20"/>
          <w:color w:val="auto"/>
        </w:rPr>
      </w:pPr>
    </w:p>
    <w:p>
      <w:pPr>
        <w:ind w:left="760"/>
        <w:spacing w:after="0"/>
        <w:tabs>
          <w:tab w:leader="none" w:pos="6040" w:val="left"/>
        </w:tabs>
        <w:rPr>
          <w:sz w:val="20"/>
          <w:szCs w:val="20"/>
          <w:color w:val="auto"/>
        </w:rPr>
      </w:pPr>
      <w:r>
        <w:rPr>
          <w:rFonts w:ascii="Arial" w:cs="Arial" w:eastAsia="Arial" w:hAnsi="Arial"/>
          <w:sz w:val="22"/>
          <w:szCs w:val="22"/>
          <w:b w:val="1"/>
          <w:bCs w:val="1"/>
          <w:color w:val="FFFFFF"/>
        </w:rPr>
        <w:t>FY 2025 CEO Target Compensation Mix*</w:t>
      </w:r>
      <w:r>
        <w:rPr>
          <w:sz w:val="20"/>
          <w:szCs w:val="20"/>
          <w:color w:val="auto"/>
        </w:rPr>
        <w:tab/>
      </w:r>
      <w:r>
        <w:rPr>
          <w:rFonts w:ascii="Arial" w:cs="Arial" w:eastAsia="Arial" w:hAnsi="Arial"/>
          <w:sz w:val="21"/>
          <w:szCs w:val="21"/>
          <w:b w:val="1"/>
          <w:bCs w:val="1"/>
          <w:color w:val="FFFFFF"/>
        </w:rPr>
        <w:t>FY 2025 Other NEO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68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*Excludes retention arrangements. May not add to 100% due to rounding.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ind w:left="2261"/>
        <w:spacing w:after="0"/>
        <w:tabs>
          <w:tab w:leader="none" w:pos="7600" w:val="left"/>
        </w:tabs>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2537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2537460"/>
                    </a:xfrm>
                    <a:prstGeom prst="rect">
                      <a:avLst/>
                    </a:prstGeom>
                    <a:noFill/>
                  </pic:spPr>
                </pic:pic>
              </a:graphicData>
            </a:graphic>
          </wp:anchor>
        </w:drawing>
        <w:t>What We Do</w:t>
      </w:r>
      <w:r>
        <w:rPr>
          <w:sz w:val="20"/>
          <w:szCs w:val="20"/>
          <w:color w:val="auto"/>
        </w:rPr>
        <w:tab/>
      </w:r>
      <w:r>
        <w:rPr>
          <w:rFonts w:ascii="Arial" w:cs="Arial" w:eastAsia="Arial" w:hAnsi="Arial"/>
          <w:sz w:val="17"/>
          <w:szCs w:val="17"/>
          <w:b w:val="1"/>
          <w:bCs w:val="1"/>
          <w:color w:val="FFFFFF"/>
        </w:rPr>
        <w:t>What We Don’t Do</w:t>
      </w:r>
    </w:p>
    <w:p>
      <w:pPr>
        <w:sectPr>
          <w:pgSz w:w="11900" w:h="16838" w:orient="portrait"/>
          <w:cols w:equalWidth="0" w:num="1">
            <w:col w:w="11181"/>
          </w:cols>
          <w:pgMar w:left="359" w:top="985" w:right="359" w:bottom="1440" w:gutter="0" w:footer="0" w:header="0"/>
        </w:sectPr>
      </w:pPr>
    </w:p>
    <w:p>
      <w:pPr>
        <w:spacing w:after="0" w:line="40" w:lineRule="exact"/>
        <w:rPr>
          <w:sz w:val="20"/>
          <w:szCs w:val="20"/>
          <w:color w:val="auto"/>
        </w:rPr>
      </w:pPr>
    </w:p>
    <w:p>
      <w:pPr>
        <w:ind w:left="1"/>
        <w:spacing w:after="0"/>
        <w:tabs>
          <w:tab w:leader="none" w:pos="320" w:val="left"/>
          <w:tab w:leader="none" w:pos="5580" w:val="left"/>
        </w:tabs>
        <w:rPr>
          <w:sz w:val="20"/>
          <w:szCs w:val="20"/>
          <w:color w:val="auto"/>
        </w:rPr>
      </w:pPr>
      <w:r>
        <w:rPr>
          <w:rFonts w:ascii="Arial" w:cs="Arial" w:eastAsia="Arial" w:hAnsi="Arial"/>
          <w:sz w:val="18"/>
          <w:szCs w:val="18"/>
          <w:color w:val="auto"/>
        </w:rPr>
        <w:t>•</w:t>
        <w:tab/>
        <w:t>Align pay with performance</w:t>
      </w:r>
      <w:r>
        <w:rPr>
          <w:sz w:val="20"/>
          <w:szCs w:val="20"/>
          <w:color w:val="auto"/>
        </w:rPr>
        <w:tab/>
      </w:r>
      <w:r>
        <w:rPr>
          <w:rFonts w:ascii="Arial" w:cs="Arial" w:eastAsia="Arial" w:hAnsi="Arial"/>
          <w:sz w:val="17"/>
          <w:szCs w:val="17"/>
          <w:color w:val="auto"/>
        </w:rPr>
        <w:t>•</w:t>
      </w:r>
    </w:p>
    <w:p>
      <w:pPr>
        <w:spacing w:after="0" w:line="37" w:lineRule="exact"/>
        <w:rPr>
          <w:sz w:val="20"/>
          <w:szCs w:val="20"/>
          <w:color w:val="auto"/>
        </w:rPr>
      </w:pPr>
    </w:p>
    <w:p>
      <w:pPr>
        <w:ind w:left="341" w:hanging="341"/>
        <w:spacing w:after="0"/>
        <w:tabs>
          <w:tab w:leader="none" w:pos="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 target compensation at reasonable, market-competitive levels</w:t>
      </w:r>
    </w:p>
    <w:p>
      <w:pPr>
        <w:spacing w:after="0" w:line="13" w:lineRule="exact"/>
        <w:rPr>
          <w:rFonts w:ascii="Arial" w:cs="Arial" w:eastAsia="Arial" w:hAnsi="Arial"/>
          <w:sz w:val="18"/>
          <w:szCs w:val="18"/>
          <w:color w:val="auto"/>
        </w:rPr>
      </w:pPr>
    </w:p>
    <w:p>
      <w:pPr>
        <w:ind w:left="341" w:hanging="341"/>
        <w:spacing w:after="0" w:line="229" w:lineRule="auto"/>
        <w:tabs>
          <w:tab w:leader="none" w:pos="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 significant ratio of NEO compensation to equity</w:t>
      </w:r>
    </w:p>
    <w:tbl>
      <w:tblPr>
        <w:tblLayout w:type="fixed"/>
        <w:tblInd w:w="1"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incentives to foster alignment with stockholder interests</w:t>
            </w:r>
          </w:p>
        </w:tc>
        <w:tc>
          <w:tcPr>
            <w:tcW w:w="280" w:type="dxa"/>
            <w:vAlign w:val="bottom"/>
            <w:vMerge w:val="restart"/>
          </w:tcPr>
          <w:p>
            <w:pPr>
              <w:ind w:left="22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77"/>
        </w:trPr>
        <w:tc>
          <w:tcPr>
            <w:tcW w:w="200" w:type="dxa"/>
            <w:vAlign w:val="bottom"/>
            <w:vMerge w:val="restart"/>
          </w:tcPr>
          <w:p>
            <w:pPr>
              <w:spacing w:after="0" w:line="189" w:lineRule="exact"/>
              <w:rPr>
                <w:sz w:val="20"/>
                <w:szCs w:val="20"/>
                <w:color w:val="auto"/>
              </w:rPr>
            </w:pPr>
            <w:r>
              <w:rPr>
                <w:rFonts w:ascii="Arial" w:cs="Arial" w:eastAsia="Arial" w:hAnsi="Arial"/>
                <w:sz w:val="18"/>
                <w:szCs w:val="18"/>
                <w:color w:val="auto"/>
              </w:rPr>
              <w:t>•</w:t>
            </w:r>
          </w:p>
        </w:tc>
        <w:tc>
          <w:tcPr>
            <w:tcW w:w="51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Utilize rigorous performance metrics that reflect our strategic</w:t>
            </w: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0" w:type="dxa"/>
            <w:vAlign w:val="bottom"/>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280" w:type="dxa"/>
            <w:vAlign w:val="bottom"/>
            <w:vMerge w:val="restart"/>
          </w:tcPr>
          <w:p>
            <w:pPr>
              <w:ind w:left="22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5180" w:type="dxa"/>
            <w:vAlign w:val="bottom"/>
            <w:vMerge w:val="restart"/>
          </w:tcPr>
          <w:p>
            <w:pPr>
              <w:ind w:left="120"/>
              <w:spacing w:after="0"/>
              <w:rPr>
                <w:sz w:val="20"/>
                <w:szCs w:val="20"/>
                <w:color w:val="auto"/>
              </w:rPr>
            </w:pPr>
            <w:r>
              <w:rPr>
                <w:rFonts w:ascii="Arial" w:cs="Arial" w:eastAsia="Arial" w:hAnsi="Arial"/>
                <w:sz w:val="18"/>
                <w:szCs w:val="18"/>
                <w:color w:val="auto"/>
              </w:rPr>
              <w:t>priorities</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21" w:hanging="321"/>
        <w:spacing w:after="0" w:line="232" w:lineRule="auto"/>
        <w:tabs>
          <w:tab w:leader="none" w:pos="3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representative peer group of comparable financial technology, internet, and software companies, as well as relevant compensation survey data, when setting executive compensation •</w:t>
      </w:r>
    </w:p>
    <w:tbl>
      <w:tblPr>
        <w:tblLayout w:type="fixed"/>
        <w:tblInd w:w="1" w:type="dxa"/>
        <w:tblCellMar>
          <w:top w:w="0" w:type="dxa"/>
          <w:left w:w="0" w:type="dxa"/>
          <w:bottom w:w="0" w:type="dxa"/>
          <w:right w:w="0" w:type="dxa"/>
        </w:tblCellMar>
      </w:tblPr>
      <w:tr>
        <w:trPr>
          <w:trHeight w:val="165"/>
        </w:trPr>
        <w:tc>
          <w:tcPr>
            <w:tcW w:w="5220" w:type="dxa"/>
            <w:vAlign w:val="bottom"/>
          </w:tcPr>
          <w:p>
            <w:pPr>
              <w:spacing w:after="0" w:line="165" w:lineRule="exact"/>
              <w:rPr>
                <w:sz w:val="20"/>
                <w:szCs w:val="20"/>
                <w:color w:val="auto"/>
              </w:rPr>
            </w:pPr>
            <w:r>
              <w:rPr>
                <w:rFonts w:ascii="Arial" w:cs="Arial" w:eastAsia="Arial" w:hAnsi="Arial"/>
                <w:sz w:val="18"/>
                <w:szCs w:val="18"/>
                <w:color w:val="auto"/>
              </w:rPr>
              <w:t>•   Perform an annual risk assessment of the Company’s</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26"/>
        </w:trPr>
        <w:tc>
          <w:tcPr>
            <w:tcW w:w="5220" w:type="dxa"/>
            <w:vAlign w:val="bottom"/>
            <w:vMerge w:val="restart"/>
          </w:tcPr>
          <w:p>
            <w:pPr>
              <w:ind w:left="320"/>
              <w:spacing w:after="0"/>
              <w:rPr>
                <w:sz w:val="20"/>
                <w:szCs w:val="20"/>
                <w:color w:val="auto"/>
              </w:rPr>
            </w:pPr>
            <w:r>
              <w:rPr>
                <w:rFonts w:ascii="Arial" w:cs="Arial" w:eastAsia="Arial" w:hAnsi="Arial"/>
                <w:sz w:val="18"/>
                <w:szCs w:val="18"/>
                <w:color w:val="auto"/>
              </w:rPr>
              <w:t>compensation program by the Compensation Committee</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2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80" w:firstLine="9"/>
        <w:spacing w:after="0" w:line="268" w:lineRule="auto"/>
        <w:rPr>
          <w:sz w:val="20"/>
          <w:szCs w:val="20"/>
          <w:color w:val="auto"/>
        </w:rPr>
      </w:pPr>
      <w:r>
        <w:rPr>
          <w:rFonts w:ascii="Arial" w:cs="Arial" w:eastAsia="Arial" w:hAnsi="Arial"/>
          <w:sz w:val="18"/>
          <w:szCs w:val="18"/>
          <w:color w:val="auto"/>
        </w:rPr>
        <w:t>Do not permit any of our employees or directors to engage in short sales, hedging, pledging, or transactions in derivatives of our securities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 not offer fixed term (vs. “at-will”) employment for our NEOs</w:t>
      </w:r>
    </w:p>
    <w:p>
      <w:pPr>
        <w:spacing w:after="0" w:line="63" w:lineRule="exact"/>
        <w:rPr>
          <w:sz w:val="20"/>
          <w:szCs w:val="20"/>
          <w:color w:val="auto"/>
        </w:rPr>
      </w:pPr>
    </w:p>
    <w:p>
      <w:pPr>
        <w:ind w:right="240" w:firstLine="9"/>
        <w:spacing w:after="0" w:line="268" w:lineRule="auto"/>
        <w:rPr>
          <w:sz w:val="20"/>
          <w:szCs w:val="20"/>
          <w:color w:val="auto"/>
        </w:rPr>
      </w:pPr>
      <w:r>
        <w:rPr>
          <w:rFonts w:ascii="Arial" w:cs="Arial" w:eastAsia="Arial" w:hAnsi="Arial"/>
          <w:sz w:val="18"/>
          <w:szCs w:val="18"/>
          <w:color w:val="auto"/>
        </w:rPr>
        <w:t>Do not provide our NEOs with any enhanced deferred compensation, special retirement, or pension plans that are not generally available to all of our employees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tax gross-ups on executive change-in-control payments</w:t>
      </w:r>
    </w:p>
    <w:p>
      <w:pPr>
        <w:spacing w:after="0" w:line="63" w:lineRule="exact"/>
        <w:rPr>
          <w:sz w:val="20"/>
          <w:szCs w:val="20"/>
          <w:color w:val="auto"/>
        </w:rPr>
      </w:pPr>
    </w:p>
    <w:p>
      <w:pPr>
        <w:ind w:right="100" w:firstLine="9"/>
        <w:spacing w:after="0" w:line="281" w:lineRule="auto"/>
        <w:rPr>
          <w:sz w:val="20"/>
          <w:szCs w:val="20"/>
          <w:color w:val="auto"/>
        </w:rPr>
      </w:pPr>
      <w:r>
        <w:rPr>
          <w:rFonts w:ascii="Arial" w:cs="Arial" w:eastAsia="Arial" w:hAnsi="Arial"/>
          <w:sz w:val="18"/>
          <w:szCs w:val="18"/>
          <w:color w:val="auto"/>
        </w:rPr>
        <w:t>No special health benefits: NEOs are eligible for the same health benefits as other employees</w:t>
      </w:r>
    </w:p>
    <w:p>
      <w:pPr>
        <w:spacing w:after="0" w:line="1" w:lineRule="exact"/>
        <w:rPr>
          <w:sz w:val="20"/>
          <w:szCs w:val="20"/>
          <w:color w:val="auto"/>
        </w:rPr>
      </w:pPr>
    </w:p>
    <w:p>
      <w:pPr>
        <w:sectPr>
          <w:pgSz w:w="11900" w:h="16838" w:orient="portrait"/>
          <w:cols w:equalWidth="0" w:num="2">
            <w:col w:w="5661" w:space="260"/>
            <w:col w:w="5260"/>
          </w:cols>
          <w:pgMar w:left="359" w:top="985" w:right="359" w:bottom="1440" w:gutter="0" w:footer="0" w:header="0"/>
          <w:type w:val="continuous"/>
        </w:sectPr>
      </w:pPr>
    </w:p>
    <w:p>
      <w:pPr>
        <w:ind w:left="5941" w:hanging="338"/>
        <w:spacing w:after="0"/>
        <w:tabs>
          <w:tab w:leader="none" w:pos="59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significant perquisites to NEOs</w:t>
      </w:r>
    </w:p>
    <w:p>
      <w:pPr>
        <w:spacing w:after="0" w:line="63" w:lineRule="exact"/>
        <w:rPr>
          <w:rFonts w:ascii="Arial" w:cs="Arial" w:eastAsia="Arial" w:hAnsi="Arial"/>
          <w:sz w:val="18"/>
          <w:szCs w:val="18"/>
          <w:color w:val="auto"/>
        </w:rPr>
      </w:pPr>
    </w:p>
    <w:p>
      <w:pPr>
        <w:ind w:left="5921" w:right="140" w:hanging="318"/>
        <w:spacing w:after="0" w:line="281" w:lineRule="auto"/>
        <w:tabs>
          <w:tab w:leader="none" w:pos="59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severance payments to NEOs who voluntarily terminate their employment</w:t>
      </w:r>
    </w:p>
    <w:p>
      <w:pPr>
        <w:spacing w:after="0" w:line="1" w:lineRule="exact"/>
        <w:rPr>
          <w:rFonts w:ascii="Arial" w:cs="Arial" w:eastAsia="Arial" w:hAnsi="Arial"/>
          <w:sz w:val="18"/>
          <w:szCs w:val="18"/>
          <w:color w:val="auto"/>
        </w:rPr>
      </w:pPr>
    </w:p>
    <w:p>
      <w:pPr>
        <w:ind w:left="5921" w:right="260" w:hanging="318"/>
        <w:spacing w:after="0" w:line="287" w:lineRule="auto"/>
        <w:tabs>
          <w:tab w:leader="none" w:pos="59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time equity award grants to the release of material non-public information</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1105535" cy="1543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168910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59" w:top="985" w:right="359" w:bottom="1440" w:gutter="0" w:footer="0" w:header="0"/>
          <w:type w:val="continuous"/>
        </w:sectPr>
      </w:pPr>
    </w:p>
    <w:bookmarkStart w:id="10" w:name="page11"/>
    <w:bookmarkEnd w:id="10"/>
    <w:tbl>
      <w:tblPr>
        <w:tblLayout w:type="fixed"/>
        <w:tblInd w:w="130" w:type="dxa"/>
        <w:tblCellMar>
          <w:top w:w="0" w:type="dxa"/>
          <w:left w:w="0" w:type="dxa"/>
          <w:bottom w:w="0" w:type="dxa"/>
          <w:right w:w="0" w:type="dxa"/>
        </w:tblCellMar>
      </w:tblPr>
      <w:tr>
        <w:trPr>
          <w:trHeight w:val="324"/>
        </w:trPr>
        <w:tc>
          <w:tcPr>
            <w:tcW w:w="3100" w:type="dxa"/>
            <w:vAlign w:val="bottom"/>
            <w:tcBorders>
              <w:top w:val="single" w:sz="8" w:color="auto"/>
              <w:left w:val="single" w:sz="8" w:color="auto"/>
              <w:bottom w:val="single" w:sz="8" w:color="auto"/>
              <w:right w:val="single" w:sz="8" w:color="auto"/>
            </w:tcBorders>
            <w:shd w:val="clear" w:color="auto" w:fill="929292"/>
          </w:tcPr>
          <w:p>
            <w:pPr>
              <w:ind w:left="920"/>
              <w:spacing w:after="0"/>
              <w:rPr>
                <w:sz w:val="20"/>
                <w:szCs w:val="20"/>
                <w:color w:val="auto"/>
              </w:rPr>
            </w:pPr>
            <w:r>
              <w:rPr>
                <w:rFonts w:ascii="Arial" w:cs="Arial" w:eastAsia="Arial" w:hAnsi="Arial"/>
                <w:sz w:val="25"/>
                <w:szCs w:val="25"/>
                <w:b w:val="1"/>
                <w:bCs w:val="1"/>
                <w:color w:val="FFFFFF"/>
              </w:rPr>
              <w:t>Proposal 1</w:t>
            </w:r>
          </w:p>
        </w:tc>
        <w:tc>
          <w:tcPr>
            <w:tcW w:w="2620" w:type="dxa"/>
            <w:vAlign w:val="bottom"/>
          </w:tcPr>
          <w:p>
            <w:pPr>
              <w:ind w:left="160"/>
              <w:spacing w:after="0"/>
              <w:rPr>
                <w:sz w:val="20"/>
                <w:szCs w:val="20"/>
                <w:color w:val="auto"/>
              </w:rPr>
            </w:pPr>
            <w:r>
              <w:rPr>
                <w:rFonts w:ascii="Arial" w:cs="Arial" w:eastAsia="Arial" w:hAnsi="Arial"/>
                <w:sz w:val="25"/>
                <w:szCs w:val="25"/>
                <w:b w:val="1"/>
                <w:bCs w:val="1"/>
                <w:color w:val="auto"/>
                <w:w w:val="99"/>
              </w:rPr>
              <w:t>Election of Directors</w:t>
            </w: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is currently composed of ten members. In accordance with our Amended and Restated Certificate of Incorporation (“Certificate of Incorporation”), our Board is divided into three classes with staggered three-year terms. One class is elected each year at the annual meeting of stockholders for a term of approximately three years. At the Annual Meeting, four Class II directors will be elected to succeed the same class whose term is then expiring. Each director’s term continues until the election and qualification of such director’s successor, or such director’s earlier death, resignation, or removal.</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nominated Najuma Atkinson, Martha Cummings, Judson (Jud) Linville, and Michael (Mike) Milotich for election as Class II directors at the Annual Meeting (the “Class II Nominees”). If elected, each of the Class II Nominees will serve as Class II directors until the 2029 annual meeting of stockholders and until their successors are elected and qualified or their earlier death, resignation, or removal. Each of the Class II Nominees are currently directors of Marqeta.</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each of the Class II Nominees. We expect that each Class II Nominee will accept such nomination; however, in the event that a director nominee is unable or declines to serve as a director at the time of the Annual Meeting, the proxies will be voted for any nominee who shall be designated by our Board to fill such vacancy. If you are a beneficial owner of shares of our common stock and you do not give voting instructions to your brokerage firm, bank, or other nominee, then your brokerage firm, bank, or other nominee will not have discretionary authority to vote your shares. Therefore, you are encouraged to return your voting instructions so that your shares are voted at the Annual Meeting.</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election of directors requires a plurality vote of the voting power of the shares of our common stock present in person or by proxy at the Annual Meeting and entitled to vote thereon to be approved. Accordingly, the four nominees receiving the highest number of votes cast “FOR” will be elected. Any shares voted “WITHHOLD” and broker non-votes are not considered votes cast for the foregoing purpose and will have no effect on the outcome of the election.</w:t>
      </w:r>
    </w:p>
    <w:p>
      <w:pPr>
        <w:spacing w:after="0" w:line="113" w:lineRule="exact"/>
        <w:rPr>
          <w:sz w:val="20"/>
          <w:szCs w:val="20"/>
          <w:color w:val="auto"/>
        </w:rPr>
      </w:pPr>
    </w:p>
    <w:p>
      <w:pPr>
        <w:jc w:val="both"/>
        <w:ind w:left="40" w:right="20"/>
        <w:spacing w:after="0" w:line="230" w:lineRule="auto"/>
        <w:rPr>
          <w:sz w:val="20"/>
          <w:szCs w:val="20"/>
          <w:color w:val="auto"/>
        </w:rPr>
      </w:pPr>
      <w:r>
        <w:rPr>
          <w:rFonts w:ascii="Arial" w:cs="Arial" w:eastAsia="Arial" w:hAnsi="Arial"/>
          <w:sz w:val="22"/>
          <w:szCs w:val="22"/>
          <w:b w:val="1"/>
          <w:bCs w:val="1"/>
          <w:color w:val="FFFFFF"/>
        </w:rPr>
        <w:t>The Board recommends a vote “FOR” the election of each of the Class II Nominees as Class II directors to serve until the 2029 annual meeting of stockholders, with each nominee to serve until his or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4057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auto"/>
        </w:rPr>
        <w:t>BOARD OF DIRECTORS AND CORPORATE GOVERNANCE</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 is managed under the direction of our Board, which is currently composed of ten members. Eight of our ten directors are independent within the meaning of the independent director requirements of the Nasdaq Stock Market LLC (“Nasdaq”). Our Board is divided into three classes with staggered terms. At each annual meeting of stockholders, a class of directors will be elected for an approximate three-year term to succeed the same class whose term is then expiring.</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the recommendation of our Nomination and Governance Committee, we are nominating Najuma Atkinson, Martha Cummings, Judson (Jud) Linville, and Michael (Mike) Milotich as Class II directors at the Annual Meeting. If elected, Mmes. Atkinson and Cummings and Messrs. Linville and Milotich will each hold office until the annual meeting of stockholders to be held in 2029 and until their successors are elected and qualified or until such director’s earlier death, resignation, or removal.</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names, ages as of April 15, 2026, and certain other information for each of the director nominees and continuing directors:</w:t>
      </w:r>
    </w:p>
    <w:p>
      <w:pPr>
        <w:spacing w:after="0" w:line="71"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3240" w:type="dxa"/>
            <w:vAlign w:val="bottom"/>
            <w:tcBorders>
              <w:top w:val="single" w:sz="8" w:color="auto"/>
              <w:left w:val="single" w:sz="8" w:color="auto"/>
            </w:tcBorders>
            <w:shd w:val="clear" w:color="auto" w:fill="929292"/>
          </w:tcPr>
          <w:p>
            <w:pPr>
              <w:ind w:left="20"/>
              <w:spacing w:after="0"/>
              <w:rPr>
                <w:sz w:val="20"/>
                <w:szCs w:val="20"/>
                <w:color w:val="auto"/>
              </w:rPr>
            </w:pPr>
            <w:r>
              <w:rPr>
                <w:rFonts w:ascii="Arial" w:cs="Arial" w:eastAsia="Arial" w:hAnsi="Arial"/>
                <w:sz w:val="18"/>
                <w:szCs w:val="18"/>
                <w:b w:val="1"/>
                <w:bCs w:val="1"/>
                <w:color w:val="FFFFFF"/>
              </w:rPr>
              <w:t>Name</w:t>
            </w:r>
          </w:p>
        </w:tc>
        <w:tc>
          <w:tcPr>
            <w:tcW w:w="1420" w:type="dxa"/>
            <w:vAlign w:val="bottom"/>
            <w:tcBorders>
              <w:top w:val="single" w:sz="8" w:color="auto"/>
            </w:tcBorders>
            <w:shd w:val="clear" w:color="auto" w:fill="929292"/>
          </w:tcPr>
          <w:p>
            <w:pPr>
              <w:jc w:val="center"/>
              <w:ind w:left="390"/>
              <w:spacing w:after="0"/>
              <w:rPr>
                <w:sz w:val="20"/>
                <w:szCs w:val="20"/>
                <w:color w:val="auto"/>
              </w:rPr>
            </w:pPr>
            <w:r>
              <w:rPr>
                <w:rFonts w:ascii="Arial" w:cs="Arial" w:eastAsia="Arial" w:hAnsi="Arial"/>
                <w:sz w:val="18"/>
                <w:szCs w:val="18"/>
                <w:b w:val="1"/>
                <w:bCs w:val="1"/>
                <w:color w:val="FFFFFF"/>
                <w:w w:val="99"/>
              </w:rPr>
              <w:t>Age</w:t>
            </w:r>
          </w:p>
        </w:tc>
        <w:tc>
          <w:tcPr>
            <w:tcW w:w="1560" w:type="dxa"/>
            <w:vAlign w:val="bottom"/>
            <w:tcBorders>
              <w:top w:val="single" w:sz="8" w:color="auto"/>
            </w:tcBorders>
            <w:shd w:val="clear" w:color="auto" w:fill="929292"/>
          </w:tcPr>
          <w:p>
            <w:pPr>
              <w:jc w:val="center"/>
              <w:ind w:left="30"/>
              <w:spacing w:after="0"/>
              <w:rPr>
                <w:sz w:val="20"/>
                <w:szCs w:val="20"/>
                <w:color w:val="auto"/>
              </w:rPr>
            </w:pPr>
            <w:r>
              <w:rPr>
                <w:rFonts w:ascii="Arial" w:cs="Arial" w:eastAsia="Arial" w:hAnsi="Arial"/>
                <w:sz w:val="18"/>
                <w:szCs w:val="18"/>
                <w:b w:val="1"/>
                <w:bCs w:val="1"/>
                <w:color w:val="FFFFFF"/>
              </w:rPr>
              <w:t>Independent</w:t>
            </w:r>
          </w:p>
        </w:tc>
        <w:tc>
          <w:tcPr>
            <w:tcW w:w="4820" w:type="dxa"/>
            <w:vAlign w:val="bottom"/>
            <w:tcBorders>
              <w:top w:val="single" w:sz="8" w:color="auto"/>
              <w:right w:val="single" w:sz="8" w:color="auto"/>
            </w:tcBorders>
            <w:shd w:val="clear" w:color="auto" w:fill="929292"/>
          </w:tcPr>
          <w:p>
            <w:pPr>
              <w:ind w:left="200"/>
              <w:spacing w:after="0"/>
              <w:rPr>
                <w:sz w:val="20"/>
                <w:szCs w:val="20"/>
                <w:color w:val="auto"/>
              </w:rPr>
            </w:pPr>
            <w:r>
              <w:rPr>
                <w:rFonts w:ascii="Arial" w:cs="Arial" w:eastAsia="Arial" w:hAnsi="Arial"/>
                <w:sz w:val="18"/>
                <w:szCs w:val="18"/>
                <w:b w:val="1"/>
                <w:bCs w:val="1"/>
                <w:color w:val="FFFFFF"/>
              </w:rPr>
              <w:t>Title</w:t>
            </w:r>
          </w:p>
        </w:tc>
      </w:tr>
      <w:tr>
        <w:trPr>
          <w:trHeight w:val="229"/>
        </w:trPr>
        <w:tc>
          <w:tcPr>
            <w:tcW w:w="3240" w:type="dxa"/>
            <w:vAlign w:val="bottom"/>
            <w:tcBorders>
              <w:left w:val="single" w:sz="8" w:color="auto"/>
              <w:bottom w:val="single" w:sz="8" w:color="929292"/>
            </w:tcBorders>
            <w:shd w:val="clear" w:color="auto" w:fill="DBDBDB"/>
          </w:tcPr>
          <w:p>
            <w:pPr>
              <w:ind w:left="20"/>
              <w:spacing w:after="0" w:line="230" w:lineRule="exact"/>
              <w:rPr>
                <w:sz w:val="20"/>
                <w:szCs w:val="20"/>
                <w:color w:val="auto"/>
              </w:rPr>
            </w:pPr>
            <w:r>
              <w:rPr>
                <w:rFonts w:ascii="Arial" w:cs="Arial" w:eastAsia="Arial" w:hAnsi="Arial"/>
                <w:sz w:val="18"/>
                <w:szCs w:val="18"/>
                <w:b w:val="1"/>
                <w:bCs w:val="1"/>
                <w:i w:val="1"/>
                <w:iCs w:val="1"/>
                <w:color w:val="auto"/>
              </w:rPr>
              <w:t>Class II Director Nominees</w:t>
            </w:r>
            <w:r>
              <w:rPr>
                <w:rFonts w:ascii="Arial" w:cs="Arial" w:eastAsia="Arial" w:hAnsi="Arial"/>
                <w:sz w:val="23"/>
                <w:szCs w:val="23"/>
                <w:b w:val="1"/>
                <w:bCs w:val="1"/>
                <w:i w:val="1"/>
                <w:iCs w:val="1"/>
                <w:color w:val="auto"/>
                <w:vertAlign w:val="superscript"/>
              </w:rPr>
              <w:t>(1)</w:t>
            </w:r>
          </w:p>
        </w:tc>
        <w:tc>
          <w:tcPr>
            <w:tcW w:w="1420" w:type="dxa"/>
            <w:vAlign w:val="bottom"/>
            <w:tcBorders>
              <w:bottom w:val="single" w:sz="8" w:color="929292"/>
            </w:tcBorders>
            <w:shd w:val="clear" w:color="auto" w:fill="DBDBDB"/>
          </w:tcPr>
          <w:p>
            <w:pPr>
              <w:spacing w:after="0"/>
              <w:rPr>
                <w:sz w:val="19"/>
                <w:szCs w:val="19"/>
                <w:color w:val="auto"/>
              </w:rPr>
            </w:pPr>
          </w:p>
        </w:tc>
        <w:tc>
          <w:tcPr>
            <w:tcW w:w="1560" w:type="dxa"/>
            <w:vAlign w:val="bottom"/>
            <w:tcBorders>
              <w:bottom w:val="single" w:sz="8" w:color="929292"/>
            </w:tcBorders>
            <w:shd w:val="clear" w:color="auto" w:fill="DBDBDB"/>
          </w:tcPr>
          <w:p>
            <w:pPr>
              <w:spacing w:after="0"/>
              <w:rPr>
                <w:sz w:val="19"/>
                <w:szCs w:val="19"/>
                <w:color w:val="auto"/>
              </w:rPr>
            </w:pPr>
          </w:p>
        </w:tc>
        <w:tc>
          <w:tcPr>
            <w:tcW w:w="4820" w:type="dxa"/>
            <w:vAlign w:val="bottom"/>
            <w:tcBorders>
              <w:bottom w:val="single" w:sz="8" w:color="929292"/>
              <w:right w:val="single" w:sz="8" w:color="auto"/>
            </w:tcBorders>
            <w:shd w:val="clear" w:color="auto" w:fill="DBDBDB"/>
          </w:tcPr>
          <w:p>
            <w:pPr>
              <w:spacing w:after="0"/>
              <w:rPr>
                <w:sz w:val="19"/>
                <w:szCs w:val="19"/>
                <w:color w:val="auto"/>
              </w:rPr>
            </w:pPr>
          </w:p>
        </w:tc>
      </w:tr>
      <w:tr>
        <w:trPr>
          <w:trHeight w:val="215"/>
        </w:trPr>
        <w:tc>
          <w:tcPr>
            <w:tcW w:w="3240" w:type="dxa"/>
            <w:vAlign w:val="bottom"/>
            <w:tcBorders>
              <w:left w:val="single" w:sz="8" w:color="auto"/>
            </w:tcBorders>
          </w:tcPr>
          <w:p>
            <w:pPr>
              <w:ind w:left="20"/>
              <w:spacing w:after="0" w:line="215" w:lineRule="exact"/>
              <w:rPr>
                <w:sz w:val="20"/>
                <w:szCs w:val="20"/>
                <w:color w:val="auto"/>
              </w:rPr>
            </w:pPr>
            <w:r>
              <w:rPr>
                <w:rFonts w:ascii="Arial" w:cs="Arial" w:eastAsia="Arial" w:hAnsi="Arial"/>
                <w:sz w:val="18"/>
                <w:szCs w:val="18"/>
                <w:color w:val="auto"/>
              </w:rPr>
              <w:t>Najuma Atkinson</w:t>
            </w:r>
            <w:r>
              <w:rPr>
                <w:rFonts w:ascii="Arial" w:cs="Arial" w:eastAsia="Arial" w:hAnsi="Arial"/>
                <w:sz w:val="23"/>
                <w:szCs w:val="23"/>
                <w:color w:val="auto"/>
                <w:vertAlign w:val="superscript"/>
              </w:rPr>
              <w:t>(5)(6)</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54</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3240" w:type="dxa"/>
            <w:vAlign w:val="bottom"/>
            <w:tcBorders>
              <w:left w:val="single" w:sz="8" w:color="auto"/>
            </w:tcBorders>
          </w:tcPr>
          <w:p>
            <w:pPr>
              <w:ind w:left="20"/>
              <w:spacing w:after="0" w:line="230" w:lineRule="exact"/>
              <w:rPr>
                <w:sz w:val="20"/>
                <w:szCs w:val="20"/>
                <w:color w:val="auto"/>
              </w:rPr>
            </w:pPr>
            <w:r>
              <w:rPr>
                <w:rFonts w:ascii="Arial" w:cs="Arial" w:eastAsia="Arial" w:hAnsi="Arial"/>
                <w:sz w:val="18"/>
                <w:szCs w:val="18"/>
                <w:color w:val="auto"/>
              </w:rPr>
              <w:t>Martha Cummings</w:t>
            </w:r>
            <w:r>
              <w:rPr>
                <w:rFonts w:ascii="Arial" w:cs="Arial" w:eastAsia="Arial" w:hAnsi="Arial"/>
                <w:sz w:val="23"/>
                <w:szCs w:val="23"/>
                <w:color w:val="auto"/>
                <w:vertAlign w:val="superscript"/>
              </w:rPr>
              <w:t>(3)(6)</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65</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32"/>
        </w:trPr>
        <w:tc>
          <w:tcPr>
            <w:tcW w:w="3240" w:type="dxa"/>
            <w:vAlign w:val="bottom"/>
            <w:tcBorders>
              <w:left w:val="single" w:sz="8" w:color="auto"/>
            </w:tcBorders>
          </w:tcPr>
          <w:p>
            <w:pPr>
              <w:ind w:left="20"/>
              <w:spacing w:after="0" w:line="232" w:lineRule="exact"/>
              <w:rPr>
                <w:sz w:val="20"/>
                <w:szCs w:val="20"/>
                <w:color w:val="auto"/>
              </w:rPr>
            </w:pPr>
            <w:r>
              <w:rPr>
                <w:rFonts w:ascii="Arial" w:cs="Arial" w:eastAsia="Arial" w:hAnsi="Arial"/>
                <w:sz w:val="18"/>
                <w:szCs w:val="18"/>
                <w:color w:val="auto"/>
              </w:rPr>
              <w:t>Judson (Jud) Linville</w:t>
            </w:r>
            <w:r>
              <w:rPr>
                <w:rFonts w:ascii="Arial" w:cs="Arial" w:eastAsia="Arial" w:hAnsi="Arial"/>
                <w:sz w:val="23"/>
                <w:szCs w:val="23"/>
                <w:color w:val="auto"/>
                <w:vertAlign w:val="superscript"/>
              </w:rPr>
              <w:t>(5)</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68</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Chair of the Board</w:t>
            </w:r>
          </w:p>
        </w:tc>
      </w:tr>
      <w:tr>
        <w:trPr>
          <w:trHeight w:val="235"/>
        </w:trPr>
        <w:tc>
          <w:tcPr>
            <w:tcW w:w="3240" w:type="dxa"/>
            <w:vAlign w:val="bottom"/>
            <w:tcBorders>
              <w:left w:val="single" w:sz="8" w:color="auto"/>
              <w:bottom w:val="single" w:sz="8" w:color="929292"/>
            </w:tcBorders>
          </w:tcPr>
          <w:p>
            <w:pPr>
              <w:ind w:left="20"/>
              <w:spacing w:after="0"/>
              <w:rPr>
                <w:sz w:val="20"/>
                <w:szCs w:val="20"/>
                <w:color w:val="auto"/>
              </w:rPr>
            </w:pPr>
            <w:r>
              <w:rPr>
                <w:rFonts w:ascii="Arial" w:cs="Arial" w:eastAsia="Arial" w:hAnsi="Arial"/>
                <w:sz w:val="18"/>
                <w:szCs w:val="18"/>
                <w:color w:val="auto"/>
              </w:rPr>
              <w:t>Michael (Mike) Milotich</w:t>
            </w:r>
          </w:p>
        </w:tc>
        <w:tc>
          <w:tcPr>
            <w:tcW w:w="1420" w:type="dxa"/>
            <w:vAlign w:val="bottom"/>
            <w:tcBorders>
              <w:bottom w:val="single" w:sz="8" w:color="929292"/>
            </w:tcBorders>
          </w:tcPr>
          <w:p>
            <w:pPr>
              <w:jc w:val="center"/>
              <w:ind w:left="370"/>
              <w:spacing w:after="0"/>
              <w:rPr>
                <w:sz w:val="20"/>
                <w:szCs w:val="20"/>
                <w:color w:val="auto"/>
              </w:rPr>
            </w:pPr>
            <w:r>
              <w:rPr>
                <w:rFonts w:ascii="Arial" w:cs="Arial" w:eastAsia="Arial" w:hAnsi="Arial"/>
                <w:sz w:val="18"/>
                <w:szCs w:val="18"/>
                <w:color w:val="auto"/>
                <w:w w:val="99"/>
              </w:rPr>
              <w:t>49</w:t>
            </w:r>
          </w:p>
        </w:tc>
        <w:tc>
          <w:tcPr>
            <w:tcW w:w="1560" w:type="dxa"/>
            <w:vAlign w:val="bottom"/>
            <w:tcBorders>
              <w:bottom w:val="single" w:sz="8" w:color="929292"/>
            </w:tcBorders>
          </w:tcPr>
          <w:p>
            <w:pPr>
              <w:spacing w:after="0"/>
              <w:rPr>
                <w:sz w:val="20"/>
                <w:szCs w:val="20"/>
                <w:color w:val="auto"/>
              </w:rPr>
            </w:pPr>
          </w:p>
        </w:tc>
        <w:tc>
          <w:tcPr>
            <w:tcW w:w="4820" w:type="dxa"/>
            <w:vAlign w:val="bottom"/>
            <w:tcBorders>
              <w:bottom w:val="single" w:sz="8" w:color="929292"/>
              <w:right w:val="single" w:sz="8" w:color="auto"/>
            </w:tcBorders>
          </w:tcPr>
          <w:p>
            <w:pPr>
              <w:ind w:left="200"/>
              <w:spacing w:after="0"/>
              <w:rPr>
                <w:sz w:val="20"/>
                <w:szCs w:val="20"/>
                <w:color w:val="auto"/>
              </w:rPr>
            </w:pPr>
            <w:r>
              <w:rPr>
                <w:rFonts w:ascii="Arial" w:cs="Arial" w:eastAsia="Arial" w:hAnsi="Arial"/>
                <w:sz w:val="18"/>
                <w:szCs w:val="18"/>
                <w:color w:val="auto"/>
              </w:rPr>
              <w:t>Director and Chief Executive Officer</w:t>
            </w:r>
          </w:p>
        </w:tc>
      </w:tr>
      <w:tr>
        <w:trPr>
          <w:trHeight w:val="223"/>
        </w:trPr>
        <w:tc>
          <w:tcPr>
            <w:tcW w:w="3240" w:type="dxa"/>
            <w:vAlign w:val="bottom"/>
            <w:tcBorders>
              <w:left w:val="single" w:sz="8" w:color="auto"/>
              <w:bottom w:val="single" w:sz="8" w:color="929292"/>
            </w:tcBorders>
            <w:shd w:val="clear" w:color="auto" w:fill="DBDBDB"/>
          </w:tcPr>
          <w:p>
            <w:pPr>
              <w:ind w:left="20"/>
              <w:spacing w:after="0" w:line="223" w:lineRule="exact"/>
              <w:rPr>
                <w:sz w:val="20"/>
                <w:szCs w:val="20"/>
                <w:color w:val="auto"/>
              </w:rPr>
            </w:pPr>
            <w:r>
              <w:rPr>
                <w:rFonts w:ascii="Arial" w:cs="Arial" w:eastAsia="Arial" w:hAnsi="Arial"/>
                <w:sz w:val="18"/>
                <w:szCs w:val="18"/>
                <w:b w:val="1"/>
                <w:bCs w:val="1"/>
                <w:i w:val="1"/>
                <w:iCs w:val="1"/>
                <w:color w:val="auto"/>
              </w:rPr>
              <w:t>Class III Directors</w:t>
            </w:r>
            <w:r>
              <w:rPr>
                <w:rFonts w:ascii="Arial" w:cs="Arial" w:eastAsia="Arial" w:hAnsi="Arial"/>
                <w:sz w:val="23"/>
                <w:szCs w:val="23"/>
                <w:b w:val="1"/>
                <w:bCs w:val="1"/>
                <w:i w:val="1"/>
                <w:iCs w:val="1"/>
                <w:color w:val="auto"/>
                <w:vertAlign w:val="superscript"/>
              </w:rPr>
              <w:t>(1)</w:t>
            </w:r>
          </w:p>
        </w:tc>
        <w:tc>
          <w:tcPr>
            <w:tcW w:w="1420" w:type="dxa"/>
            <w:vAlign w:val="bottom"/>
            <w:tcBorders>
              <w:bottom w:val="single" w:sz="8" w:color="929292"/>
            </w:tcBorders>
            <w:shd w:val="clear" w:color="auto" w:fill="DBDBDB"/>
          </w:tcPr>
          <w:p>
            <w:pPr>
              <w:spacing w:after="0"/>
              <w:rPr>
                <w:sz w:val="19"/>
                <w:szCs w:val="19"/>
                <w:color w:val="auto"/>
              </w:rPr>
            </w:pPr>
          </w:p>
        </w:tc>
        <w:tc>
          <w:tcPr>
            <w:tcW w:w="1560" w:type="dxa"/>
            <w:vAlign w:val="bottom"/>
            <w:tcBorders>
              <w:bottom w:val="single" w:sz="8" w:color="929292"/>
            </w:tcBorders>
            <w:shd w:val="clear" w:color="auto" w:fill="DBDBDB"/>
          </w:tcPr>
          <w:p>
            <w:pPr>
              <w:spacing w:after="0"/>
              <w:rPr>
                <w:sz w:val="19"/>
                <w:szCs w:val="19"/>
                <w:color w:val="auto"/>
              </w:rPr>
            </w:pPr>
          </w:p>
        </w:tc>
        <w:tc>
          <w:tcPr>
            <w:tcW w:w="4820" w:type="dxa"/>
            <w:vAlign w:val="bottom"/>
            <w:tcBorders>
              <w:bottom w:val="single" w:sz="8" w:color="929292"/>
              <w:right w:val="single" w:sz="8" w:color="auto"/>
            </w:tcBorders>
            <w:shd w:val="clear" w:color="auto" w:fill="DBDBDB"/>
          </w:tcPr>
          <w:p>
            <w:pPr>
              <w:spacing w:after="0"/>
              <w:rPr>
                <w:sz w:val="19"/>
                <w:szCs w:val="19"/>
                <w:color w:val="auto"/>
              </w:rPr>
            </w:pPr>
          </w:p>
        </w:tc>
      </w:tr>
      <w:tr>
        <w:trPr>
          <w:trHeight w:val="215"/>
        </w:trPr>
        <w:tc>
          <w:tcPr>
            <w:tcW w:w="3240" w:type="dxa"/>
            <w:vAlign w:val="bottom"/>
            <w:tcBorders>
              <w:left w:val="single" w:sz="8" w:color="auto"/>
            </w:tcBorders>
          </w:tcPr>
          <w:p>
            <w:pPr>
              <w:ind w:left="20"/>
              <w:spacing w:after="0" w:line="215" w:lineRule="exact"/>
              <w:rPr>
                <w:sz w:val="20"/>
                <w:szCs w:val="20"/>
                <w:color w:val="auto"/>
              </w:rPr>
            </w:pPr>
            <w:r>
              <w:rPr>
                <w:rFonts w:ascii="Arial" w:cs="Arial" w:eastAsia="Arial" w:hAnsi="Arial"/>
                <w:sz w:val="18"/>
                <w:szCs w:val="18"/>
                <w:color w:val="auto"/>
              </w:rPr>
              <w:t>Alpesh Chokshi</w:t>
            </w:r>
            <w:r>
              <w:rPr>
                <w:rFonts w:ascii="Arial" w:cs="Arial" w:eastAsia="Arial" w:hAnsi="Arial"/>
                <w:sz w:val="23"/>
                <w:szCs w:val="23"/>
                <w:color w:val="auto"/>
                <w:vertAlign w:val="superscript"/>
              </w:rPr>
              <w:t>(2)(5)(6)</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62</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3240" w:type="dxa"/>
            <w:vAlign w:val="bottom"/>
            <w:tcBorders>
              <w:left w:val="single" w:sz="8" w:color="auto"/>
            </w:tcBorders>
          </w:tcPr>
          <w:p>
            <w:pPr>
              <w:ind w:left="20"/>
              <w:spacing w:after="0" w:line="230" w:lineRule="exact"/>
              <w:rPr>
                <w:sz w:val="20"/>
                <w:szCs w:val="20"/>
                <w:color w:val="auto"/>
              </w:rPr>
            </w:pPr>
            <w:r>
              <w:rPr>
                <w:rFonts w:ascii="Arial" w:cs="Arial" w:eastAsia="Arial" w:hAnsi="Arial"/>
                <w:sz w:val="18"/>
                <w:szCs w:val="18"/>
                <w:color w:val="auto"/>
              </w:rPr>
              <w:t>Elaine Paul</w:t>
            </w:r>
            <w:r>
              <w:rPr>
                <w:rFonts w:ascii="Arial" w:cs="Arial" w:eastAsia="Arial" w:hAnsi="Arial"/>
                <w:sz w:val="23"/>
                <w:szCs w:val="23"/>
                <w:color w:val="auto"/>
                <w:vertAlign w:val="superscript"/>
              </w:rPr>
              <w:t>(3)(4)(6)</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58</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37"/>
        </w:trPr>
        <w:tc>
          <w:tcPr>
            <w:tcW w:w="3240" w:type="dxa"/>
            <w:vAlign w:val="bottom"/>
            <w:tcBorders>
              <w:left w:val="single" w:sz="8" w:color="auto"/>
              <w:bottom w:val="single" w:sz="8" w:color="auto"/>
            </w:tcBorders>
          </w:tcPr>
          <w:p>
            <w:pPr>
              <w:ind w:left="20"/>
              <w:spacing w:after="0" w:line="237" w:lineRule="exact"/>
              <w:rPr>
                <w:sz w:val="20"/>
                <w:szCs w:val="20"/>
                <w:color w:val="auto"/>
              </w:rPr>
            </w:pPr>
            <w:r>
              <w:rPr>
                <w:rFonts w:ascii="Arial" w:cs="Arial" w:eastAsia="Arial" w:hAnsi="Arial"/>
                <w:sz w:val="18"/>
                <w:szCs w:val="18"/>
                <w:color w:val="auto"/>
              </w:rPr>
              <w:t>Kiran Prasad</w:t>
            </w:r>
            <w:r>
              <w:rPr>
                <w:rFonts w:ascii="Arial" w:cs="Arial" w:eastAsia="Arial" w:hAnsi="Arial"/>
                <w:sz w:val="23"/>
                <w:szCs w:val="23"/>
                <w:color w:val="auto"/>
                <w:vertAlign w:val="superscript"/>
              </w:rPr>
              <w:t>(2)(5)</w:t>
            </w:r>
          </w:p>
        </w:tc>
        <w:tc>
          <w:tcPr>
            <w:tcW w:w="14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49</w:t>
            </w:r>
          </w:p>
        </w:tc>
        <w:tc>
          <w:tcPr>
            <w:tcW w:w="1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23"/>
        </w:trPr>
        <w:tc>
          <w:tcPr>
            <w:tcW w:w="3240" w:type="dxa"/>
            <w:vAlign w:val="bottom"/>
            <w:tcBorders>
              <w:left w:val="single" w:sz="8" w:color="auto"/>
              <w:bottom w:val="single" w:sz="8" w:color="929292"/>
            </w:tcBorders>
            <w:shd w:val="clear" w:color="auto" w:fill="DBDBDB"/>
          </w:tcPr>
          <w:p>
            <w:pPr>
              <w:ind w:left="20"/>
              <w:spacing w:after="0" w:line="223" w:lineRule="exact"/>
              <w:rPr>
                <w:sz w:val="20"/>
                <w:szCs w:val="20"/>
                <w:color w:val="auto"/>
              </w:rPr>
            </w:pPr>
            <w:r>
              <w:rPr>
                <w:rFonts w:ascii="Arial" w:cs="Arial" w:eastAsia="Arial" w:hAnsi="Arial"/>
                <w:sz w:val="18"/>
                <w:szCs w:val="18"/>
                <w:b w:val="1"/>
                <w:bCs w:val="1"/>
                <w:i w:val="1"/>
                <w:iCs w:val="1"/>
                <w:color w:val="auto"/>
              </w:rPr>
              <w:t>Class I Directors</w:t>
            </w:r>
            <w:r>
              <w:rPr>
                <w:rFonts w:ascii="Arial" w:cs="Arial" w:eastAsia="Arial" w:hAnsi="Arial"/>
                <w:sz w:val="23"/>
                <w:szCs w:val="23"/>
                <w:b w:val="1"/>
                <w:bCs w:val="1"/>
                <w:i w:val="1"/>
                <w:iCs w:val="1"/>
                <w:color w:val="auto"/>
                <w:vertAlign w:val="superscript"/>
              </w:rPr>
              <w:t>(1)</w:t>
            </w:r>
          </w:p>
        </w:tc>
        <w:tc>
          <w:tcPr>
            <w:tcW w:w="1420" w:type="dxa"/>
            <w:vAlign w:val="bottom"/>
            <w:tcBorders>
              <w:bottom w:val="single" w:sz="8" w:color="929292"/>
            </w:tcBorders>
            <w:shd w:val="clear" w:color="auto" w:fill="DBDBDB"/>
          </w:tcPr>
          <w:p>
            <w:pPr>
              <w:spacing w:after="0"/>
              <w:rPr>
                <w:sz w:val="19"/>
                <w:szCs w:val="19"/>
                <w:color w:val="auto"/>
              </w:rPr>
            </w:pPr>
          </w:p>
        </w:tc>
        <w:tc>
          <w:tcPr>
            <w:tcW w:w="1560" w:type="dxa"/>
            <w:vAlign w:val="bottom"/>
            <w:tcBorders>
              <w:bottom w:val="single" w:sz="8" w:color="929292"/>
            </w:tcBorders>
            <w:shd w:val="clear" w:color="auto" w:fill="DBDBDB"/>
          </w:tcPr>
          <w:p>
            <w:pPr>
              <w:spacing w:after="0"/>
              <w:rPr>
                <w:sz w:val="19"/>
                <w:szCs w:val="19"/>
                <w:color w:val="auto"/>
              </w:rPr>
            </w:pPr>
          </w:p>
        </w:tc>
        <w:tc>
          <w:tcPr>
            <w:tcW w:w="4820" w:type="dxa"/>
            <w:vAlign w:val="bottom"/>
            <w:tcBorders>
              <w:bottom w:val="single" w:sz="8" w:color="929292"/>
              <w:right w:val="single" w:sz="8" w:color="auto"/>
            </w:tcBorders>
            <w:shd w:val="clear" w:color="auto" w:fill="DBDBDB"/>
          </w:tcPr>
          <w:p>
            <w:pPr>
              <w:spacing w:after="0"/>
              <w:rPr>
                <w:sz w:val="19"/>
                <w:szCs w:val="19"/>
                <w:color w:val="auto"/>
              </w:rPr>
            </w:pPr>
          </w:p>
        </w:tc>
      </w:tr>
      <w:tr>
        <w:trPr>
          <w:trHeight w:val="229"/>
        </w:trPr>
        <w:tc>
          <w:tcPr>
            <w:tcW w:w="3240" w:type="dxa"/>
            <w:vAlign w:val="bottom"/>
            <w:tcBorders>
              <w:left w:val="single" w:sz="8" w:color="auto"/>
            </w:tcBorders>
          </w:tcPr>
          <w:p>
            <w:pPr>
              <w:ind w:left="20"/>
              <w:spacing w:after="0" w:line="229" w:lineRule="exact"/>
              <w:rPr>
                <w:sz w:val="20"/>
                <w:szCs w:val="20"/>
                <w:color w:val="auto"/>
              </w:rPr>
            </w:pPr>
            <w:r>
              <w:rPr>
                <w:rFonts w:ascii="Arial" w:cs="Arial" w:eastAsia="Arial" w:hAnsi="Arial"/>
                <w:sz w:val="18"/>
                <w:szCs w:val="18"/>
                <w:color w:val="auto"/>
              </w:rPr>
              <w:t>Jason Gardner</w:t>
            </w:r>
            <w:r>
              <w:rPr>
                <w:rFonts w:ascii="Arial" w:cs="Arial" w:eastAsia="Arial" w:hAnsi="Arial"/>
                <w:sz w:val="23"/>
                <w:szCs w:val="23"/>
                <w:color w:val="auto"/>
                <w:vertAlign w:val="superscript"/>
              </w:rPr>
              <w:t>(2)</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56</w:t>
            </w:r>
          </w:p>
        </w:tc>
        <w:tc>
          <w:tcPr>
            <w:tcW w:w="1560" w:type="dxa"/>
            <w:vAlign w:val="bottom"/>
          </w:tcPr>
          <w:p>
            <w:pPr>
              <w:spacing w:after="0"/>
              <w:rPr>
                <w:sz w:val="19"/>
                <w:szCs w:val="19"/>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 and Founder</w:t>
            </w:r>
          </w:p>
        </w:tc>
      </w:tr>
      <w:tr>
        <w:trPr>
          <w:trHeight w:val="230"/>
        </w:trPr>
        <w:tc>
          <w:tcPr>
            <w:tcW w:w="3240" w:type="dxa"/>
            <w:vAlign w:val="bottom"/>
            <w:tcBorders>
              <w:left w:val="single" w:sz="8" w:color="auto"/>
            </w:tcBorders>
          </w:tcPr>
          <w:p>
            <w:pPr>
              <w:ind w:left="20"/>
              <w:spacing w:after="0" w:line="230" w:lineRule="exact"/>
              <w:rPr>
                <w:sz w:val="20"/>
                <w:szCs w:val="20"/>
                <w:color w:val="auto"/>
              </w:rPr>
            </w:pPr>
            <w:r>
              <w:rPr>
                <w:rFonts w:ascii="Arial" w:cs="Arial" w:eastAsia="Arial" w:hAnsi="Arial"/>
                <w:sz w:val="18"/>
                <w:szCs w:val="18"/>
                <w:color w:val="auto"/>
              </w:rPr>
              <w:t>R. Mark Graf</w:t>
            </w:r>
            <w:r>
              <w:rPr>
                <w:rFonts w:ascii="Arial" w:cs="Arial" w:eastAsia="Arial" w:hAnsi="Arial"/>
                <w:sz w:val="23"/>
                <w:szCs w:val="23"/>
                <w:color w:val="auto"/>
                <w:vertAlign w:val="superscript"/>
              </w:rPr>
              <w:t>(3)(4)</w:t>
            </w:r>
          </w:p>
        </w:tc>
        <w:tc>
          <w:tcPr>
            <w:tcW w:w="1420" w:type="dxa"/>
            <w:vAlign w:val="bottom"/>
          </w:tcPr>
          <w:p>
            <w:pPr>
              <w:jc w:val="center"/>
              <w:ind w:left="370"/>
              <w:spacing w:after="0"/>
              <w:rPr>
                <w:sz w:val="20"/>
                <w:szCs w:val="20"/>
                <w:color w:val="auto"/>
              </w:rPr>
            </w:pPr>
            <w:r>
              <w:rPr>
                <w:rFonts w:ascii="Arial" w:cs="Arial" w:eastAsia="Arial" w:hAnsi="Arial"/>
                <w:sz w:val="18"/>
                <w:szCs w:val="18"/>
                <w:color w:val="auto"/>
                <w:w w:val="99"/>
              </w:rPr>
              <w:t>61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r>
        <w:trPr>
          <w:trHeight w:val="237"/>
        </w:trPr>
        <w:tc>
          <w:tcPr>
            <w:tcW w:w="3240" w:type="dxa"/>
            <w:vAlign w:val="bottom"/>
            <w:tcBorders>
              <w:left w:val="single" w:sz="8" w:color="auto"/>
              <w:bottom w:val="single" w:sz="8" w:color="929292"/>
            </w:tcBorders>
          </w:tcPr>
          <w:p>
            <w:pPr>
              <w:ind w:left="20"/>
              <w:spacing w:after="0" w:line="237" w:lineRule="exact"/>
              <w:rPr>
                <w:sz w:val="20"/>
                <w:szCs w:val="20"/>
                <w:color w:val="auto"/>
              </w:rPr>
            </w:pPr>
            <w:r>
              <w:rPr>
                <w:rFonts w:ascii="Arial" w:cs="Arial" w:eastAsia="Arial" w:hAnsi="Arial"/>
                <w:sz w:val="18"/>
                <w:szCs w:val="18"/>
                <w:color w:val="auto"/>
              </w:rPr>
              <w:t>Wendy Thomas</w:t>
            </w:r>
            <w:r>
              <w:rPr>
                <w:rFonts w:ascii="Arial" w:cs="Arial" w:eastAsia="Arial" w:hAnsi="Arial"/>
                <w:sz w:val="23"/>
                <w:szCs w:val="23"/>
                <w:color w:val="auto"/>
                <w:vertAlign w:val="superscript"/>
              </w:rPr>
              <w:t>(2)(3)(4)</w:t>
            </w:r>
          </w:p>
        </w:tc>
        <w:tc>
          <w:tcPr>
            <w:tcW w:w="1420" w:type="dxa"/>
            <w:vAlign w:val="bottom"/>
            <w:tcBorders>
              <w:bottom w:val="single" w:sz="8" w:color="929292"/>
            </w:tcBorders>
          </w:tcPr>
          <w:p>
            <w:pPr>
              <w:jc w:val="center"/>
              <w:ind w:left="370"/>
              <w:spacing w:after="0"/>
              <w:rPr>
                <w:sz w:val="20"/>
                <w:szCs w:val="20"/>
                <w:color w:val="auto"/>
              </w:rPr>
            </w:pPr>
            <w:r>
              <w:rPr>
                <w:rFonts w:ascii="Arial" w:cs="Arial" w:eastAsia="Arial" w:hAnsi="Arial"/>
                <w:sz w:val="18"/>
                <w:szCs w:val="18"/>
                <w:color w:val="auto"/>
                <w:w w:val="99"/>
              </w:rPr>
              <w:t>55</w:t>
            </w:r>
          </w:p>
        </w:tc>
        <w:tc>
          <w:tcPr>
            <w:tcW w:w="1560" w:type="dxa"/>
            <w:vAlign w:val="bottom"/>
            <w:tcBorders>
              <w:bottom w:val="single" w:sz="8" w:color="929292"/>
            </w:tcBorders>
          </w:tcPr>
          <w:p>
            <w:pPr>
              <w:jc w:val="center"/>
              <w:ind w:left="30"/>
              <w:spacing w:after="0"/>
              <w:rPr>
                <w:sz w:val="20"/>
                <w:szCs w:val="20"/>
                <w:color w:val="auto"/>
              </w:rPr>
            </w:pPr>
            <w:r>
              <w:rPr>
                <w:rFonts w:ascii="Arial" w:cs="Arial" w:eastAsia="Arial" w:hAnsi="Arial"/>
                <w:sz w:val="18"/>
                <w:szCs w:val="18"/>
                <w:color w:val="auto"/>
                <w:w w:val="99"/>
              </w:rPr>
              <w:t>X</w:t>
            </w:r>
          </w:p>
        </w:tc>
        <w:tc>
          <w:tcPr>
            <w:tcW w:w="4820" w:type="dxa"/>
            <w:vAlign w:val="bottom"/>
            <w:tcBorders>
              <w:bottom w:val="single" w:sz="8" w:color="929292"/>
              <w:right w:val="single" w:sz="8" w:color="auto"/>
            </w:tcBorders>
          </w:tcPr>
          <w:p>
            <w:pPr>
              <w:ind w:left="200"/>
              <w:spacing w:after="0"/>
              <w:rPr>
                <w:sz w:val="20"/>
                <w:szCs w:val="20"/>
                <w:color w:val="auto"/>
              </w:rPr>
            </w:pPr>
            <w:r>
              <w:rPr>
                <w:rFonts w:ascii="Arial" w:cs="Arial" w:eastAsia="Arial" w:hAnsi="Arial"/>
                <w:sz w:val="18"/>
                <w:szCs w:val="18"/>
                <w:color w:val="auto"/>
              </w:rPr>
              <w:t>Director</w:t>
            </w:r>
          </w:p>
        </w:tc>
      </w:tr>
    </w:tbl>
    <w:p>
      <w:pPr>
        <w:spacing w:after="0" w:line="139" w:lineRule="exact"/>
        <w:rPr>
          <w:sz w:val="20"/>
          <w:szCs w:val="20"/>
          <w:color w:val="auto"/>
        </w:rPr>
      </w:pPr>
    </w:p>
    <w:p>
      <w:pPr>
        <w:ind w:left="500" w:right="20" w:hanging="330"/>
        <w:spacing w:after="0" w:line="263" w:lineRule="auto"/>
        <w:tabs>
          <w:tab w:leader="none" w:pos="522" w:val="left"/>
        </w:tabs>
        <w:numPr>
          <w:ilvl w:val="0"/>
          <w:numId w:val="19"/>
        </w:numPr>
        <w:rPr>
          <w:rFonts w:ascii="Arial" w:cs="Arial" w:eastAsia="Arial" w:hAnsi="Arial"/>
          <w:sz w:val="16"/>
          <w:szCs w:val="16"/>
          <w:color w:val="auto"/>
        </w:rPr>
      </w:pPr>
      <w:r>
        <w:rPr>
          <w:rFonts w:ascii="Arial" w:cs="Arial" w:eastAsia="Arial" w:hAnsi="Arial"/>
          <w:sz w:val="14"/>
          <w:szCs w:val="14"/>
          <w:color w:val="auto"/>
        </w:rPr>
        <w:t>Class I directors will continue in office until the 2028 annual meeting of stockholders. Class II director nominees are up for election at the Annual Meeting, and, if elected, will continue in office until the 2029 annual meeting of stockholders. Class III directors will continue in office until the 2027 annual meeting of stockholders.</w:t>
      </w: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Payments Innovation Committee.</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4" w:lineRule="exact"/>
        <w:rPr>
          <w:rFonts w:ascii="Arial" w:cs="Arial" w:eastAsia="Arial" w:hAnsi="Arial"/>
          <w:sz w:val="14"/>
          <w:szCs w:val="14"/>
          <w:color w:val="auto"/>
        </w:rPr>
      </w:pPr>
    </w:p>
    <w:p>
      <w:pPr>
        <w:ind w:left="460" w:hanging="290"/>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 Committee financial expert.</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Nomination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340"/>
        <w:spacing w:after="0"/>
        <w:rPr>
          <w:sz w:val="20"/>
          <w:szCs w:val="20"/>
          <w:color w:val="auto"/>
        </w:rPr>
      </w:pPr>
      <w:r>
        <w:rPr>
          <w:sz w:val="1"/>
          <w:szCs w:val="1"/>
          <w:color w:val="auto"/>
        </w:rPr>
        <w:drawing>
          <wp:inline distT="0" distB="0" distL="0" distR="0">
            <wp:extent cx="1105535" cy="1543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3"/>
          <w:szCs w:val="13"/>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2" w:name="page13"/>
    <w:bookmarkEnd w:id="12"/>
    <w:p>
      <w:pPr>
        <w:jc w:val="center"/>
        <w:ind w:right="-31"/>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40575" cy="351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351155"/>
                    </a:xfrm>
                    <a:prstGeom prst="rect">
                      <a:avLst/>
                    </a:prstGeom>
                    <a:noFill/>
                  </pic:spPr>
                </pic:pic>
              </a:graphicData>
            </a:graphic>
          </wp:anchor>
        </w:drawing>
        <w:t>Nominees for Election for Terms Expiring in 2029 (Class II)</w:t>
      </w:r>
    </w:p>
    <w:p>
      <w:pPr>
        <w:spacing w:after="0" w:line="43"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Najuma Atkinson</w:t>
      </w:r>
    </w:p>
    <w:p>
      <w:pPr>
        <w:spacing w:after="0" w:line="55" w:lineRule="exact"/>
        <w:rPr>
          <w:sz w:val="20"/>
          <w:szCs w:val="20"/>
          <w:color w:val="auto"/>
        </w:rPr>
      </w:pPr>
    </w:p>
    <w:p>
      <w:pPr>
        <w:ind w:left="3872"/>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-118745</wp:posOffset>
            </wp:positionV>
            <wp:extent cx="1894205" cy="2219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4205" cy="2219960"/>
                    </a:xfrm>
                    <a:prstGeom prst="rect">
                      <a:avLst/>
                    </a:prstGeom>
                    <a:noFill/>
                  </pic:spPr>
                </pic:pic>
              </a:graphicData>
            </a:graphic>
          </wp:anchor>
        </w:drawing>
      </w:r>
    </w:p>
    <w:p>
      <w:pPr>
        <w:spacing w:after="0" w:line="10" w:lineRule="exact"/>
        <w:rPr>
          <w:sz w:val="20"/>
          <w:szCs w:val="20"/>
          <w:color w:val="auto"/>
        </w:rPr>
      </w:pPr>
    </w:p>
    <w:p>
      <w:pPr>
        <w:jc w:val="both"/>
        <w:ind w:left="3872"/>
        <w:spacing w:after="0" w:line="256" w:lineRule="auto"/>
        <w:rPr>
          <w:sz w:val="20"/>
          <w:szCs w:val="20"/>
          <w:color w:val="auto"/>
        </w:rPr>
      </w:pPr>
      <w:r>
        <w:rPr>
          <w:rFonts w:ascii="Arial" w:cs="Arial" w:eastAsia="Arial" w:hAnsi="Arial"/>
          <w:sz w:val="16"/>
          <w:szCs w:val="16"/>
          <w:color w:val="auto"/>
        </w:rPr>
        <w:t>Ms. Atkinson has extensive global human resource management experience and a demonstrated track record of successfully developing talent and creating strong, enduring positive workplace cultures. Her data-driven approach and expertise in implementing technologies to enhance employee experience contributes to important board considerations regarding the alignment of human capital strategy with overall business objectives. We believe that Ms. Atkinson is qualified to serve as a member of our Board because of her extensive experience in executive leadership at several public companies.</w:t>
      </w:r>
    </w:p>
    <w:p>
      <w:pPr>
        <w:spacing w:after="0" w:line="200" w:lineRule="exact"/>
        <w:rPr>
          <w:sz w:val="20"/>
          <w:szCs w:val="20"/>
          <w:color w:val="auto"/>
        </w:rPr>
      </w:pPr>
    </w:p>
    <w:p>
      <w:pPr>
        <w:spacing w:after="0" w:line="208" w:lineRule="exact"/>
        <w:rPr>
          <w:sz w:val="20"/>
          <w:szCs w:val="20"/>
          <w:color w:val="auto"/>
        </w:rPr>
      </w:pPr>
    </w:p>
    <w:p>
      <w:pPr>
        <w:ind w:left="3872"/>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ind w:left="3872"/>
        <w:spacing w:after="0"/>
        <w:rPr>
          <w:sz w:val="20"/>
          <w:szCs w:val="20"/>
          <w:color w:val="auto"/>
        </w:rPr>
      </w:pPr>
      <w:r>
        <w:rPr>
          <w:rFonts w:ascii="Arial" w:cs="Arial" w:eastAsia="Arial" w:hAnsi="Arial"/>
          <w:sz w:val="16"/>
          <w:szCs w:val="16"/>
          <w:b w:val="1"/>
          <w:bCs w:val="1"/>
          <w:color w:val="auto"/>
        </w:rPr>
        <w:t xml:space="preserve">Najuma Atkinson Consulting, </w:t>
      </w:r>
      <w:r>
        <w:rPr>
          <w:rFonts w:ascii="Arial" w:cs="Arial" w:eastAsia="Arial" w:hAnsi="Arial"/>
          <w:sz w:val="16"/>
          <w:szCs w:val="16"/>
          <w:color w:val="auto"/>
        </w:rPr>
        <w:t>executive coaching, assessment, and advisory services</w:t>
      </w:r>
    </w:p>
    <w:p>
      <w:pPr>
        <w:spacing w:after="0" w:line="5" w:lineRule="exact"/>
        <w:rPr>
          <w:sz w:val="20"/>
          <w:szCs w:val="20"/>
          <w:color w:val="auto"/>
        </w:rPr>
      </w:pPr>
    </w:p>
    <w:p>
      <w:pPr>
        <w:ind w:left="4192" w:hanging="313"/>
        <w:spacing w:after="0"/>
        <w:tabs>
          <w:tab w:leader="none" w:pos="419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CEO (since 2025)</w:t>
      </w:r>
    </w:p>
    <w:p>
      <w:pPr>
        <w:spacing w:after="0" w:line="15" w:lineRule="exact"/>
        <w:rPr>
          <w:sz w:val="20"/>
          <w:szCs w:val="20"/>
          <w:color w:val="auto"/>
        </w:rPr>
      </w:pPr>
    </w:p>
    <w:p>
      <w:pPr>
        <w:ind w:left="3872"/>
        <w:spacing w:after="0"/>
        <w:rPr>
          <w:sz w:val="20"/>
          <w:szCs w:val="20"/>
          <w:color w:val="auto"/>
        </w:rPr>
      </w:pPr>
      <w:r>
        <w:rPr>
          <w:rFonts w:ascii="Arial" w:cs="Arial" w:eastAsia="Arial" w:hAnsi="Arial"/>
          <w:sz w:val="16"/>
          <w:szCs w:val="16"/>
          <w:b w:val="1"/>
          <w:bCs w:val="1"/>
          <w:color w:val="auto"/>
        </w:rPr>
        <w:t xml:space="preserve">Hasbro, Inc. </w:t>
      </w:r>
      <w:r>
        <w:rPr>
          <w:rFonts w:ascii="Arial" w:cs="Arial" w:eastAsia="Arial" w:hAnsi="Arial"/>
          <w:sz w:val="16"/>
          <w:szCs w:val="16"/>
          <w:color w:val="auto"/>
        </w:rPr>
        <w:t>(NASDAQ: HAS), a play and entertainment company</w:t>
      </w:r>
    </w:p>
    <w:p>
      <w:pPr>
        <w:spacing w:after="0" w:line="9" w:lineRule="exact"/>
        <w:rPr>
          <w:sz w:val="20"/>
          <w:szCs w:val="20"/>
          <w:color w:val="auto"/>
        </w:rPr>
      </w:pPr>
    </w:p>
    <w:p>
      <w:pPr>
        <w:ind w:left="4192" w:hanging="313"/>
        <w:spacing w:after="0"/>
        <w:tabs>
          <w:tab w:leader="none" w:pos="41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EVP, Chief People Officer and Special Advisor (2021-2025)</w:t>
      </w:r>
    </w:p>
    <w:p>
      <w:pPr>
        <w:spacing w:after="0" w:line="5" w:lineRule="exact"/>
        <w:rPr>
          <w:sz w:val="20"/>
          <w:szCs w:val="20"/>
          <w:color w:val="auto"/>
        </w:rPr>
      </w:pPr>
    </w:p>
    <w:p>
      <w:pPr>
        <w:ind w:left="3872"/>
        <w:spacing w:after="0"/>
        <w:rPr>
          <w:sz w:val="20"/>
          <w:szCs w:val="20"/>
          <w:color w:val="auto"/>
        </w:rPr>
      </w:pPr>
      <w:r>
        <w:rPr>
          <w:rFonts w:ascii="Arial" w:cs="Arial" w:eastAsia="Arial" w:hAnsi="Arial"/>
          <w:sz w:val="16"/>
          <w:szCs w:val="16"/>
          <w:b w:val="1"/>
          <w:bCs w:val="1"/>
          <w:color w:val="auto"/>
        </w:rPr>
        <w:t xml:space="preserve">Dell Technologies </w:t>
      </w:r>
      <w:r>
        <w:rPr>
          <w:rFonts w:ascii="Arial" w:cs="Arial" w:eastAsia="Arial" w:hAnsi="Arial"/>
          <w:sz w:val="16"/>
          <w:szCs w:val="16"/>
          <w:color w:val="auto"/>
        </w:rPr>
        <w:t>(NYSE: DELL), an information technology company</w:t>
      </w:r>
    </w:p>
    <w:p>
      <w:pPr>
        <w:spacing w:after="0" w:line="19" w:lineRule="exact"/>
        <w:rPr>
          <w:sz w:val="20"/>
          <w:szCs w:val="20"/>
          <w:color w:val="auto"/>
        </w:rPr>
      </w:pPr>
    </w:p>
    <w:p>
      <w:pPr>
        <w:ind w:left="4192" w:hanging="313"/>
        <w:spacing w:after="0"/>
        <w:tabs>
          <w:tab w:leader="none" w:pos="41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SVP of Global HR Services (2019-2021)</w:t>
      </w:r>
    </w:p>
    <w:p>
      <w:pPr>
        <w:spacing w:after="0" w:line="5" w:lineRule="exact"/>
        <w:rPr>
          <w:rFonts w:ascii="Arial" w:cs="Arial" w:eastAsia="Arial" w:hAnsi="Arial"/>
          <w:sz w:val="16"/>
          <w:szCs w:val="16"/>
          <w:color w:val="auto"/>
        </w:rPr>
      </w:pPr>
    </w:p>
    <w:p>
      <w:pPr>
        <w:ind w:left="4212" w:hanging="333"/>
        <w:spacing w:after="0" w:line="246" w:lineRule="auto"/>
        <w:tabs>
          <w:tab w:leader="none" w:pos="4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Various roles of increasing responsibility in the Human Resources, Customer Experience, and Strategy functions (1999-2019)</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52" w:lineRule="exact"/>
        <w:rPr>
          <w:sz w:val="20"/>
          <w:szCs w:val="20"/>
          <w:color w:val="auto"/>
        </w:rPr>
      </w:pPr>
    </w:p>
    <w:tbl>
      <w:tblPr>
        <w:tblLayout w:type="fixed"/>
        <w:tblInd w:w="12" w:type="dxa"/>
        <w:tblCellMar>
          <w:top w:w="0" w:type="dxa"/>
          <w:left w:w="0" w:type="dxa"/>
          <w:bottom w:w="0" w:type="dxa"/>
          <w:right w:w="0" w:type="dxa"/>
        </w:tblCellMar>
      </w:tblPr>
      <w:tr>
        <w:trPr>
          <w:trHeight w:val="221"/>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tc>
        <w:tc>
          <w:tcPr>
            <w:tcW w:w="5960" w:type="dxa"/>
            <w:vAlign w:val="bottom"/>
          </w:tcPr>
          <w:p>
            <w:pPr>
              <w:ind w:left="90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5960" w:type="dxa"/>
            <w:vAlign w:val="bottom"/>
            <w:vMerge w:val="restart"/>
          </w:tcPr>
          <w:p>
            <w:pPr>
              <w:ind w:left="900"/>
              <w:spacing w:after="0"/>
              <w:rPr>
                <w:sz w:val="20"/>
                <w:szCs w:val="20"/>
                <w:color w:val="auto"/>
              </w:rPr>
            </w:pPr>
            <w:r>
              <w:rPr>
                <w:rFonts w:ascii="Arial" w:cs="Arial" w:eastAsia="Arial" w:hAnsi="Arial"/>
                <w:sz w:val="16"/>
                <w:szCs w:val="16"/>
                <w:color w:val="auto"/>
              </w:rPr>
              <w:t>■   BA, Political Science, Fisk University</w:t>
            </w: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5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Committees:</w:t>
            </w:r>
          </w:p>
        </w:tc>
        <w:tc>
          <w:tcPr>
            <w:tcW w:w="5960" w:type="dxa"/>
            <w:vAlign w:val="bottom"/>
          </w:tcPr>
          <w:p>
            <w:pPr>
              <w:ind w:left="900"/>
              <w:spacing w:after="0"/>
              <w:rPr>
                <w:sz w:val="20"/>
                <w:szCs w:val="20"/>
                <w:color w:val="auto"/>
              </w:rPr>
            </w:pPr>
            <w:r>
              <w:rPr>
                <w:rFonts w:ascii="Arial" w:cs="Arial" w:eastAsia="Arial" w:hAnsi="Arial"/>
                <w:sz w:val="16"/>
                <w:szCs w:val="16"/>
                <w:color w:val="auto"/>
              </w:rPr>
              <w:t>■   MBA, Organizational Management, Trevecca Nazarene University</w:t>
            </w:r>
          </w:p>
        </w:tc>
        <w:tc>
          <w:tcPr>
            <w:tcW w:w="0" w:type="dxa"/>
            <w:vAlign w:val="bottom"/>
          </w:tcPr>
          <w:p>
            <w:pPr>
              <w:spacing w:after="0"/>
              <w:rPr>
                <w:sz w:val="1"/>
                <w:szCs w:val="1"/>
                <w:color w:val="auto"/>
              </w:rPr>
            </w:pPr>
          </w:p>
        </w:tc>
      </w:tr>
      <w:tr>
        <w:trPr>
          <w:trHeight w:val="97"/>
        </w:trPr>
        <w:tc>
          <w:tcPr>
            <w:tcW w:w="2960" w:type="dxa"/>
            <w:vAlign w:val="bottom"/>
            <w:vMerge w:val="continue"/>
          </w:tcPr>
          <w:p>
            <w:pPr>
              <w:spacing w:after="0"/>
              <w:rPr>
                <w:sz w:val="8"/>
                <w:szCs w:val="8"/>
                <w:color w:val="auto"/>
              </w:rPr>
            </w:pPr>
          </w:p>
        </w:tc>
        <w:tc>
          <w:tcPr>
            <w:tcW w:w="5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line="162" w:lineRule="exact"/>
              <w:rPr>
                <w:sz w:val="20"/>
                <w:szCs w:val="20"/>
                <w:color w:val="auto"/>
              </w:rPr>
            </w:pPr>
            <w:r>
              <w:rPr>
                <w:rFonts w:ascii="Arial" w:cs="Arial" w:eastAsia="Arial" w:hAnsi="Arial"/>
                <w:sz w:val="16"/>
                <w:szCs w:val="16"/>
                <w:color w:val="auto"/>
              </w:rPr>
              <w:t>Compensation (Chair)</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6"/>
                <w:szCs w:val="16"/>
                <w:color w:val="auto"/>
              </w:rPr>
              <w:t>Nomination and Governance</w:t>
            </w:r>
          </w:p>
        </w:tc>
        <w:tc>
          <w:tcPr>
            <w:tcW w:w="5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05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80340"/>
                    </a:xfrm>
                    <a:prstGeom prst="rect">
                      <a:avLst/>
                    </a:prstGeom>
                    <a:noFill/>
                  </pic:spPr>
                </pic:pic>
              </a:graphicData>
            </a:graphic>
          </wp:anchor>
        </w:drawing>
      </w:r>
    </w:p>
    <w:p>
      <w:pPr>
        <w:ind w:left="32"/>
        <w:spacing w:after="0"/>
        <w:rPr>
          <w:sz w:val="20"/>
          <w:szCs w:val="20"/>
          <w:color w:val="auto"/>
        </w:rPr>
      </w:pPr>
      <w:r>
        <w:rPr>
          <w:rFonts w:ascii="Arial" w:cs="Arial" w:eastAsia="Arial" w:hAnsi="Arial"/>
          <w:sz w:val="20"/>
          <w:szCs w:val="20"/>
          <w:b w:val="1"/>
          <w:bCs w:val="1"/>
          <w:color w:val="auto"/>
        </w:rPr>
        <w:t>Martha Cummings</w:t>
      </w:r>
    </w:p>
    <w:p>
      <w:pPr>
        <w:spacing w:after="0" w:line="58" w:lineRule="exact"/>
        <w:rPr>
          <w:sz w:val="20"/>
          <w:szCs w:val="20"/>
          <w:color w:val="auto"/>
        </w:rPr>
      </w:pPr>
    </w:p>
    <w:p>
      <w:pPr>
        <w:ind w:left="3872"/>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-118745</wp:posOffset>
            </wp:positionV>
            <wp:extent cx="1885950" cy="2219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0" cy="2219960"/>
                    </a:xfrm>
                    <a:prstGeom prst="rect">
                      <a:avLst/>
                    </a:prstGeom>
                    <a:noFill/>
                  </pic:spPr>
                </pic:pic>
              </a:graphicData>
            </a:graphic>
          </wp:anchor>
        </w:drawing>
      </w:r>
    </w:p>
    <w:p>
      <w:pPr>
        <w:spacing w:after="0" w:line="10" w:lineRule="exact"/>
        <w:rPr>
          <w:sz w:val="20"/>
          <w:szCs w:val="20"/>
          <w:color w:val="auto"/>
        </w:rPr>
      </w:pPr>
    </w:p>
    <w:p>
      <w:pPr>
        <w:jc w:val="both"/>
        <w:ind w:left="3872"/>
        <w:spacing w:after="0" w:line="255" w:lineRule="auto"/>
        <w:rPr>
          <w:sz w:val="20"/>
          <w:szCs w:val="20"/>
          <w:color w:val="auto"/>
        </w:rPr>
      </w:pPr>
      <w:r>
        <w:rPr>
          <w:rFonts w:ascii="Arial" w:cs="Arial" w:eastAsia="Arial" w:hAnsi="Arial"/>
          <w:sz w:val="16"/>
          <w:szCs w:val="16"/>
          <w:color w:val="auto"/>
        </w:rPr>
        <w:t>Ms. Cummings brings over three decades of experience in financial services and expertise in a wide variety of responsibilities including risk management, regulatory supervision, investment banking, and business transformation. Her extensive knowledge of the global financial services industry, risk identification and mitigation, as well as her regulatory experience provide valuable insights related to strategic planning and international expansion. We believe that Ms. Cummings is qualified to serve as a member of our Board because of her experience in management and her knowledge of the global financial services industry.</w:t>
      </w:r>
    </w:p>
    <w:p>
      <w:pPr>
        <w:sectPr>
          <w:pgSz w:w="11900" w:h="16838" w:orient="portrait"/>
          <w:cols w:equalWidth="0" w:num="1">
            <w:col w:w="11212"/>
          </w:cols>
          <w:pgMar w:left="328" w:top="10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216"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2021</w:t>
      </w:r>
    </w:p>
    <w:p>
      <w:pPr>
        <w:spacing w:after="0" w:line="21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Committees:</w:t>
      </w:r>
    </w:p>
    <w:p>
      <w:pPr>
        <w:ind w:left="12"/>
        <w:spacing w:after="0" w:line="211" w:lineRule="auto"/>
        <w:rPr>
          <w:sz w:val="20"/>
          <w:szCs w:val="20"/>
          <w:color w:val="auto"/>
        </w:rPr>
      </w:pPr>
      <w:r>
        <w:rPr>
          <w:rFonts w:ascii="Arial" w:cs="Arial" w:eastAsia="Arial" w:hAnsi="Arial"/>
          <w:sz w:val="16"/>
          <w:szCs w:val="16"/>
          <w:color w:val="auto"/>
        </w:rPr>
        <w:t>Audit</w:t>
      </w:r>
    </w:p>
    <w:p>
      <w:pPr>
        <w:ind w:left="12"/>
        <w:spacing w:after="0"/>
        <w:rPr>
          <w:sz w:val="20"/>
          <w:szCs w:val="20"/>
          <w:color w:val="auto"/>
        </w:rPr>
      </w:pPr>
      <w:r>
        <w:rPr>
          <w:rFonts w:ascii="Arial" w:cs="Arial" w:eastAsia="Arial" w:hAnsi="Arial"/>
          <w:sz w:val="16"/>
          <w:szCs w:val="16"/>
          <w:color w:val="auto"/>
        </w:rPr>
        <w:t>Nomination and Governance (Chair)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Boston Consulting Group</w:t>
      </w:r>
      <w:r>
        <w:rPr>
          <w:rFonts w:ascii="Arial" w:cs="Arial" w:eastAsia="Arial" w:hAnsi="Arial"/>
          <w:sz w:val="16"/>
          <w:szCs w:val="16"/>
          <w:color w:val="auto"/>
        </w:rPr>
        <w:t>, a strategic management consulting group</w:t>
      </w:r>
    </w:p>
    <w:p>
      <w:pPr>
        <w:spacing w:after="0" w:line="5"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Senior Advisor (since 2023)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Wells Fargo Bank, N.A. </w:t>
      </w:r>
      <w:r>
        <w:rPr>
          <w:rFonts w:ascii="Arial" w:cs="Arial" w:eastAsia="Arial" w:hAnsi="Arial"/>
          <w:sz w:val="16"/>
          <w:szCs w:val="16"/>
          <w:color w:val="auto"/>
        </w:rPr>
        <w:t>(NYSE: WFC), a multinational financial services company</w:t>
      </w:r>
    </w:p>
    <w:p>
      <w:pPr>
        <w:spacing w:after="0" w:line="9"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EVP, Head of Compliance, Strategy &amp; Operations (2018-2020)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Reserve Bank of New York</w:t>
      </w:r>
      <w:r>
        <w:rPr>
          <w:rFonts w:ascii="Arial" w:cs="Arial" w:eastAsia="Arial" w:hAnsi="Arial"/>
          <w:sz w:val="16"/>
          <w:szCs w:val="16"/>
          <w:color w:val="auto"/>
        </w:rPr>
        <w:t>, one of 12 reserve banks in the Federal Reserve System</w:t>
      </w:r>
    </w:p>
    <w:p>
      <w:pPr>
        <w:spacing w:after="0" w:line="19"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SVP and Senior Supervisory Officer (2012-2018)</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 Economics, University of Minnesota</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 International Studies, Lauder Institute, University of Pennsylvania</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MBA, Wharton School of Business,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853440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8" w:lineRule="exact"/>
        <w:rPr>
          <w:sz w:val="20"/>
          <w:szCs w:val="20"/>
          <w:color w:val="auto"/>
        </w:rPr>
      </w:pPr>
    </w:p>
    <w:p>
      <w:pPr>
        <w:sectPr>
          <w:pgSz w:w="11900" w:h="16838" w:orient="portrait"/>
          <w:cols w:equalWidth="0" w:num="2">
            <w:col w:w="3152" w:space="720"/>
            <w:col w:w="7340"/>
          </w:cols>
          <w:pgMar w:left="328" w:top="10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92" w:hanging="292"/>
        <w:spacing w:after="0"/>
        <w:tabs>
          <w:tab w:leader="none" w:pos="292"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88" w:right="35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405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180340"/>
                    </a:xfrm>
                    <a:prstGeom prst="rect">
                      <a:avLst/>
                    </a:prstGeom>
                    <a:noFill/>
                  </pic:spPr>
                </pic:pic>
              </a:graphicData>
            </a:graphic>
          </wp:anchor>
        </w:drawing>
        <w:t>Jud Linville</w:t>
      </w:r>
    </w:p>
    <w:p>
      <w:pPr>
        <w:sectPr>
          <w:pgSz w:w="11900" w:h="16838" w:orient="portrait"/>
          <w:cols w:equalWidth="0" w:num="1">
            <w:col w:w="11200"/>
          </w:cols>
          <w:pgMar w:left="340" w:top="10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-2378710</wp:posOffset>
            </wp:positionV>
            <wp:extent cx="1894205"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4205" cy="22199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Chair of the Board since 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Linville’s more than three decades of executive experience spans financial services, technology, media, and marketing. While serving as Citigroup’s CEO of Global Cards and Consumer Services, he led the largest global credit card franchise, and was responsible for running digital, marketing, and data/analytics efforts across all consumer lines of business. His extensive track record of driving digital and mobile transformation at leading organizations provides the Board and management with valuable perspectives on leveraging emerging technologies to promote business growth. We believe that Mr. Linville is qualified to serve as a member of our Board because of his extensive business experience in the financial industry, his experience in management, and his knowledge of the industry in which we operate.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Atlantic LLC</w:t>
      </w:r>
      <w:r>
        <w:rPr>
          <w:rFonts w:ascii="Arial" w:cs="Arial" w:eastAsia="Arial" w:hAnsi="Arial"/>
          <w:sz w:val="16"/>
          <w:szCs w:val="16"/>
          <w:color w:val="auto"/>
        </w:rPr>
        <w:t>, a global growth equity firm</w:t>
      </w:r>
    </w:p>
    <w:p>
      <w:pPr>
        <w:spacing w:after="0" w:line="5"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Senior Advisor (2019-2024)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Citigroup, Inc </w:t>
      </w:r>
      <w:r>
        <w:rPr>
          <w:rFonts w:ascii="Arial" w:cs="Arial" w:eastAsia="Arial" w:hAnsi="Arial"/>
          <w:sz w:val="16"/>
          <w:szCs w:val="16"/>
          <w:color w:val="auto"/>
        </w:rPr>
        <w:t>(NYSE: C), a global financial services company</w:t>
      </w:r>
    </w:p>
    <w:p>
      <w:pPr>
        <w:spacing w:after="0" w:line="19"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CEO of Global Cards and Consumer Services (2010-2018)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American Express Co </w:t>
      </w:r>
      <w:r>
        <w:rPr>
          <w:rFonts w:ascii="Arial" w:cs="Arial" w:eastAsia="Arial" w:hAnsi="Arial"/>
          <w:sz w:val="16"/>
          <w:szCs w:val="16"/>
          <w:color w:val="auto"/>
        </w:rPr>
        <w:t>(NYSE: AXP), multinational financial services company</w:t>
      </w:r>
    </w:p>
    <w:p>
      <w:pPr>
        <w:spacing w:after="0" w:line="5"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President and CEO of Consumer Services (2006-2010)</w:t>
      </w:r>
    </w:p>
    <w:p>
      <w:pPr>
        <w:spacing w:after="0" w:line="14" w:lineRule="exact"/>
        <w:rPr>
          <w:rFonts w:ascii="Arial" w:cs="Arial" w:eastAsia="Arial" w:hAnsi="Arial"/>
          <w:sz w:val="16"/>
          <w:szCs w:val="16"/>
          <w:color w:val="auto"/>
        </w:rPr>
      </w:pPr>
    </w:p>
    <w:p>
      <w:pPr>
        <w:ind w:left="340" w:hanging="333"/>
        <w:spacing w:after="0" w:line="270" w:lineRule="auto"/>
        <w:tabs>
          <w:tab w:leader="none" w:pos="3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Various executive roles in American Express International, Global Commercial Service, Service Delivery, and Consumer Services (1989-2006)</w:t>
      </w:r>
    </w:p>
    <w:p>
      <w:pPr>
        <w:spacing w:after="0" w:line="179" w:lineRule="exact"/>
        <w:rPr>
          <w:sz w:val="20"/>
          <w:szCs w:val="20"/>
          <w:color w:val="auto"/>
        </w:rPr>
      </w:pPr>
    </w:p>
    <w:p>
      <w:pPr>
        <w:sectPr>
          <w:pgSz w:w="11900" w:h="16838" w:orient="portrait"/>
          <w:cols w:equalWidth="0" w:num="2">
            <w:col w:w="3300" w:space="560"/>
            <w:col w:w="7340"/>
          </w:cols>
          <w:pgMar w:left="340" w:top="1088" w:right="359" w:bottom="1440" w:gutter="0" w:footer="0" w:header="0"/>
          <w:type w:val="continuous"/>
        </w:sectPr>
      </w:pPr>
    </w:p>
    <w:p>
      <w:pPr>
        <w:ind w:left="3860"/>
        <w:spacing w:after="0"/>
        <w:rPr>
          <w:sz w:val="20"/>
          <w:szCs w:val="20"/>
          <w:color w:val="auto"/>
        </w:rPr>
      </w:pPr>
      <w:r>
        <w:rPr>
          <w:rFonts w:ascii="Arial" w:cs="Arial" w:eastAsia="Arial" w:hAnsi="Arial"/>
          <w:sz w:val="18"/>
          <w:szCs w:val="18"/>
          <w:b w:val="1"/>
          <w:bCs w:val="1"/>
          <w:color w:val="auto"/>
        </w:rPr>
        <w:t>Education</w:t>
      </w:r>
    </w:p>
    <w:p>
      <w:pPr>
        <w:spacing w:after="0"/>
        <w:tabs>
          <w:tab w:leader="none" w:pos="3840" w:val="left"/>
          <w:tab w:leader="none" w:pos="4160" w:val="left"/>
        </w:tabs>
        <w:rPr>
          <w:sz w:val="20"/>
          <w:szCs w:val="20"/>
          <w:color w:val="auto"/>
        </w:rPr>
      </w:pPr>
      <w:r>
        <w:rPr>
          <w:rFonts w:ascii="Arial" w:cs="Arial" w:eastAsia="Arial" w:hAnsi="Arial"/>
          <w:sz w:val="28"/>
          <w:szCs w:val="28"/>
          <w:b w:val="1"/>
          <w:bCs w:val="1"/>
          <w:color w:val="auto"/>
          <w:vertAlign w:val="superscript"/>
        </w:rPr>
        <w:t>Director since:</w:t>
      </w:r>
      <w:r>
        <w:rPr>
          <w:rFonts w:ascii="Arial" w:cs="Arial" w:eastAsia="Arial" w:hAnsi="Arial"/>
          <w:sz w:val="15"/>
          <w:szCs w:val="15"/>
          <w:color w:val="auto"/>
        </w:rPr>
        <w:t xml:space="preserve"> </w:t>
      </w:r>
      <w:r>
        <w:rPr>
          <w:rFonts w:ascii="Arial" w:cs="Arial" w:eastAsia="Arial" w:hAnsi="Arial"/>
          <w:sz w:val="28"/>
          <w:szCs w:val="28"/>
          <w:color w:val="auto"/>
          <w:vertAlign w:val="superscript"/>
        </w:rPr>
        <w:t>2020</w:t>
      </w:r>
      <w:r>
        <w:rPr>
          <w:sz w:val="20"/>
          <w:szCs w:val="20"/>
          <w:color w:val="auto"/>
        </w:rPr>
        <w:tab/>
      </w:r>
      <w:r>
        <w:rPr>
          <w:rFonts w:ascii="Arial" w:cs="Arial" w:eastAsia="Arial" w:hAnsi="Arial"/>
          <w:sz w:val="16"/>
          <w:szCs w:val="16"/>
          <w:color w:val="auto"/>
        </w:rPr>
        <w:t>■</w:t>
        <w:tab/>
        <w:t>BA, Psychology, Lafayette College</w:t>
      </w:r>
    </w:p>
    <w:p>
      <w:pPr>
        <w:ind w:left="4180" w:hanging="313"/>
        <w:spacing w:after="0" w:line="211" w:lineRule="auto"/>
        <w:tabs>
          <w:tab w:leader="none" w:pos="4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PsyD, Clinical Psychology, College of Medicine, Drexel University</w:t>
      </w:r>
    </w:p>
    <w:p>
      <w:pPr>
        <w:spacing w:after="0" w:line="211" w:lineRule="auto"/>
        <w:rPr>
          <w:sz w:val="20"/>
          <w:szCs w:val="20"/>
          <w:color w:val="auto"/>
        </w:rPr>
      </w:pPr>
      <w:r>
        <w:rPr>
          <w:rFonts w:ascii="Arial" w:cs="Arial" w:eastAsia="Arial" w:hAnsi="Arial"/>
          <w:sz w:val="16"/>
          <w:szCs w:val="16"/>
          <w:b w:val="1"/>
          <w:bCs w:val="1"/>
          <w:color w:val="auto"/>
        </w:rPr>
        <w:t>Committees: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w:t>
      </w:r>
    </w:p>
    <w:p>
      <w:pPr>
        <w:spacing w:after="0" w:line="211" w:lineRule="auto"/>
        <w:rPr>
          <w:sz w:val="20"/>
          <w:szCs w:val="20"/>
          <w:color w:val="auto"/>
        </w:rPr>
      </w:pPr>
      <w:r>
        <w:rPr>
          <w:rFonts w:ascii="Arial" w:cs="Arial" w:eastAsia="Arial" w:hAnsi="Arial"/>
          <w:sz w:val="16"/>
          <w:szCs w:val="16"/>
          <w:color w:val="auto"/>
        </w:rPr>
        <w:t>Alkami Technology, Inc. (NASDAQ: ALKT) (since</w:t>
      </w:r>
    </w:p>
    <w:p>
      <w:pPr>
        <w:spacing w:after="0"/>
        <w:rPr>
          <w:sz w:val="20"/>
          <w:szCs w:val="20"/>
          <w:color w:val="auto"/>
        </w:rPr>
      </w:pP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4057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Mike Milotich</w:t>
      </w:r>
    </w:p>
    <w:p>
      <w:pPr>
        <w:spacing w:after="0" w:line="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1894205" cy="2219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4205" cy="2219960"/>
                    </a:xfrm>
                    <a:prstGeom prst="rect">
                      <a:avLst/>
                    </a:prstGeom>
                    <a:noFill/>
                  </pic:spPr>
                </pic:pic>
              </a:graphicData>
            </a:graphic>
          </wp:anchor>
        </w:drawing>
      </w:r>
    </w:p>
    <w:p>
      <w:pPr>
        <w:spacing w:after="0" w:line="102" w:lineRule="exact"/>
        <w:rPr>
          <w:sz w:val="20"/>
          <w:szCs w:val="20"/>
          <w:color w:val="auto"/>
        </w:rPr>
      </w:pPr>
    </w:p>
    <w:p>
      <w:pPr>
        <w:jc w:val="both"/>
        <w:ind w:left="3860"/>
        <w:spacing w:after="0" w:line="259" w:lineRule="auto"/>
        <w:rPr>
          <w:sz w:val="20"/>
          <w:szCs w:val="20"/>
          <w:color w:val="auto"/>
        </w:rPr>
      </w:pPr>
      <w:r>
        <w:rPr>
          <w:rFonts w:ascii="Arial" w:cs="Arial" w:eastAsia="Arial" w:hAnsi="Arial"/>
          <w:sz w:val="16"/>
          <w:szCs w:val="16"/>
          <w:color w:val="auto"/>
        </w:rPr>
        <w:t>Mr. Milotich brings over two decades of experience in financial services and expertise in a wide variety of responsibilities, including corporate finance, FP&amp;A and investor relations. His extensive knowledge of the global financial services industry, as well as his experience as our Chief Financial Officer, provide valuable insights related to financial and strategic planning. This experience provides valuable insights to board deliberations on performance, risk identification, and operational strategy. Mr. Milotich’s background informs his ability to provide key insights concerning long-term strategic and financial planning. We believe that Mr. Milotich is qualified to serve as a member of our Board because of his experience as our CEO and CFO, and his deep finance and strategy expertise.</w:t>
      </w:r>
    </w:p>
    <w:p>
      <w:pPr>
        <w:sectPr>
          <w:pgSz w:w="11900" w:h="16838" w:orient="portrait"/>
          <w:cols w:equalWidth="0" w:num="1">
            <w:col w:w="11200"/>
          </w:cols>
          <w:pgMar w:left="340" w:top="10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49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Marqeta, Inc.</w:t>
      </w:r>
    </w:p>
    <w:p>
      <w:pPr>
        <w:spacing w:after="0" w:line="19" w:lineRule="exact"/>
        <w:rPr>
          <w:sz w:val="20"/>
          <w:szCs w:val="20"/>
          <w:color w:val="auto"/>
        </w:rPr>
      </w:pPr>
    </w:p>
    <w:p>
      <w:pPr>
        <w:ind w:left="320" w:hanging="313"/>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Director since 2025</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Chief Executive Officer since 2025</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Chief Financial Officer (2022-2026)</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Visa Inc. </w:t>
      </w:r>
      <w:r>
        <w:rPr>
          <w:rFonts w:ascii="Arial" w:cs="Arial" w:eastAsia="Arial" w:hAnsi="Arial"/>
          <w:sz w:val="16"/>
          <w:szCs w:val="16"/>
          <w:color w:val="auto"/>
        </w:rPr>
        <w:t>(NYSE: V), a global financial platform company</w:t>
      </w:r>
    </w:p>
    <w:p>
      <w:pPr>
        <w:spacing w:after="0" w:line="9"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Senior Vice President, Head of Corporate Finance and Investor Relations (2018-2022)</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Vice President, Corporate FP&amp;A and Business Analyst Lead (2014-2018)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 Business Economics, University of California, Santa Barbara</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MBA, New York University</w:t>
      </w:r>
    </w:p>
    <w:p>
      <w:pPr>
        <w:spacing w:after="0" w:line="1050" w:lineRule="exact"/>
        <w:rPr>
          <w:sz w:val="20"/>
          <w:szCs w:val="20"/>
          <w:color w:val="auto"/>
        </w:rPr>
      </w:pPr>
    </w:p>
    <w:p>
      <w:pPr>
        <w:sectPr>
          <w:pgSz w:w="11900" w:h="16838" w:orient="portrait"/>
          <w:cols w:equalWidth="0" w:num="2">
            <w:col w:w="3140" w:space="720"/>
            <w:col w:w="7340"/>
          </w:cols>
          <w:pgMar w:left="340" w:top="1088" w:right="3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9200"/>
        <w:spacing w:after="0"/>
        <w:rPr>
          <w:sz w:val="20"/>
          <w:szCs w:val="20"/>
          <w:color w:val="auto"/>
        </w:rPr>
      </w:pPr>
      <w:r>
        <w:rPr>
          <w:sz w:val="1"/>
          <w:szCs w:val="1"/>
          <w:color w:val="auto"/>
        </w:rPr>
        <w:drawing>
          <wp:inline distT="0" distB="0" distL="0" distR="0">
            <wp:extent cx="1105535" cy="154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5"/>
          <w:szCs w:val="15"/>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8" w:right="359" w:bottom="1440" w:gutter="0" w:footer="0" w:header="0"/>
          <w:type w:val="continuous"/>
        </w:sectPr>
      </w:pPr>
    </w:p>
    <w:bookmarkStart w:id="14" w:name="page15"/>
    <w:bookmarkEnd w:id="14"/>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40575" cy="351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FFFFFF"/>
        </w:rPr>
        <w:t>Incumbent Directors Whose Terms Expire in 2027 (Class III)</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Alpesh Chokshi</w:t>
      </w:r>
    </w:p>
    <w:p>
      <w:pPr>
        <w:spacing w:after="0" w:line="5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2048510" cy="2219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48510" cy="2219960"/>
                    </a:xfrm>
                    <a:prstGeom prst="rect">
                      <a:avLst/>
                    </a:prstGeom>
                    <a:noFill/>
                  </pic:spPr>
                </pic:pic>
              </a:graphicData>
            </a:graphic>
          </wp:anchor>
        </w:drawing>
      </w:r>
    </w:p>
    <w:p>
      <w:pPr>
        <w:spacing w:after="0" w:line="10" w:lineRule="exact"/>
        <w:rPr>
          <w:sz w:val="20"/>
          <w:szCs w:val="20"/>
          <w:color w:val="auto"/>
        </w:rPr>
      </w:pPr>
    </w:p>
    <w:p>
      <w:pPr>
        <w:jc w:val="both"/>
        <w:ind w:left="3880"/>
        <w:spacing w:after="0" w:line="255" w:lineRule="auto"/>
        <w:rPr>
          <w:sz w:val="20"/>
          <w:szCs w:val="20"/>
          <w:color w:val="auto"/>
        </w:rPr>
      </w:pPr>
      <w:r>
        <w:rPr>
          <w:rFonts w:ascii="Arial" w:cs="Arial" w:eastAsia="Arial" w:hAnsi="Arial"/>
          <w:sz w:val="16"/>
          <w:szCs w:val="16"/>
          <w:color w:val="auto"/>
        </w:rPr>
        <w:t>Mr. Chokshi is a seasoned senior executive with significant leadership experience in the global financial services sector. His multifaceted business development experience – spanning corporate strategy, M&amp;A, and driving the success of innovative technology platforms – provides him with deep expertise in new market expansion, building and managing critical client and partner relationships, and implementing strategic initiatives to drive growth. We believe that Mr. Chokshi is qualified to serve as a member of our Board because of his experience in management and his knowledge of the global financial services industry.</w:t>
      </w:r>
    </w:p>
    <w:p>
      <w:pPr>
        <w:spacing w:after="0" w:line="20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jc w:val="both"/>
        <w:ind w:left="3880"/>
        <w:spacing w:after="0" w:line="255" w:lineRule="auto"/>
        <w:rPr>
          <w:sz w:val="20"/>
          <w:szCs w:val="20"/>
          <w:color w:val="auto"/>
        </w:rPr>
      </w:pPr>
      <w:r>
        <w:rPr>
          <w:rFonts w:ascii="Arial" w:cs="Arial" w:eastAsia="Arial" w:hAnsi="Arial"/>
          <w:sz w:val="16"/>
          <w:szCs w:val="16"/>
          <w:b w:val="1"/>
          <w:bCs w:val="1"/>
          <w:color w:val="auto"/>
        </w:rPr>
        <w:t>Bilt Technologies, Inc. dba Bilt Rewards</w:t>
      </w:r>
      <w:r>
        <w:rPr>
          <w:rFonts w:ascii="Arial" w:cs="Arial" w:eastAsia="Arial" w:hAnsi="Arial"/>
          <w:sz w:val="16"/>
          <w:szCs w:val="16"/>
          <w:color w:val="auto"/>
        </w:rPr>
        <w:t>, a receipt data platform powering innovation in commerce</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Rotomaire, Inc. dba Banyan in 2025)</w:t>
      </w:r>
    </w:p>
    <w:p>
      <w:pPr>
        <w:spacing w:after="0" w:line="1" w:lineRule="exact"/>
        <w:rPr>
          <w:sz w:val="20"/>
          <w:szCs w:val="20"/>
          <w:color w:val="auto"/>
        </w:rPr>
      </w:pPr>
    </w:p>
    <w:p>
      <w:pPr>
        <w:ind w:left="4200" w:hanging="313"/>
        <w:spacing w:after="0"/>
        <w:tabs>
          <w:tab w:leader="none" w:pos="4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Senior Advisor (since 2025)</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Committees:</w:t>
      </w:r>
    </w:p>
    <w:p>
      <w:pPr>
        <w:ind w:left="20"/>
        <w:spacing w:after="0" w:line="211" w:lineRule="auto"/>
        <w:rPr>
          <w:sz w:val="20"/>
          <w:szCs w:val="20"/>
          <w:color w:val="auto"/>
        </w:rPr>
      </w:pPr>
      <w:r>
        <w:rPr>
          <w:rFonts w:ascii="Arial" w:cs="Arial" w:eastAsia="Arial" w:hAnsi="Arial"/>
          <w:sz w:val="16"/>
          <w:szCs w:val="16"/>
          <w:color w:val="auto"/>
        </w:rPr>
        <w:t>Compensation</w:t>
      </w:r>
    </w:p>
    <w:p>
      <w:pPr>
        <w:ind w:left="20"/>
        <w:spacing w:after="0" w:line="211" w:lineRule="auto"/>
        <w:rPr>
          <w:sz w:val="20"/>
          <w:szCs w:val="20"/>
          <w:color w:val="auto"/>
        </w:rPr>
      </w:pPr>
      <w:r>
        <w:rPr>
          <w:rFonts w:ascii="Arial" w:cs="Arial" w:eastAsia="Arial" w:hAnsi="Arial"/>
          <w:sz w:val="16"/>
          <w:szCs w:val="16"/>
          <w:color w:val="auto"/>
        </w:rPr>
        <w:t>Nomination and Governance</w:t>
      </w:r>
    </w:p>
    <w:p>
      <w:pPr>
        <w:ind w:left="20"/>
        <w:spacing w:after="0"/>
        <w:rPr>
          <w:sz w:val="20"/>
          <w:szCs w:val="20"/>
          <w:color w:val="auto"/>
        </w:rPr>
      </w:pPr>
      <w:r>
        <w:rPr>
          <w:rFonts w:ascii="Arial" w:cs="Arial" w:eastAsia="Arial" w:hAnsi="Arial"/>
          <w:sz w:val="16"/>
          <w:szCs w:val="16"/>
          <w:color w:val="auto"/>
        </w:rPr>
        <w:t>Payments Innovation</w:t>
      </w:r>
    </w:p>
    <w:p>
      <w:pPr>
        <w:spacing w:after="0" w:line="20" w:lineRule="exact"/>
        <w:rPr>
          <w:sz w:val="20"/>
          <w:szCs w:val="20"/>
          <w:color w:val="auto"/>
        </w:rPr>
      </w:pPr>
      <w:r>
        <w:rPr>
          <w:sz w:val="20"/>
          <w:szCs w:val="20"/>
          <w:color w:val="auto"/>
        </w:rPr>
        <w:br w:type="column"/>
      </w: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President, Banyan (2024-2025)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 Ridge Equity Partners</w:t>
      </w:r>
      <w:r>
        <w:rPr>
          <w:rFonts w:ascii="Arial" w:cs="Arial" w:eastAsia="Arial" w:hAnsi="Arial"/>
          <w:sz w:val="16"/>
          <w:szCs w:val="16"/>
          <w:color w:val="auto"/>
        </w:rPr>
        <w:t>, a growth investment firm</w:t>
      </w:r>
    </w:p>
    <w:p>
      <w:pPr>
        <w:spacing w:after="0" w:line="5"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Senior Advisor (since 2024)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Citigroup, Inc </w:t>
      </w:r>
      <w:r>
        <w:rPr>
          <w:rFonts w:ascii="Arial" w:cs="Arial" w:eastAsia="Arial" w:hAnsi="Arial"/>
          <w:sz w:val="16"/>
          <w:szCs w:val="16"/>
          <w:color w:val="auto"/>
        </w:rPr>
        <w:t>(NYSE: C), a global financial services company</w:t>
      </w:r>
    </w:p>
    <w:p>
      <w:pPr>
        <w:spacing w:after="0" w:line="9" w:lineRule="exact"/>
        <w:rPr>
          <w:sz w:val="20"/>
          <w:szCs w:val="20"/>
          <w:color w:val="auto"/>
        </w:rPr>
      </w:pPr>
    </w:p>
    <w:p>
      <w:pPr>
        <w:ind w:left="340" w:hanging="333"/>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Global Head of Business Development and Strategy for Personal Banking and Wealth (2018-</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Visa </w:t>
      </w:r>
      <w:r>
        <w:rPr>
          <w:rFonts w:ascii="Arial" w:cs="Arial" w:eastAsia="Arial" w:hAnsi="Arial"/>
          <w:sz w:val="16"/>
          <w:szCs w:val="16"/>
          <w:color w:val="auto"/>
        </w:rPr>
        <w:t>(NYSE: V), a financial technology company</w:t>
      </w:r>
    </w:p>
    <w:p>
      <w:pPr>
        <w:spacing w:after="0" w:line="5"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Head of National Accounts (2015-2018)</w:t>
      </w:r>
    </w:p>
    <w:p>
      <w:pPr>
        <w:spacing w:after="0" w:line="15" w:lineRule="exact"/>
        <w:rPr>
          <w:sz w:val="20"/>
          <w:szCs w:val="20"/>
          <w:color w:val="auto"/>
        </w:rPr>
      </w:pPr>
    </w:p>
    <w:p>
      <w:pPr>
        <w:jc w:val="center"/>
        <w:ind w:right="1680"/>
        <w:spacing w:after="0"/>
        <w:rPr>
          <w:sz w:val="20"/>
          <w:szCs w:val="20"/>
          <w:color w:val="auto"/>
        </w:rPr>
      </w:pPr>
      <w:r>
        <w:rPr>
          <w:rFonts w:ascii="Arial" w:cs="Arial" w:eastAsia="Arial" w:hAnsi="Arial"/>
          <w:sz w:val="16"/>
          <w:szCs w:val="16"/>
          <w:b w:val="1"/>
          <w:bCs w:val="1"/>
          <w:color w:val="auto"/>
        </w:rPr>
        <w:t xml:space="preserve">American Express Co </w:t>
      </w:r>
      <w:r>
        <w:rPr>
          <w:rFonts w:ascii="Arial" w:cs="Arial" w:eastAsia="Arial" w:hAnsi="Arial"/>
          <w:sz w:val="16"/>
          <w:szCs w:val="16"/>
          <w:color w:val="auto"/>
        </w:rPr>
        <w:t>(NYSE: AXP), multinational financial services company</w:t>
      </w:r>
    </w:p>
    <w:p>
      <w:pPr>
        <w:spacing w:after="0" w:line="9" w:lineRule="exact"/>
        <w:rPr>
          <w:sz w:val="20"/>
          <w:szCs w:val="20"/>
          <w:color w:val="auto"/>
        </w:rPr>
      </w:pPr>
    </w:p>
    <w:p>
      <w:pPr>
        <w:ind w:right="2700" w:firstLine="7"/>
        <w:spacing w:after="0" w:line="265" w:lineRule="auto"/>
        <w:tabs>
          <w:tab w:leader="none" w:pos="314"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Various roles of increasing responsibility from Chief Strategy Officer to President of Global Payment Options (2001-2015)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BS, Electrical Engineering, University of Pennsylvania</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BS, Economics, University of Pennsylvania</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MBA, Wharton School of Business, University of Pennsylvania</w:t>
      </w:r>
    </w:p>
    <w:p>
      <w:pPr>
        <w:spacing w:after="0" w:line="200" w:lineRule="exact"/>
        <w:rPr>
          <w:sz w:val="20"/>
          <w:szCs w:val="20"/>
          <w:color w:val="auto"/>
        </w:rPr>
      </w:pPr>
    </w:p>
    <w:p>
      <w:pPr>
        <w:sectPr>
          <w:pgSz w:w="11900" w:h="16838" w:orient="portrait"/>
          <w:cols w:equalWidth="0" w:num="2">
            <w:col w:w="3160" w:space="720"/>
            <w:col w:w="73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4057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180340"/>
                    </a:xfrm>
                    <a:prstGeom prst="rect">
                      <a:avLst/>
                    </a:prstGeom>
                    <a:noFill/>
                  </pic:spPr>
                </pic:pic>
              </a:graphicData>
            </a:graphic>
          </wp:anchor>
        </w:drawing>
        <w:t>Elaine Paul</w:t>
      </w:r>
    </w:p>
    <w:p>
      <w:pPr>
        <w:sectPr>
          <w:pgSz w:w="11900" w:h="16838" w:orient="portrait"/>
          <w:cols w:equalWidth="0" w:num="1">
            <w:col w:w="11200"/>
          </w:cols>
          <w:pgMar w:left="340" w:top="12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ge:</w:t>
      </w:r>
      <w:r>
        <w:rPr>
          <w:rFonts w:ascii="Arial" w:cs="Arial" w:eastAsia="Arial" w:hAnsi="Arial"/>
          <w:sz w:val="18"/>
          <w:szCs w:val="18"/>
          <w:b w:val="1"/>
          <w:bCs w:val="1"/>
          <w:color w:val="auto"/>
        </w:rPr>
        <w:t xml:space="preserv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-2433320</wp:posOffset>
            </wp:positionV>
            <wp:extent cx="1885950" cy="2263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5950" cy="226314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1" w:lineRule="auto"/>
        <w:rPr>
          <w:sz w:val="20"/>
          <w:szCs w:val="20"/>
          <w:color w:val="auto"/>
        </w:rPr>
      </w:pPr>
      <w:r>
        <w:rPr>
          <w:rFonts w:ascii="Arial" w:cs="Arial" w:eastAsia="Arial" w:hAnsi="Arial"/>
          <w:sz w:val="16"/>
          <w:szCs w:val="16"/>
          <w:color w:val="auto"/>
        </w:rPr>
        <w:t>Audit</w:t>
      </w:r>
    </w:p>
    <w:p>
      <w:pPr>
        <w:spacing w:after="0"/>
        <w:rPr>
          <w:sz w:val="20"/>
          <w:szCs w:val="20"/>
          <w:color w:val="auto"/>
        </w:rPr>
      </w:pPr>
      <w:r>
        <w:rPr>
          <w:rFonts w:ascii="Arial" w:cs="Arial" w:eastAsia="Arial" w:hAnsi="Arial"/>
          <w:sz w:val="16"/>
          <w:szCs w:val="16"/>
          <w:color w:val="auto"/>
        </w:rPr>
        <w:t>Nomination and Governance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rPr>
          <w:sz w:val="20"/>
          <w:szCs w:val="20"/>
          <w:color w:val="auto"/>
        </w:rPr>
      </w:pPr>
      <w:r>
        <w:rPr>
          <w:rFonts w:ascii="Arial" w:cs="Arial" w:eastAsia="Arial" w:hAnsi="Arial"/>
          <w:sz w:val="16"/>
          <w:szCs w:val="16"/>
          <w:color w:val="auto"/>
        </w:rPr>
        <w:t>Sabre (NASDAQ: SABR) (since 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Ms. Paul is a proven leader and growth driver in technology-driven industries, with extensive financial, business development, and M&amp;A experience at global companies. Her service in executive roles at Lyft, Amazon, Hulu, and Disney, including most recently as CFO of Lyft, Inc., showcases her management expertise, global experience, and expertise in financial and strategic planning. This experience provides valuable insights to board deliberations on performance, risk identification, and operational strategy. Ms. Paul’s background informs her ability to provide key insights concerning long-term strategic and financial planning. We believe that Ms. Paul is qualified to serve as a member of our Board because of her experience as a CFO and in management, her deep finance and strategy expertise, transactional experience, and experience as a board member of a public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Lyft, Inc. </w:t>
      </w:r>
      <w:r>
        <w:rPr>
          <w:rFonts w:ascii="Arial" w:cs="Arial" w:eastAsia="Arial" w:hAnsi="Arial"/>
          <w:sz w:val="16"/>
          <w:szCs w:val="16"/>
          <w:color w:val="auto"/>
        </w:rPr>
        <w:t>(NASDAQ: LYFT), a peer-to-peer marketplace for on-demand ridesharing</w:t>
      </w:r>
    </w:p>
    <w:p>
      <w:pPr>
        <w:spacing w:after="0" w:line="5"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CFO (2022-2023)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Amazon Studios </w:t>
      </w:r>
      <w:r>
        <w:rPr>
          <w:rFonts w:ascii="Arial" w:cs="Arial" w:eastAsia="Arial" w:hAnsi="Arial"/>
          <w:sz w:val="16"/>
          <w:szCs w:val="16"/>
          <w:color w:val="auto"/>
        </w:rPr>
        <w:t>(NASDAQ: AMZN), a division of Amazon.com, Inc., an e-commerce company</w:t>
      </w:r>
    </w:p>
    <w:p>
      <w:pPr>
        <w:spacing w:after="0" w:line="19" w:lineRule="exact"/>
        <w:rPr>
          <w:sz w:val="20"/>
          <w:szCs w:val="20"/>
          <w:color w:val="auto"/>
        </w:rPr>
      </w:pPr>
    </w:p>
    <w:p>
      <w:pPr>
        <w:ind w:right="3540" w:firstLine="7"/>
        <w:spacing w:after="0" w:line="246" w:lineRule="auto"/>
        <w:tabs>
          <w:tab w:leader="none" w:pos="31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CFO and Vice President of Finance (2019-2021) </w:t>
      </w:r>
      <w:r>
        <w:rPr>
          <w:rFonts w:ascii="Arial" w:cs="Arial" w:eastAsia="Arial" w:hAnsi="Arial"/>
          <w:sz w:val="16"/>
          <w:szCs w:val="16"/>
          <w:b w:val="1"/>
          <w:bCs w:val="1"/>
          <w:color w:val="auto"/>
        </w:rPr>
        <w:t>Hulu, LLC</w:t>
      </w:r>
      <w:r>
        <w:rPr>
          <w:rFonts w:ascii="Arial" w:cs="Arial" w:eastAsia="Arial" w:hAnsi="Arial"/>
          <w:sz w:val="16"/>
          <w:szCs w:val="16"/>
          <w:color w:val="auto"/>
        </w:rPr>
        <w:t>, a streaming service company</w:t>
      </w:r>
    </w:p>
    <w:p>
      <w:pPr>
        <w:ind w:left="320" w:hanging="313"/>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CFO (2013-2019)</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Walt Disney Company </w:t>
      </w:r>
      <w:r>
        <w:rPr>
          <w:rFonts w:ascii="Arial" w:cs="Arial" w:eastAsia="Arial" w:hAnsi="Arial"/>
          <w:sz w:val="16"/>
          <w:szCs w:val="16"/>
          <w:color w:val="auto"/>
        </w:rPr>
        <w:t>(NYSE: DIS), a global entertainment company</w:t>
      </w:r>
    </w:p>
    <w:p>
      <w:pPr>
        <w:spacing w:after="0" w:line="9" w:lineRule="exact"/>
        <w:rPr>
          <w:sz w:val="20"/>
          <w:szCs w:val="20"/>
          <w:color w:val="auto"/>
        </w:rPr>
      </w:pPr>
    </w:p>
    <w:p>
      <w:pPr>
        <w:ind w:left="340" w:hanging="333"/>
        <w:spacing w:after="0" w:line="283" w:lineRule="auto"/>
        <w:tabs>
          <w:tab w:leader="none" w:pos="3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Various senior positions, including as Senior Vice President, Corporate Strategy, Business Development and Technology (1994-2013)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 Economics and History, Stanford</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MBA,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353695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3140" w:space="720"/>
            <w:col w:w="7340"/>
          </w:cols>
          <w:pgMar w:left="340" w:top="123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200"/>
        <w:spacing w:after="0"/>
        <w:rPr>
          <w:sz w:val="20"/>
          <w:szCs w:val="20"/>
          <w:color w:val="auto"/>
        </w:rPr>
      </w:pPr>
      <w:r>
        <w:rPr>
          <w:sz w:val="1"/>
          <w:szCs w:val="1"/>
          <w:color w:val="auto"/>
        </w:rPr>
        <w:drawing>
          <wp:inline distT="0" distB="0" distL="0" distR="0">
            <wp:extent cx="1105535" cy="1543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5"/>
          <w:szCs w:val="15"/>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36" w:right="35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9"/>
          <w:szCs w:val="19"/>
          <w:b w:val="1"/>
          <w:bCs w:val="1"/>
          <w:color w:val="auto"/>
        </w:rPr>
        <w:t>Kiran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-2378710</wp:posOffset>
            </wp:positionV>
            <wp:extent cx="1885950" cy="2219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0" cy="221996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Committees:</w:t>
      </w:r>
    </w:p>
    <w:p>
      <w:pPr>
        <w:ind w:left="20"/>
        <w:spacing w:after="0" w:line="211" w:lineRule="auto"/>
        <w:rPr>
          <w:sz w:val="20"/>
          <w:szCs w:val="20"/>
          <w:color w:val="auto"/>
        </w:rPr>
      </w:pPr>
      <w:r>
        <w:rPr>
          <w:rFonts w:ascii="Arial" w:cs="Arial" w:eastAsia="Arial" w:hAnsi="Arial"/>
          <w:sz w:val="16"/>
          <w:szCs w:val="16"/>
          <w:color w:val="auto"/>
        </w:rPr>
        <w:t>Compensation</w:t>
      </w:r>
    </w:p>
    <w:p>
      <w:pPr>
        <w:ind w:left="20"/>
        <w:spacing w:after="0"/>
        <w:rPr>
          <w:sz w:val="20"/>
          <w:szCs w:val="20"/>
          <w:color w:val="auto"/>
        </w:rPr>
      </w:pPr>
      <w:r>
        <w:rPr>
          <w:rFonts w:ascii="Arial" w:cs="Arial" w:eastAsia="Arial" w:hAnsi="Arial"/>
          <w:sz w:val="16"/>
          <w:szCs w:val="16"/>
          <w:color w:val="auto"/>
        </w:rPr>
        <w:t>Payments Innovation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Mr. Prasad is an accomplished engineer and product strategist with a proven track record of developing innovative consumer platforms. With over 20 years of engineering and product development experience, he has successfully led global brands and managed international teams. In addition to his deep knowledge of mobile and desktop application technology, he brings valuable expertise in strategic planning, product development, and enhancing the consumer experience. We believe that Mr. Prasad is qualified to serve as a member of our Board because of his extensive business experience in product and technology, his experience in management, and his knowledge of the industry that we operate in.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McKinsey &amp; Company</w:t>
      </w:r>
      <w:r>
        <w:rPr>
          <w:rFonts w:ascii="Arial" w:cs="Arial" w:eastAsia="Arial" w:hAnsi="Arial"/>
          <w:sz w:val="16"/>
          <w:szCs w:val="16"/>
          <w:color w:val="auto"/>
        </w:rPr>
        <w:t>, a strategic management consulting group</w:t>
      </w:r>
    </w:p>
    <w:p>
      <w:pPr>
        <w:spacing w:after="0" w:line="19" w:lineRule="exact"/>
        <w:rPr>
          <w:sz w:val="20"/>
          <w:szCs w:val="20"/>
          <w:color w:val="auto"/>
        </w:rPr>
      </w:pPr>
    </w:p>
    <w:p>
      <w:pPr>
        <w:ind w:right="4320" w:firstLine="7"/>
        <w:spacing w:after="0" w:line="246" w:lineRule="auto"/>
        <w:tabs>
          <w:tab w:leader="none" w:pos="31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Senior Business Advisor (since 2025) </w:t>
      </w:r>
      <w:r>
        <w:rPr>
          <w:rFonts w:ascii="Arial" w:cs="Arial" w:eastAsia="Arial" w:hAnsi="Arial"/>
          <w:sz w:val="16"/>
          <w:szCs w:val="16"/>
          <w:b w:val="1"/>
          <w:bCs w:val="1"/>
          <w:color w:val="auto"/>
        </w:rPr>
        <w:t>Big Basin Labs</w:t>
      </w:r>
      <w:r>
        <w:rPr>
          <w:rFonts w:ascii="Arial" w:cs="Arial" w:eastAsia="Arial" w:hAnsi="Arial"/>
          <w:sz w:val="16"/>
          <w:szCs w:val="16"/>
          <w:color w:val="auto"/>
        </w:rPr>
        <w:t>, a software company</w:t>
      </w:r>
    </w:p>
    <w:p>
      <w:pPr>
        <w:ind w:left="320" w:hanging="313"/>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CEO &amp; Co Founder (since 2024)</w:t>
      </w:r>
    </w:p>
    <w:p>
      <w:pPr>
        <w:spacing w:after="0" w:line="15"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NextDoor Holdings </w:t>
      </w:r>
      <w:r>
        <w:rPr>
          <w:rFonts w:ascii="Arial" w:cs="Arial" w:eastAsia="Arial" w:hAnsi="Arial"/>
          <w:sz w:val="16"/>
          <w:szCs w:val="16"/>
          <w:color w:val="auto"/>
        </w:rPr>
        <w:t>(NYSE: KIND), a social media company that operates a networking service for</w:t>
      </w:r>
      <w:r>
        <w:rPr>
          <w:rFonts w:ascii="Arial" w:cs="Arial" w:eastAsia="Arial" w:hAnsi="Arial"/>
          <w:sz w:val="16"/>
          <w:szCs w:val="16"/>
          <w:b w:val="1"/>
          <w:bCs w:val="1"/>
          <w:color w:val="auto"/>
        </w:rPr>
        <w:t xml:space="preserve"> </w:t>
      </w:r>
      <w:r>
        <w:rPr>
          <w:rFonts w:ascii="Arial" w:cs="Arial" w:eastAsia="Arial" w:hAnsi="Arial"/>
          <w:sz w:val="16"/>
          <w:szCs w:val="16"/>
          <w:color w:val="auto"/>
        </w:rPr>
        <w:t>neighborhoods</w:t>
      </w:r>
    </w:p>
    <w:p>
      <w:pPr>
        <w:ind w:left="320" w:hanging="313"/>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Head of Product (2021-2023)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LinkedIn</w:t>
      </w:r>
      <w:r>
        <w:rPr>
          <w:rFonts w:ascii="Arial" w:cs="Arial" w:eastAsia="Arial" w:hAnsi="Arial"/>
          <w:sz w:val="16"/>
          <w:szCs w:val="16"/>
          <w:color w:val="auto"/>
        </w:rPr>
        <w:t>, a networking-focused social media platform and subsidiary of Microsoft Corporation</w:t>
      </w:r>
    </w:p>
    <w:p>
      <w:pPr>
        <w:spacing w:after="0" w:line="9"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VP of Product (2018-2021)</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Various senior engineering roles (2011-2018)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BS, Computer Science and Computational Mathematics, Michigan State University</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Computer Science,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336550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40"/>
          </w:cols>
          <w:pgMar w:left="320" w:top="10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208280</wp:posOffset>
            </wp:positionH>
            <wp:positionV relativeFrom="page">
              <wp:posOffset>749300</wp:posOffset>
            </wp:positionV>
            <wp:extent cx="71405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71450"/>
                    </a:xfrm>
                    <a:prstGeom prst="rect">
                      <a:avLst/>
                    </a:prstGeom>
                    <a:noFill/>
                  </pic:spPr>
                </pic:pic>
              </a:graphicData>
            </a:graphic>
          </wp:anchor>
        </w:drawing>
        <w:t>Incumbent Directors Whose Terms Expire in 2028 (Class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405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Jason Gardner</w:t>
      </w:r>
    </w:p>
    <w:p>
      <w:pPr>
        <w:spacing w:after="0" w:line="4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1885950" cy="2202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2202815"/>
                    </a:xfrm>
                    <a:prstGeom prst="rect">
                      <a:avLst/>
                    </a:prstGeom>
                    <a:noFill/>
                  </pic:spPr>
                </pic:pic>
              </a:graphicData>
            </a:graphic>
          </wp:anchor>
        </w:drawing>
      </w:r>
    </w:p>
    <w:p>
      <w:pPr>
        <w:spacing w:after="0" w:line="10" w:lineRule="exact"/>
        <w:rPr>
          <w:sz w:val="20"/>
          <w:szCs w:val="20"/>
          <w:color w:val="auto"/>
        </w:rPr>
      </w:pPr>
    </w:p>
    <w:p>
      <w:pPr>
        <w:jc w:val="both"/>
        <w:ind w:left="3860"/>
        <w:spacing w:after="0" w:line="255" w:lineRule="auto"/>
        <w:rPr>
          <w:sz w:val="20"/>
          <w:szCs w:val="20"/>
          <w:color w:val="auto"/>
        </w:rPr>
      </w:pPr>
      <w:r>
        <w:rPr>
          <w:rFonts w:ascii="Arial" w:cs="Arial" w:eastAsia="Arial" w:hAnsi="Arial"/>
          <w:sz w:val="16"/>
          <w:szCs w:val="16"/>
          <w:color w:val="auto"/>
        </w:rPr>
        <w:t>Mr. Gardner’s extensive career in the IT and financial services sectors is highlighted by his experience as Marqeta’s Founder and former Chief Executive Officer. Having founded several other firms, Mr. Gardner provides a critical entrepreneurial perspective as well as strategic planning, market analysis, and stakeholder management expertise. His unique insights into the electronic payments space and the innovation required to effectively meet customer demands are instrumental to advancing Marqeta’s strategy. We believe that Mr. Gardner is qualified to serve as a member of our Board because of his experience and perspective as our Founder and former Chief Executive Officer.</w:t>
      </w:r>
    </w:p>
    <w:p>
      <w:pPr>
        <w:spacing w:after="0" w:line="2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 xml:space="preserve">Marqeta, Inc. </w:t>
      </w:r>
      <w:r>
        <w:rPr>
          <w:rFonts w:ascii="Arial" w:cs="Arial" w:eastAsia="Arial" w:hAnsi="Arial"/>
          <w:sz w:val="16"/>
          <w:szCs w:val="16"/>
          <w:color w:val="auto"/>
        </w:rPr>
        <w:t>(NASDAQ: MQ)</w:t>
      </w:r>
    </w:p>
    <w:p>
      <w:pPr>
        <w:spacing w:after="0" w:line="5" w:lineRule="exact"/>
        <w:rPr>
          <w:sz w:val="20"/>
          <w:szCs w:val="20"/>
          <w:color w:val="auto"/>
        </w:rPr>
      </w:pPr>
    </w:p>
    <w:p>
      <w:pPr>
        <w:ind w:left="4180" w:hanging="313"/>
        <w:spacing w:after="0"/>
        <w:tabs>
          <w:tab w:leader="none" w:pos="4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Executive Chair (2023–2024)</w:t>
      </w:r>
    </w:p>
    <w:p>
      <w:pPr>
        <w:spacing w:after="0" w:line="14" w:lineRule="exact"/>
        <w:rPr>
          <w:rFonts w:ascii="Arial" w:cs="Arial" w:eastAsia="Arial" w:hAnsi="Arial"/>
          <w:sz w:val="16"/>
          <w:szCs w:val="16"/>
          <w:color w:val="auto"/>
        </w:rPr>
      </w:pPr>
    </w:p>
    <w:p>
      <w:pPr>
        <w:ind w:left="4180" w:hanging="313"/>
        <w:spacing w:after="0"/>
        <w:tabs>
          <w:tab w:leader="none" w:pos="4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Founder and CEO (2010–2023)</w:t>
      </w:r>
    </w:p>
    <w:p>
      <w:pPr>
        <w:spacing w:after="0" w:line="2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4180" w:hanging="313"/>
        <w:spacing w:after="0"/>
        <w:tabs>
          <w:tab w:leader="none" w:pos="4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 Political Science, Arizona State University</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p>
      <w:pPr>
        <w:spacing w:after="0"/>
        <w:rPr>
          <w:sz w:val="20"/>
          <w:szCs w:val="20"/>
          <w:color w:val="auto"/>
        </w:rPr>
      </w:pPr>
      <w:r>
        <w:rPr>
          <w:rFonts w:ascii="Arial" w:cs="Arial" w:eastAsia="Arial" w:hAnsi="Arial"/>
          <w:sz w:val="16"/>
          <w:szCs w:val="16"/>
          <w:color w:val="auto"/>
        </w:rPr>
        <w:t>Payments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4057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R. Mark Graf</w:t>
      </w:r>
    </w:p>
    <w:p>
      <w:pPr>
        <w:spacing w:after="0" w:line="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1885950" cy="2486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0" cy="2486025"/>
                    </a:xfrm>
                    <a:prstGeom prst="rect">
                      <a:avLst/>
                    </a:prstGeom>
                    <a:noFill/>
                  </pic:spPr>
                </pic:pic>
              </a:graphicData>
            </a:graphic>
          </wp:anchor>
        </w:drawing>
      </w:r>
    </w:p>
    <w:p>
      <w:pPr>
        <w:spacing w:after="0" w:line="10" w:lineRule="exact"/>
        <w:rPr>
          <w:sz w:val="20"/>
          <w:szCs w:val="20"/>
          <w:color w:val="auto"/>
        </w:rPr>
      </w:pPr>
    </w:p>
    <w:p>
      <w:pPr>
        <w:jc w:val="both"/>
        <w:ind w:left="3860"/>
        <w:spacing w:after="0" w:line="255" w:lineRule="auto"/>
        <w:rPr>
          <w:sz w:val="20"/>
          <w:szCs w:val="20"/>
          <w:color w:val="auto"/>
        </w:rPr>
      </w:pPr>
      <w:r>
        <w:rPr>
          <w:rFonts w:ascii="Arial" w:cs="Arial" w:eastAsia="Arial" w:hAnsi="Arial"/>
          <w:sz w:val="16"/>
          <w:szCs w:val="16"/>
          <w:color w:val="auto"/>
        </w:rPr>
        <w:t>Mr. Graf has more than 30 years of experience in treasury, financial planning, accounting, corporate development, and business line management at major public financial firms. His extensive expertise in capital analysis, consumer credit, and financial management, along with his experience in risk management enables him to provide valuable insights to the Board as it oversees strategy and business development. We believe that Mr. Graf is qualified to serve as a member of our Board because of his experience in management and his knowledge of the global financial services and payments industry.</w:t>
      </w:r>
    </w:p>
    <w:p>
      <w:pPr>
        <w:spacing w:after="0" w:line="2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 xml:space="preserve">Discover Financial Services </w:t>
      </w:r>
      <w:r>
        <w:rPr>
          <w:rFonts w:ascii="Arial" w:cs="Arial" w:eastAsia="Arial" w:hAnsi="Arial"/>
          <w:sz w:val="16"/>
          <w:szCs w:val="16"/>
          <w:color w:val="auto"/>
        </w:rPr>
        <w:t>(NYSE: DFS), an American financial services firm</w:t>
      </w:r>
    </w:p>
    <w:p>
      <w:pPr>
        <w:spacing w:after="0" w:line="5" w:lineRule="exact"/>
        <w:rPr>
          <w:sz w:val="20"/>
          <w:szCs w:val="20"/>
          <w:color w:val="auto"/>
        </w:rPr>
      </w:pPr>
    </w:p>
    <w:p>
      <w:pPr>
        <w:ind w:left="4180" w:hanging="313"/>
        <w:spacing w:after="0"/>
        <w:tabs>
          <w:tab w:leader="none" w:pos="4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CFO (2011-2019)</w:t>
      </w:r>
    </w:p>
    <w:p>
      <w:pPr>
        <w:spacing w:after="0" w:line="14" w:lineRule="exact"/>
        <w:rPr>
          <w:rFonts w:ascii="Arial" w:cs="Arial" w:eastAsia="Arial" w:hAnsi="Arial"/>
          <w:sz w:val="16"/>
          <w:szCs w:val="16"/>
          <w:color w:val="auto"/>
        </w:rPr>
      </w:pPr>
    </w:p>
    <w:p>
      <w:pPr>
        <w:ind w:left="4180" w:hanging="313"/>
        <w:spacing w:after="0"/>
        <w:tabs>
          <w:tab w:leader="none" w:pos="4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Chief Accounting Officer (2011-2012)</w:t>
      </w:r>
    </w:p>
    <w:p>
      <w:pPr>
        <w:spacing w:after="0" w:line="2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4180" w:hanging="313"/>
        <w:spacing w:after="0"/>
        <w:tabs>
          <w:tab w:leader="none" w:pos="4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BS, Economics, Wharton School of Business, University of Pennsylvania</w:t>
      </w:r>
    </w:p>
    <w:p>
      <w:pPr>
        <w:spacing w:after="0" w:line="200" w:lineRule="exact"/>
        <w:rPr>
          <w:sz w:val="20"/>
          <w:szCs w:val="20"/>
          <w:color w:val="auto"/>
        </w:rPr>
      </w:pPr>
    </w:p>
    <w:p>
      <w:pPr>
        <w:spacing w:after="0" w:line="32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ge:</w:t>
      </w:r>
      <w:r>
        <w:rPr>
          <w:rFonts w:ascii="Arial" w:cs="Arial" w:eastAsia="Arial" w:hAnsi="Arial"/>
          <w:sz w:val="18"/>
          <w:szCs w:val="18"/>
          <w:b w:val="1"/>
          <w:bCs w:val="1"/>
          <w:color w:val="auto"/>
        </w:rPr>
        <w:t xml:space="preserve"> </w:t>
      </w:r>
      <w:r>
        <w:rPr>
          <w:rFonts w:ascii="Arial" w:cs="Arial" w:eastAsia="Arial" w:hAnsi="Arial"/>
          <w:sz w:val="16"/>
          <w:szCs w:val="16"/>
          <w:color w:val="auto"/>
        </w:rPr>
        <w:t>61</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rPr>
          <w:sz w:val="20"/>
          <w:szCs w:val="20"/>
          <w:color w:val="auto"/>
        </w:rPr>
      </w:pPr>
      <w:r>
        <w:rPr>
          <w:rFonts w:ascii="Arial" w:cs="Arial" w:eastAsia="Arial" w:hAnsi="Arial"/>
          <w:sz w:val="16"/>
          <w:szCs w:val="16"/>
          <w:color w:val="auto"/>
        </w:rPr>
        <w:t>Audit (Chair)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line="211" w:lineRule="auto"/>
        <w:rPr>
          <w:sz w:val="20"/>
          <w:szCs w:val="20"/>
          <w:color w:val="auto"/>
        </w:rPr>
      </w:pPr>
      <w:r>
        <w:rPr>
          <w:rFonts w:ascii="Arial" w:cs="Arial" w:eastAsia="Arial" w:hAnsi="Arial"/>
          <w:sz w:val="16"/>
          <w:szCs w:val="16"/>
          <w:color w:val="auto"/>
        </w:rPr>
        <w:t>Harmony Biosciences Holdings (NASDAQ: HRMY)</w:t>
      </w:r>
    </w:p>
    <w:p>
      <w:pPr>
        <w:spacing w:after="0" w:line="211" w:lineRule="auto"/>
        <w:rPr>
          <w:sz w:val="20"/>
          <w:szCs w:val="20"/>
          <w:color w:val="auto"/>
        </w:rPr>
      </w:pPr>
      <w:r>
        <w:rPr>
          <w:rFonts w:ascii="Arial" w:cs="Arial" w:eastAsia="Arial" w:hAnsi="Arial"/>
          <w:sz w:val="16"/>
          <w:szCs w:val="16"/>
          <w:color w:val="auto"/>
        </w:rPr>
        <w:t>(since 2020)</w:t>
      </w:r>
    </w:p>
    <w:p>
      <w:pPr>
        <w:spacing w:after="0"/>
        <w:rPr>
          <w:sz w:val="20"/>
          <w:szCs w:val="20"/>
          <w:color w:val="auto"/>
        </w:rPr>
      </w:pPr>
      <w:r>
        <w:rPr>
          <w:rFonts w:ascii="Arial" w:cs="Arial" w:eastAsia="Arial" w:hAnsi="Arial"/>
          <w:sz w:val="16"/>
          <w:szCs w:val="16"/>
          <w:color w:val="auto"/>
        </w:rPr>
        <w:t>Signet Jewelers Ltd. (NYSE: SIG)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1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200"/>
        <w:spacing w:after="0"/>
        <w:rPr>
          <w:sz w:val="20"/>
          <w:szCs w:val="20"/>
          <w:color w:val="auto"/>
        </w:rPr>
      </w:pPr>
      <w:r>
        <w:rPr>
          <w:sz w:val="1"/>
          <w:szCs w:val="1"/>
          <w:color w:val="auto"/>
        </w:rPr>
        <w:drawing>
          <wp:inline distT="0" distB="0" distL="0" distR="0">
            <wp:extent cx="1105535" cy="1543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5"/>
          <w:szCs w:val="15"/>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2" w:right="35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4057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80340"/>
                    </a:xfrm>
                    <a:prstGeom prst="rect">
                      <a:avLst/>
                    </a:prstGeom>
                    <a:noFill/>
                  </pic:spPr>
                </pic:pic>
              </a:graphicData>
            </a:graphic>
          </wp:anchor>
        </w:drawing>
        <w:t>Wendy Thomas</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ge:</w:t>
      </w:r>
      <w:r>
        <w:rPr>
          <w:rFonts w:ascii="Arial" w:cs="Arial" w:eastAsia="Arial" w:hAnsi="Arial"/>
          <w:sz w:val="18"/>
          <w:szCs w:val="18"/>
          <w:b w:val="1"/>
          <w:bCs w:val="1"/>
          <w:color w:val="auto"/>
        </w:rPr>
        <w:t xml:space="preserve"> </w:t>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-2227580</wp:posOffset>
            </wp:positionV>
            <wp:extent cx="1885950" cy="2057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0" cy="205740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Committees:</w:t>
      </w:r>
    </w:p>
    <w:p>
      <w:pPr>
        <w:ind w:left="20"/>
        <w:spacing w:after="0" w:line="211" w:lineRule="auto"/>
        <w:rPr>
          <w:sz w:val="20"/>
          <w:szCs w:val="20"/>
          <w:color w:val="auto"/>
        </w:rPr>
      </w:pPr>
      <w:r>
        <w:rPr>
          <w:rFonts w:ascii="Arial" w:cs="Arial" w:eastAsia="Arial" w:hAnsi="Arial"/>
          <w:sz w:val="16"/>
          <w:szCs w:val="16"/>
          <w:color w:val="auto"/>
        </w:rPr>
        <w:t>Audit</w:t>
      </w:r>
    </w:p>
    <w:p>
      <w:pPr>
        <w:ind w:left="20"/>
        <w:spacing w:after="0"/>
        <w:rPr>
          <w:sz w:val="20"/>
          <w:szCs w:val="20"/>
          <w:color w:val="auto"/>
        </w:rPr>
      </w:pPr>
      <w:r>
        <w:rPr>
          <w:rFonts w:ascii="Arial" w:cs="Arial" w:eastAsia="Arial" w:hAnsi="Arial"/>
          <w:sz w:val="16"/>
          <w:szCs w:val="16"/>
          <w:color w:val="auto"/>
        </w:rPr>
        <w:t>Payments Innovation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ind w:left="20"/>
        <w:spacing w:after="0" w:line="211" w:lineRule="auto"/>
        <w:rPr>
          <w:sz w:val="20"/>
          <w:szCs w:val="20"/>
          <w:color w:val="auto"/>
        </w:rPr>
      </w:pPr>
      <w:r>
        <w:rPr>
          <w:rFonts w:ascii="Arial" w:cs="Arial" w:eastAsia="Arial" w:hAnsi="Arial"/>
          <w:sz w:val="16"/>
          <w:szCs w:val="16"/>
          <w:color w:val="auto"/>
        </w:rPr>
        <w:t>SecureWorks Corp. (previously public) (2021-2025)</w:t>
      </w:r>
    </w:p>
    <w:p>
      <w:pPr>
        <w:ind w:left="20"/>
        <w:spacing w:after="0"/>
        <w:rPr>
          <w:sz w:val="20"/>
          <w:szCs w:val="20"/>
          <w:color w:val="auto"/>
        </w:rPr>
      </w:pPr>
      <w:r>
        <w:rPr>
          <w:rFonts w:ascii="Arial" w:cs="Arial" w:eastAsia="Arial" w:hAnsi="Arial"/>
          <w:sz w:val="16"/>
          <w:szCs w:val="16"/>
          <w:color w:val="auto"/>
        </w:rPr>
        <w:t>IonQ, Inc. (2022-2025)</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Board Contributions and Qualifications</w:t>
      </w:r>
    </w:p>
    <w:p>
      <w:pPr>
        <w:spacing w:after="0" w:line="3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Ms. Thomas is a renowned business leader in global cybersecurity and a senior finance executive with over 25 years of experience in strategic and functional leadership roles across multiple technology-driven companies, including in her most recent role as CEO of global cybersecurity company, Secureworks. Her experience in management, deep knowledge of cybersecurity, and expertise in finance and strategic planning provides valuable insights to board deliberations on performance, risk identification, and operational strategy. We believe that Ms. Thomas is qualified to serve as a member of our Board because of her experience in management, knowledge of global cybersecurity and finance trends, and her experience as a board member of public companies.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color w:val="auto"/>
        </w:rPr>
        <w:t xml:space="preserve">SecureWorks Corp. </w:t>
      </w:r>
      <w:r>
        <w:rPr>
          <w:rFonts w:ascii="Arial" w:cs="Arial" w:eastAsia="Arial" w:hAnsi="Arial"/>
          <w:sz w:val="16"/>
          <w:szCs w:val="16"/>
          <w:color w:val="auto"/>
        </w:rPr>
        <w:t>(formerly NASDAQ: SCWX), a global cybersecurity company acquired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Sophos in 2025</w:t>
      </w:r>
    </w:p>
    <w:p>
      <w:pPr>
        <w:spacing w:after="0" w:line="1" w:lineRule="exact"/>
        <w:rPr>
          <w:sz w:val="20"/>
          <w:szCs w:val="20"/>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Chief Executive Officer (2021-2025)</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President (2020-2023)</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Senior Vice President of Strategy and Chief Product Officer (2018-2020)</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Vice President, Strategic &amp; Financial Planning (2015-2018)</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30" w:lineRule="exact"/>
        <w:rPr>
          <w:sz w:val="20"/>
          <w:szCs w:val="20"/>
          <w:color w:val="auto"/>
        </w:rPr>
      </w:pPr>
    </w:p>
    <w:p>
      <w:pPr>
        <w:ind w:left="320" w:hanging="313"/>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 Economics and Foreign Affairs, University of Virginia</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MBA, Finance, University of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741680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1" w:lineRule="exact"/>
        <w:rPr>
          <w:sz w:val="20"/>
          <w:szCs w:val="20"/>
          <w:color w:val="auto"/>
        </w:rPr>
      </w:pPr>
    </w:p>
    <w:p>
      <w:pPr>
        <w:sectPr>
          <w:pgSz w:w="11900" w:h="16838" w:orient="portrait"/>
          <w:cols w:equalWidth="0" w:num="2">
            <w:col w:w="3720" w:space="160"/>
            <w:col w:w="7360"/>
          </w:cols>
          <w:pgMar w:left="320" w:top="108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Class A common stock is listed on Nasdaq. Under the listing standards of Nasdaq, a majority of our Board must be independent directors. In addition, the listing standards of Nasdaq require that, subject to specified exceptions, each member of a listed company’s audit, compensation, and nomination and governance committees be independent. Audit committee members and compensation committee members must also satisfy the independence criteria set forth in Rule 10A-3 and Rule 10C-1, respectively, under the Securities Exchange Act of 1934, as amended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undertaken a review of the independence of each director and director nominee and has determined that each of Mmes. Atkinson, Cummings, Paul, and Thomas and Messrs. Chokshi, Graf, Linville, and Prasad is “independent” as that term is defined under the listing standards of Nasdaq. In making these determinations, our Board considered the current and prior relationships that each director has with our Company and all other facts and circumstances our Board deemed relevant in determining their independence, including the beneficial ownership of our capital stock by each director, and the transactions involving them described in the section titled “Certain Relationships and Related Person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Corporate Governance Guidelines allow our Board to determine the board leadership structure that best serves the interests of Marqeta and our stockholders based on the evolving needs of the Company.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Linville has served as independent Board Chair since June 2024. As Board Chair, Mr. Linville presides over meetings of our Board and promotes effective communication and consideration of matters presented to the Board through his role in participating in the development of meeting</w:t>
      </w:r>
    </w:p>
    <w:p>
      <w:pPr>
        <w:spacing w:after="0" w:line="200" w:lineRule="exact"/>
        <w:rPr>
          <w:sz w:val="20"/>
          <w:szCs w:val="20"/>
          <w:color w:val="auto"/>
        </w:rPr>
      </w:pPr>
    </w:p>
    <w:p>
      <w:pPr>
        <w:spacing w:after="0" w:line="3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agendas, advising committee chairs, and facilitating communications between independent directors, the former Executive Chairman, and management. Our Board believes that Mr. Linville brings abundant financial expertise and business acumen from his extensive experience in the financial industry, as well as his past experience as the Chief Executive Officer of Global Cards and Consumer Services at Citigroup Inc., and in various leadership roles at American Express Company, that helps ensure strong and independent oversight and effective collaboration among the directors.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Board believes this leadership structure sets an appropriate tone for effective and efficient leadership and oversight by independent directors.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97790</wp:posOffset>
            </wp:positionV>
            <wp:extent cx="5958205" cy="2392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58205" cy="2392045"/>
                    </a:xfrm>
                    <a:prstGeom prst="rect">
                      <a:avLst/>
                    </a:prstGeom>
                    <a:noFill/>
                  </pic:spPr>
                </pic:pic>
              </a:graphicData>
            </a:graphic>
          </wp:anchor>
        </w:drawing>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000" w:type="dxa"/>
            <w:vAlign w:val="bottom"/>
            <w:shd w:val="clear" w:color="auto" w:fill="929292"/>
          </w:tcPr>
          <w:p>
            <w:pPr>
              <w:spacing w:after="0"/>
              <w:rPr>
                <w:sz w:val="17"/>
                <w:szCs w:val="17"/>
                <w:color w:val="auto"/>
              </w:rPr>
            </w:pPr>
          </w:p>
        </w:tc>
        <w:tc>
          <w:tcPr>
            <w:tcW w:w="3160" w:type="dxa"/>
            <w:vAlign w:val="bottom"/>
            <w:vMerge w:val="restart"/>
            <w:shd w:val="clear" w:color="auto" w:fill="929292"/>
          </w:tcPr>
          <w:p>
            <w:pPr>
              <w:jc w:val="center"/>
              <w:ind w:left="310"/>
              <w:spacing w:after="0"/>
              <w:rPr>
                <w:sz w:val="20"/>
                <w:szCs w:val="20"/>
                <w:color w:val="auto"/>
              </w:rPr>
            </w:pPr>
            <w:r>
              <w:rPr>
                <w:rFonts w:ascii="Arial" w:cs="Arial" w:eastAsia="Arial" w:hAnsi="Arial"/>
                <w:sz w:val="18"/>
                <w:szCs w:val="18"/>
                <w:b w:val="1"/>
                <w:bCs w:val="1"/>
                <w:color w:val="FFFFFF"/>
              </w:rPr>
              <w:t>Members</w:t>
            </w:r>
          </w:p>
        </w:tc>
        <w:tc>
          <w:tcPr>
            <w:tcW w:w="2200" w:type="dxa"/>
            <w:vAlign w:val="bottom"/>
            <w:shd w:val="clear" w:color="auto" w:fill="929292"/>
          </w:tcPr>
          <w:p>
            <w:pPr>
              <w:ind w:left="340"/>
              <w:spacing w:after="0"/>
              <w:rPr>
                <w:sz w:val="20"/>
                <w:szCs w:val="20"/>
                <w:color w:val="auto"/>
              </w:rPr>
            </w:pPr>
            <w:r>
              <w:rPr>
                <w:rFonts w:ascii="Arial" w:cs="Arial" w:eastAsia="Arial" w:hAnsi="Arial"/>
                <w:sz w:val="18"/>
                <w:szCs w:val="18"/>
                <w:b w:val="1"/>
                <w:bCs w:val="1"/>
                <w:color w:val="FFFFFF"/>
                <w:w w:val="99"/>
              </w:rPr>
              <w:t>Meetings Held During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929292"/>
          </w:tcPr>
          <w:p>
            <w:pPr>
              <w:spacing w:after="0"/>
              <w:rPr>
                <w:sz w:val="13"/>
                <w:szCs w:val="13"/>
                <w:color w:val="auto"/>
              </w:rPr>
            </w:pPr>
          </w:p>
        </w:tc>
        <w:tc>
          <w:tcPr>
            <w:tcW w:w="3160" w:type="dxa"/>
            <w:vAlign w:val="bottom"/>
            <w:vMerge w:val="continue"/>
            <w:shd w:val="clear" w:color="auto" w:fill="929292"/>
          </w:tcPr>
          <w:p>
            <w:pPr>
              <w:spacing w:after="0"/>
              <w:rPr>
                <w:sz w:val="13"/>
                <w:szCs w:val="13"/>
                <w:color w:val="auto"/>
              </w:rPr>
            </w:pPr>
          </w:p>
        </w:tc>
        <w:tc>
          <w:tcPr>
            <w:tcW w:w="2200" w:type="dxa"/>
            <w:vAlign w:val="bottom"/>
            <w:vMerge w:val="restart"/>
            <w:shd w:val="clear" w:color="auto" w:fill="929292"/>
          </w:tcPr>
          <w:p>
            <w:pPr>
              <w:jc w:val="center"/>
              <w:ind w:left="230"/>
              <w:spacing w:after="0"/>
              <w:rPr>
                <w:sz w:val="20"/>
                <w:szCs w:val="20"/>
                <w:color w:val="auto"/>
              </w:rPr>
            </w:pPr>
            <w:r>
              <w:rPr>
                <w:rFonts w:ascii="Arial" w:cs="Arial" w:eastAsia="Arial" w:hAnsi="Arial"/>
                <w:sz w:val="18"/>
                <w:szCs w:val="18"/>
                <w:b w:val="1"/>
                <w:bCs w:val="1"/>
                <w:color w:val="FFFFFF"/>
                <w:w w:val="99"/>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00" w:type="dxa"/>
            <w:vAlign w:val="bottom"/>
            <w:tcBorders>
              <w:bottom w:val="single" w:sz="8" w:color="auto"/>
            </w:tcBorders>
            <w:shd w:val="clear" w:color="auto" w:fill="929292"/>
          </w:tcPr>
          <w:p>
            <w:pPr>
              <w:spacing w:after="0"/>
              <w:rPr>
                <w:sz w:val="7"/>
                <w:szCs w:val="7"/>
                <w:color w:val="auto"/>
              </w:rPr>
            </w:pPr>
          </w:p>
        </w:tc>
        <w:tc>
          <w:tcPr>
            <w:tcW w:w="3160" w:type="dxa"/>
            <w:vAlign w:val="bottom"/>
            <w:tcBorders>
              <w:bottom w:val="single" w:sz="8" w:color="auto"/>
            </w:tcBorders>
            <w:shd w:val="clear" w:color="auto" w:fill="929292"/>
          </w:tcPr>
          <w:p>
            <w:pPr>
              <w:spacing w:after="0"/>
              <w:rPr>
                <w:sz w:val="7"/>
                <w:szCs w:val="7"/>
                <w:color w:val="auto"/>
              </w:rPr>
            </w:pPr>
          </w:p>
        </w:tc>
        <w:tc>
          <w:tcPr>
            <w:tcW w:w="2200" w:type="dxa"/>
            <w:vAlign w:val="bottom"/>
            <w:tcBorders>
              <w:bottom w:val="single" w:sz="8" w:color="auto"/>
            </w:tcBorders>
            <w:vMerge w:val="continue"/>
            <w:shd w:val="clear" w:color="auto" w:fill="92929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3160" w:type="dxa"/>
            <w:vAlign w:val="bottom"/>
          </w:tcPr>
          <w:p>
            <w:pPr>
              <w:jc w:val="center"/>
              <w:ind w:left="290"/>
              <w:spacing w:after="0"/>
              <w:rPr>
                <w:sz w:val="20"/>
                <w:szCs w:val="20"/>
                <w:color w:val="auto"/>
              </w:rPr>
            </w:pPr>
            <w:r>
              <w:rPr>
                <w:rFonts w:ascii="Arial" w:cs="Arial" w:eastAsia="Arial" w:hAnsi="Arial"/>
                <w:sz w:val="18"/>
                <w:szCs w:val="18"/>
                <w:color w:val="auto"/>
                <w:w w:val="99"/>
              </w:rPr>
              <w:t>All directors</w:t>
            </w:r>
          </w:p>
        </w:tc>
        <w:tc>
          <w:tcPr>
            <w:tcW w:w="2200" w:type="dxa"/>
            <w:vAlign w:val="bottom"/>
          </w:tcPr>
          <w:p>
            <w:pPr>
              <w:jc w:val="center"/>
              <w:ind w:left="230"/>
              <w:spacing w:after="0"/>
              <w:rPr>
                <w:sz w:val="20"/>
                <w:szCs w:val="20"/>
                <w:color w:val="auto"/>
              </w:rPr>
            </w:pPr>
            <w:r>
              <w:rPr>
                <w:rFonts w:ascii="Arial" w:cs="Arial" w:eastAsia="Arial" w:hAnsi="Arial"/>
                <w:sz w:val="18"/>
                <w:szCs w:val="18"/>
                <w:color w:val="auto"/>
                <w:w w:val="99"/>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DBDBDB"/>
          </w:tcPr>
          <w:p>
            <w:pPr>
              <w:spacing w:after="0"/>
              <w:rPr>
                <w:sz w:val="15"/>
                <w:szCs w:val="15"/>
                <w:color w:val="auto"/>
              </w:rPr>
            </w:pPr>
          </w:p>
        </w:tc>
        <w:tc>
          <w:tcPr>
            <w:tcW w:w="3160" w:type="dxa"/>
            <w:vAlign w:val="bottom"/>
            <w:shd w:val="clear" w:color="auto" w:fill="DBDBDB"/>
          </w:tcPr>
          <w:p>
            <w:pPr>
              <w:jc w:val="center"/>
              <w:ind w:left="410"/>
              <w:spacing w:after="0" w:line="183" w:lineRule="exact"/>
              <w:rPr>
                <w:sz w:val="20"/>
                <w:szCs w:val="20"/>
                <w:color w:val="auto"/>
              </w:rPr>
            </w:pPr>
            <w:r>
              <w:rPr>
                <w:rFonts w:ascii="Arial" w:cs="Arial" w:eastAsia="Arial" w:hAnsi="Arial"/>
                <w:sz w:val="18"/>
                <w:szCs w:val="18"/>
                <w:color w:val="auto"/>
                <w:w w:val="99"/>
              </w:rPr>
              <w:t xml:space="preserve">R. Mark Graf </w:t>
            </w:r>
            <w:r>
              <w:rPr>
                <w:rFonts w:ascii="Arial" w:cs="Arial" w:eastAsia="Arial" w:hAnsi="Arial"/>
                <w:sz w:val="18"/>
                <w:szCs w:val="18"/>
                <w:i w:val="1"/>
                <w:iCs w:val="1"/>
                <w:color w:val="auto"/>
                <w:w w:val="99"/>
              </w:rPr>
              <w:t>(Chair)</w:t>
            </w:r>
          </w:p>
        </w:tc>
        <w:tc>
          <w:tcPr>
            <w:tcW w:w="22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vMerge w:val="restart"/>
            <w:shd w:val="clear" w:color="auto" w:fill="DBDBDB"/>
          </w:tcPr>
          <w:p>
            <w:pPr>
              <w:ind w:left="40"/>
              <w:spacing w:after="0"/>
              <w:rPr>
                <w:sz w:val="20"/>
                <w:szCs w:val="20"/>
                <w:color w:val="auto"/>
              </w:rPr>
            </w:pPr>
            <w:r>
              <w:rPr>
                <w:rFonts w:ascii="Arial" w:cs="Arial" w:eastAsia="Arial" w:hAnsi="Arial"/>
                <w:sz w:val="18"/>
                <w:szCs w:val="18"/>
                <w:color w:val="auto"/>
              </w:rPr>
              <w:t>Audit Committee</w:t>
            </w:r>
          </w:p>
        </w:tc>
        <w:tc>
          <w:tcPr>
            <w:tcW w:w="3160" w:type="dxa"/>
            <w:vAlign w:val="bottom"/>
            <w:shd w:val="clear" w:color="auto" w:fill="DBDBDB"/>
          </w:tcPr>
          <w:p>
            <w:pPr>
              <w:jc w:val="center"/>
              <w:ind w:left="410"/>
              <w:spacing w:after="0" w:line="181" w:lineRule="exact"/>
              <w:rPr>
                <w:sz w:val="20"/>
                <w:szCs w:val="20"/>
                <w:color w:val="auto"/>
              </w:rPr>
            </w:pPr>
            <w:r>
              <w:rPr>
                <w:rFonts w:ascii="Arial" w:cs="Arial" w:eastAsia="Arial" w:hAnsi="Arial"/>
                <w:sz w:val="18"/>
                <w:szCs w:val="18"/>
                <w:color w:val="auto"/>
                <w:w w:val="99"/>
              </w:rPr>
              <w:t>Martha Cummings</w:t>
            </w:r>
          </w:p>
        </w:tc>
        <w:tc>
          <w:tcPr>
            <w:tcW w:w="2200" w:type="dxa"/>
            <w:vAlign w:val="bottom"/>
            <w:vMerge w:val="restart"/>
            <w:shd w:val="clear" w:color="auto" w:fill="DBDBDB"/>
          </w:tcPr>
          <w:p>
            <w:pPr>
              <w:jc w:val="center"/>
              <w:ind w:left="250"/>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vMerge w:val="continue"/>
            <w:shd w:val="clear" w:color="auto" w:fill="DBDBDB"/>
          </w:tcPr>
          <w:p>
            <w:pPr>
              <w:spacing w:after="0"/>
              <w:rPr>
                <w:sz w:val="12"/>
                <w:szCs w:val="12"/>
                <w:color w:val="auto"/>
              </w:rPr>
            </w:pPr>
          </w:p>
        </w:tc>
        <w:tc>
          <w:tcPr>
            <w:tcW w:w="3160" w:type="dxa"/>
            <w:vAlign w:val="bottom"/>
            <w:vMerge w:val="restart"/>
            <w:shd w:val="clear" w:color="auto" w:fill="DBDBDB"/>
          </w:tcPr>
          <w:p>
            <w:pPr>
              <w:jc w:val="center"/>
              <w:ind w:left="310"/>
              <w:spacing w:after="0" w:line="176" w:lineRule="exact"/>
              <w:rPr>
                <w:sz w:val="20"/>
                <w:szCs w:val="20"/>
                <w:color w:val="auto"/>
              </w:rPr>
            </w:pPr>
            <w:r>
              <w:rPr>
                <w:rFonts w:ascii="Arial" w:cs="Arial" w:eastAsia="Arial" w:hAnsi="Arial"/>
                <w:sz w:val="18"/>
                <w:szCs w:val="18"/>
                <w:color w:val="auto"/>
              </w:rPr>
              <w:t>Elaine Paul</w:t>
            </w:r>
          </w:p>
        </w:tc>
        <w:tc>
          <w:tcPr>
            <w:tcW w:w="2200" w:type="dxa"/>
            <w:vAlign w:val="bottom"/>
            <w:vMerge w:val="continue"/>
            <w:shd w:val="clear" w:color="auto" w:fill="DBDBDB"/>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000" w:type="dxa"/>
            <w:vAlign w:val="bottom"/>
            <w:shd w:val="clear" w:color="auto" w:fill="DBDBDB"/>
          </w:tcPr>
          <w:p>
            <w:pPr>
              <w:spacing w:after="0"/>
              <w:rPr>
                <w:sz w:val="3"/>
                <w:szCs w:val="3"/>
                <w:color w:val="auto"/>
              </w:rPr>
            </w:pPr>
          </w:p>
        </w:tc>
        <w:tc>
          <w:tcPr>
            <w:tcW w:w="3160" w:type="dxa"/>
            <w:vAlign w:val="bottom"/>
            <w:vMerge w:val="continue"/>
            <w:shd w:val="clear" w:color="auto" w:fill="DBDBDB"/>
          </w:tcPr>
          <w:p>
            <w:pPr>
              <w:spacing w:after="0"/>
              <w:rPr>
                <w:sz w:val="3"/>
                <w:szCs w:val="3"/>
                <w:color w:val="auto"/>
              </w:rPr>
            </w:pPr>
          </w:p>
        </w:tc>
        <w:tc>
          <w:tcPr>
            <w:tcW w:w="2200" w:type="dxa"/>
            <w:vAlign w:val="bottom"/>
            <w:shd w:val="clear" w:color="auto" w:fill="DBDBDB"/>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DBDBDB"/>
          </w:tcPr>
          <w:p>
            <w:pPr>
              <w:spacing w:after="0"/>
              <w:rPr>
                <w:sz w:val="19"/>
                <w:szCs w:val="19"/>
                <w:color w:val="auto"/>
              </w:rPr>
            </w:pPr>
          </w:p>
        </w:tc>
        <w:tc>
          <w:tcPr>
            <w:tcW w:w="316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99"/>
              </w:rPr>
              <w:t>Wendy Thomas</w:t>
            </w:r>
          </w:p>
        </w:tc>
        <w:tc>
          <w:tcPr>
            <w:tcW w:w="220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3160" w:type="dxa"/>
            <w:vAlign w:val="bottom"/>
          </w:tcPr>
          <w:p>
            <w:pPr>
              <w:jc w:val="center"/>
              <w:ind w:left="310"/>
              <w:spacing w:after="0" w:line="183" w:lineRule="exact"/>
              <w:rPr>
                <w:sz w:val="20"/>
                <w:szCs w:val="20"/>
                <w:color w:val="auto"/>
              </w:rPr>
            </w:pPr>
            <w:r>
              <w:rPr>
                <w:rFonts w:ascii="Arial" w:cs="Arial" w:eastAsia="Arial" w:hAnsi="Arial"/>
                <w:sz w:val="18"/>
                <w:szCs w:val="18"/>
                <w:color w:val="auto"/>
                <w:w w:val="99"/>
              </w:rPr>
              <w:t xml:space="preserve">Najuma Atkinson </w:t>
            </w:r>
            <w:r>
              <w:rPr>
                <w:rFonts w:ascii="Arial" w:cs="Arial" w:eastAsia="Arial" w:hAnsi="Arial"/>
                <w:sz w:val="18"/>
                <w:szCs w:val="18"/>
                <w:i w:val="1"/>
                <w:iCs w:val="1"/>
                <w:color w:val="auto"/>
                <w:w w:val="99"/>
              </w:rPr>
              <w:t>(Chair)</w:t>
            </w: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Compensation Committee</w:t>
            </w:r>
          </w:p>
        </w:tc>
        <w:tc>
          <w:tcPr>
            <w:tcW w:w="3160" w:type="dxa"/>
            <w:vAlign w:val="bottom"/>
          </w:tcPr>
          <w:p>
            <w:pPr>
              <w:jc w:val="center"/>
              <w:ind w:left="310"/>
              <w:spacing w:after="0" w:line="181" w:lineRule="exact"/>
              <w:rPr>
                <w:sz w:val="20"/>
                <w:szCs w:val="20"/>
                <w:color w:val="auto"/>
              </w:rPr>
            </w:pPr>
            <w:r>
              <w:rPr>
                <w:rFonts w:ascii="Arial" w:cs="Arial" w:eastAsia="Arial" w:hAnsi="Arial"/>
                <w:sz w:val="18"/>
                <w:szCs w:val="18"/>
                <w:color w:val="auto"/>
                <w:w w:val="99"/>
              </w:rPr>
              <w:t>Alpesh Chokshi</w:t>
            </w:r>
          </w:p>
        </w:tc>
        <w:tc>
          <w:tcPr>
            <w:tcW w:w="2200" w:type="dxa"/>
            <w:vAlign w:val="bottom"/>
            <w:vMerge w:val="restart"/>
          </w:tcPr>
          <w:p>
            <w:pPr>
              <w:jc w:val="center"/>
              <w:ind w:left="250"/>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vMerge w:val="continue"/>
          </w:tcPr>
          <w:p>
            <w:pPr>
              <w:spacing w:after="0"/>
              <w:rPr>
                <w:sz w:val="12"/>
                <w:szCs w:val="12"/>
                <w:color w:val="auto"/>
              </w:rPr>
            </w:pPr>
          </w:p>
        </w:tc>
        <w:tc>
          <w:tcPr>
            <w:tcW w:w="3160" w:type="dxa"/>
            <w:vAlign w:val="bottom"/>
            <w:vMerge w:val="restart"/>
          </w:tcPr>
          <w:p>
            <w:pPr>
              <w:jc w:val="center"/>
              <w:ind w:left="290"/>
              <w:spacing w:after="0" w:line="176" w:lineRule="exact"/>
              <w:rPr>
                <w:sz w:val="20"/>
                <w:szCs w:val="20"/>
                <w:color w:val="auto"/>
              </w:rPr>
            </w:pPr>
            <w:r>
              <w:rPr>
                <w:rFonts w:ascii="Arial" w:cs="Arial" w:eastAsia="Arial" w:hAnsi="Arial"/>
                <w:sz w:val="18"/>
                <w:szCs w:val="18"/>
                <w:color w:val="auto"/>
                <w:w w:val="99"/>
              </w:rPr>
              <w:t>Judson Linville</w:t>
            </w:r>
          </w:p>
        </w:tc>
        <w:tc>
          <w:tcPr>
            <w:tcW w:w="2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3160" w:type="dxa"/>
            <w:vAlign w:val="bottom"/>
            <w:vMerge w:val="continue"/>
          </w:tcPr>
          <w:p>
            <w:pPr>
              <w:spacing w:after="0"/>
              <w:rPr>
                <w:sz w:val="3"/>
                <w:szCs w:val="3"/>
                <w:color w:val="auto"/>
              </w:rPr>
            </w:pPr>
          </w:p>
        </w:tc>
        <w:tc>
          <w:tcPr>
            <w:tcW w:w="2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tcPr>
          <w:p>
            <w:pPr>
              <w:spacing w:after="0"/>
              <w:rPr>
                <w:sz w:val="19"/>
                <w:szCs w:val="19"/>
                <w:color w:val="auto"/>
              </w:rPr>
            </w:pPr>
          </w:p>
        </w:tc>
        <w:tc>
          <w:tcPr>
            <w:tcW w:w="3160" w:type="dxa"/>
            <w:vAlign w:val="bottom"/>
          </w:tcPr>
          <w:p>
            <w:pPr>
              <w:jc w:val="center"/>
              <w:ind w:left="310"/>
              <w:spacing w:after="0"/>
              <w:rPr>
                <w:sz w:val="20"/>
                <w:szCs w:val="20"/>
                <w:color w:val="auto"/>
              </w:rPr>
            </w:pPr>
            <w:r>
              <w:rPr>
                <w:rFonts w:ascii="Arial" w:cs="Arial" w:eastAsia="Arial" w:hAnsi="Arial"/>
                <w:sz w:val="18"/>
                <w:szCs w:val="18"/>
                <w:color w:val="auto"/>
                <w:w w:val="99"/>
              </w:rPr>
              <w:t>Kiran Prasad</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DBDBDB"/>
          </w:tcPr>
          <w:p>
            <w:pPr>
              <w:spacing w:after="0"/>
              <w:rPr>
                <w:sz w:val="15"/>
                <w:szCs w:val="15"/>
                <w:color w:val="auto"/>
              </w:rPr>
            </w:pPr>
          </w:p>
        </w:tc>
        <w:tc>
          <w:tcPr>
            <w:tcW w:w="3160" w:type="dxa"/>
            <w:vAlign w:val="bottom"/>
            <w:shd w:val="clear" w:color="auto" w:fill="DBDBDB"/>
          </w:tcPr>
          <w:p>
            <w:pPr>
              <w:jc w:val="center"/>
              <w:ind w:left="310"/>
              <w:spacing w:after="0" w:line="183" w:lineRule="exact"/>
              <w:rPr>
                <w:sz w:val="20"/>
                <w:szCs w:val="20"/>
                <w:color w:val="auto"/>
              </w:rPr>
            </w:pPr>
            <w:r>
              <w:rPr>
                <w:rFonts w:ascii="Arial" w:cs="Arial" w:eastAsia="Arial" w:hAnsi="Arial"/>
                <w:sz w:val="18"/>
                <w:szCs w:val="18"/>
                <w:color w:val="auto"/>
              </w:rPr>
              <w:t xml:space="preserve">Martha Cummings </w:t>
            </w:r>
            <w:r>
              <w:rPr>
                <w:rFonts w:ascii="Arial" w:cs="Arial" w:eastAsia="Arial" w:hAnsi="Arial"/>
                <w:sz w:val="18"/>
                <w:szCs w:val="18"/>
                <w:i w:val="1"/>
                <w:iCs w:val="1"/>
                <w:color w:val="auto"/>
              </w:rPr>
              <w:t>(Chair)</w:t>
            </w:r>
          </w:p>
        </w:tc>
        <w:tc>
          <w:tcPr>
            <w:tcW w:w="22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vMerge w:val="restart"/>
            <w:shd w:val="clear" w:color="auto" w:fill="DBDBDB"/>
          </w:tcPr>
          <w:p>
            <w:pPr>
              <w:ind w:left="40"/>
              <w:spacing w:after="0"/>
              <w:rPr>
                <w:sz w:val="20"/>
                <w:szCs w:val="20"/>
                <w:color w:val="auto"/>
              </w:rPr>
            </w:pPr>
            <w:r>
              <w:rPr>
                <w:rFonts w:ascii="Arial" w:cs="Arial" w:eastAsia="Arial" w:hAnsi="Arial"/>
                <w:sz w:val="18"/>
                <w:szCs w:val="18"/>
                <w:color w:val="auto"/>
              </w:rPr>
              <w:t>Nomination and Governance Committee</w:t>
            </w:r>
          </w:p>
        </w:tc>
        <w:tc>
          <w:tcPr>
            <w:tcW w:w="3160" w:type="dxa"/>
            <w:vAlign w:val="bottom"/>
            <w:shd w:val="clear" w:color="auto" w:fill="DBDBDB"/>
          </w:tcPr>
          <w:p>
            <w:pPr>
              <w:jc w:val="center"/>
              <w:ind w:left="310"/>
              <w:spacing w:after="0" w:line="181" w:lineRule="exact"/>
              <w:rPr>
                <w:sz w:val="20"/>
                <w:szCs w:val="20"/>
                <w:color w:val="auto"/>
              </w:rPr>
            </w:pPr>
            <w:r>
              <w:rPr>
                <w:rFonts w:ascii="Arial" w:cs="Arial" w:eastAsia="Arial" w:hAnsi="Arial"/>
                <w:sz w:val="18"/>
                <w:szCs w:val="18"/>
                <w:color w:val="auto"/>
                <w:w w:val="99"/>
              </w:rPr>
              <w:t>Najuma Atkinson</w:t>
            </w:r>
          </w:p>
        </w:tc>
        <w:tc>
          <w:tcPr>
            <w:tcW w:w="2200" w:type="dxa"/>
            <w:vAlign w:val="bottom"/>
            <w:vMerge w:val="restart"/>
            <w:shd w:val="clear" w:color="auto" w:fill="DBDBDB"/>
          </w:tcPr>
          <w:p>
            <w:pPr>
              <w:jc w:val="center"/>
              <w:ind w:left="250"/>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vMerge w:val="continue"/>
            <w:shd w:val="clear" w:color="auto" w:fill="DBDBDB"/>
          </w:tcPr>
          <w:p>
            <w:pPr>
              <w:spacing w:after="0"/>
              <w:rPr>
                <w:sz w:val="12"/>
                <w:szCs w:val="12"/>
                <w:color w:val="auto"/>
              </w:rPr>
            </w:pPr>
          </w:p>
        </w:tc>
        <w:tc>
          <w:tcPr>
            <w:tcW w:w="3160" w:type="dxa"/>
            <w:vAlign w:val="bottom"/>
            <w:vMerge w:val="restart"/>
            <w:shd w:val="clear" w:color="auto" w:fill="DBDBDB"/>
          </w:tcPr>
          <w:p>
            <w:pPr>
              <w:jc w:val="center"/>
              <w:ind w:left="310"/>
              <w:spacing w:after="0" w:line="176" w:lineRule="exact"/>
              <w:rPr>
                <w:sz w:val="20"/>
                <w:szCs w:val="20"/>
                <w:color w:val="auto"/>
              </w:rPr>
            </w:pPr>
            <w:r>
              <w:rPr>
                <w:rFonts w:ascii="Arial" w:cs="Arial" w:eastAsia="Arial" w:hAnsi="Arial"/>
                <w:sz w:val="18"/>
                <w:szCs w:val="18"/>
                <w:color w:val="auto"/>
                <w:w w:val="99"/>
              </w:rPr>
              <w:t>Alpesh Chokshi</w:t>
            </w:r>
          </w:p>
        </w:tc>
        <w:tc>
          <w:tcPr>
            <w:tcW w:w="2200" w:type="dxa"/>
            <w:vAlign w:val="bottom"/>
            <w:vMerge w:val="continue"/>
            <w:shd w:val="clear" w:color="auto" w:fill="DBDBDB"/>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000" w:type="dxa"/>
            <w:vAlign w:val="bottom"/>
            <w:shd w:val="clear" w:color="auto" w:fill="DBDBDB"/>
          </w:tcPr>
          <w:p>
            <w:pPr>
              <w:spacing w:after="0"/>
              <w:rPr>
                <w:sz w:val="3"/>
                <w:szCs w:val="3"/>
                <w:color w:val="auto"/>
              </w:rPr>
            </w:pPr>
          </w:p>
        </w:tc>
        <w:tc>
          <w:tcPr>
            <w:tcW w:w="3160" w:type="dxa"/>
            <w:vAlign w:val="bottom"/>
            <w:vMerge w:val="continue"/>
            <w:shd w:val="clear" w:color="auto" w:fill="DBDBDB"/>
          </w:tcPr>
          <w:p>
            <w:pPr>
              <w:spacing w:after="0"/>
              <w:rPr>
                <w:sz w:val="3"/>
                <w:szCs w:val="3"/>
                <w:color w:val="auto"/>
              </w:rPr>
            </w:pPr>
          </w:p>
        </w:tc>
        <w:tc>
          <w:tcPr>
            <w:tcW w:w="2200" w:type="dxa"/>
            <w:vAlign w:val="bottom"/>
            <w:shd w:val="clear" w:color="auto" w:fill="DBDBDB"/>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DBDBDB"/>
          </w:tcPr>
          <w:p>
            <w:pPr>
              <w:spacing w:after="0"/>
              <w:rPr>
                <w:sz w:val="19"/>
                <w:szCs w:val="19"/>
                <w:color w:val="auto"/>
              </w:rPr>
            </w:pPr>
          </w:p>
        </w:tc>
        <w:tc>
          <w:tcPr>
            <w:tcW w:w="3160" w:type="dxa"/>
            <w:vAlign w:val="bottom"/>
            <w:shd w:val="clear" w:color="auto" w:fill="DBDBDB"/>
          </w:tcPr>
          <w:p>
            <w:pPr>
              <w:jc w:val="center"/>
              <w:ind w:left="310"/>
              <w:spacing w:after="0"/>
              <w:rPr>
                <w:sz w:val="20"/>
                <w:szCs w:val="20"/>
                <w:color w:val="auto"/>
              </w:rPr>
            </w:pPr>
            <w:r>
              <w:rPr>
                <w:rFonts w:ascii="Arial" w:cs="Arial" w:eastAsia="Arial" w:hAnsi="Arial"/>
                <w:sz w:val="18"/>
                <w:szCs w:val="18"/>
                <w:color w:val="auto"/>
              </w:rPr>
              <w:t>Elaine Paul</w:t>
            </w:r>
          </w:p>
        </w:tc>
        <w:tc>
          <w:tcPr>
            <w:tcW w:w="220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3160" w:type="dxa"/>
            <w:vAlign w:val="bottom"/>
          </w:tcPr>
          <w:p>
            <w:pPr>
              <w:jc w:val="center"/>
              <w:ind w:left="310"/>
              <w:spacing w:after="0" w:line="183" w:lineRule="exact"/>
              <w:rPr>
                <w:sz w:val="20"/>
                <w:szCs w:val="20"/>
                <w:color w:val="auto"/>
              </w:rPr>
            </w:pPr>
            <w:r>
              <w:rPr>
                <w:rFonts w:ascii="Arial" w:cs="Arial" w:eastAsia="Arial" w:hAnsi="Arial"/>
                <w:sz w:val="18"/>
                <w:szCs w:val="18"/>
                <w:color w:val="auto"/>
              </w:rPr>
              <w:t xml:space="preserve">Jason Gardner </w:t>
            </w:r>
            <w:r>
              <w:rPr>
                <w:rFonts w:ascii="Arial" w:cs="Arial" w:eastAsia="Arial" w:hAnsi="Arial"/>
                <w:sz w:val="18"/>
                <w:szCs w:val="18"/>
                <w:i w:val="1"/>
                <w:iCs w:val="1"/>
                <w:color w:val="auto"/>
              </w:rPr>
              <w:t>(Chair)</w:t>
            </w: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Payments Innovation Committee</w:t>
            </w:r>
          </w:p>
        </w:tc>
        <w:tc>
          <w:tcPr>
            <w:tcW w:w="3160" w:type="dxa"/>
            <w:vAlign w:val="bottom"/>
          </w:tcPr>
          <w:p>
            <w:pPr>
              <w:jc w:val="center"/>
              <w:ind w:left="310"/>
              <w:spacing w:after="0" w:line="181" w:lineRule="exact"/>
              <w:rPr>
                <w:sz w:val="20"/>
                <w:szCs w:val="20"/>
                <w:color w:val="auto"/>
              </w:rPr>
            </w:pPr>
            <w:r>
              <w:rPr>
                <w:rFonts w:ascii="Arial" w:cs="Arial" w:eastAsia="Arial" w:hAnsi="Arial"/>
                <w:sz w:val="18"/>
                <w:szCs w:val="18"/>
                <w:color w:val="auto"/>
                <w:w w:val="99"/>
              </w:rPr>
              <w:t>Alpesh Chokshi</w:t>
            </w:r>
          </w:p>
        </w:tc>
        <w:tc>
          <w:tcPr>
            <w:tcW w:w="2200" w:type="dxa"/>
            <w:vAlign w:val="bottom"/>
            <w:vMerge w:val="restart"/>
          </w:tcPr>
          <w:p>
            <w:pPr>
              <w:jc w:val="center"/>
              <w:ind w:left="25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vMerge w:val="continue"/>
          </w:tcPr>
          <w:p>
            <w:pPr>
              <w:spacing w:after="0"/>
              <w:rPr>
                <w:sz w:val="12"/>
                <w:szCs w:val="12"/>
                <w:color w:val="auto"/>
              </w:rPr>
            </w:pPr>
          </w:p>
        </w:tc>
        <w:tc>
          <w:tcPr>
            <w:tcW w:w="3160" w:type="dxa"/>
            <w:vAlign w:val="bottom"/>
            <w:vMerge w:val="restart"/>
          </w:tcPr>
          <w:p>
            <w:pPr>
              <w:jc w:val="center"/>
              <w:ind w:left="310"/>
              <w:spacing w:after="0" w:line="189" w:lineRule="exact"/>
              <w:rPr>
                <w:sz w:val="20"/>
                <w:szCs w:val="20"/>
                <w:color w:val="auto"/>
              </w:rPr>
            </w:pPr>
            <w:r>
              <w:rPr>
                <w:rFonts w:ascii="Arial" w:cs="Arial" w:eastAsia="Arial" w:hAnsi="Arial"/>
                <w:sz w:val="18"/>
                <w:szCs w:val="18"/>
                <w:color w:val="auto"/>
                <w:w w:val="99"/>
              </w:rPr>
              <w:t>Kiran Prasad</w:t>
            </w:r>
          </w:p>
        </w:tc>
        <w:tc>
          <w:tcPr>
            <w:tcW w:w="2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400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080"/>
        <w:spacing w:after="0"/>
        <w:rPr>
          <w:sz w:val="20"/>
          <w:szCs w:val="20"/>
          <w:color w:val="auto"/>
        </w:rPr>
      </w:pPr>
      <w:r>
        <w:rPr>
          <w:rFonts w:ascii="Arial" w:cs="Arial" w:eastAsia="Arial" w:hAnsi="Arial"/>
          <w:sz w:val="18"/>
          <w:szCs w:val="18"/>
          <w:color w:val="auto"/>
        </w:rPr>
        <w:t>Wendy Thomas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the regularly scheduled meetings of the Board, it is the practice of the Board to hold an executive session without management present, as well as a separate executive session with just the independent directors. The Chair of the Board presides over such sessions.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year 2025, each incumbent director attended at least 75% of the meetings of the Board and the committees on which he or she served (held during the period for which he or she has been a director).</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do not have a formal policy regarding attendance by members of our Board at the annual meetings of stockholders, we encourage, but do not require, our directors to attend. Eight of the then nine members of our Board attended our annual meeting of stockholders held in 2025.</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established four standing committees: an Audit Committee, a Compensation Committee, a Nomination and Governance Committee, and the Payments Innovation Committee. Each of our standing committees operates under a written charter that complies with the applicable requirements of the Nasdaq listing standards and the applicable rules and regulations of the SEC. Each of the charters is posted on the “</w:t>
      </w:r>
      <w:r>
        <w:rPr>
          <w:rFonts w:ascii="Arial" w:cs="Arial" w:eastAsia="Arial" w:hAnsi="Arial"/>
          <w:sz w:val="18"/>
          <w:szCs w:val="18"/>
          <w:i w:val="1"/>
          <w:iCs w:val="1"/>
          <w:color w:val="auto"/>
        </w:rPr>
        <w:t>Governance</w:t>
      </w:r>
      <w:r>
        <w:rPr>
          <w:rFonts w:ascii="Arial" w:cs="Arial" w:eastAsia="Arial" w:hAnsi="Arial"/>
          <w:sz w:val="18"/>
          <w:szCs w:val="18"/>
          <w:color w:val="auto"/>
        </w:rPr>
        <w:t>” section of our investor relations website at https://investors.marqeta.com/governance/governance-overview.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2025, the Board refreshed its committee membership by rotating certain existing committee roles among the directors.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Mmes. Cummings, Paul, and Thomas and Mr. Graf, with Mr. Graf serving as Chair.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composition of our Audit Committee meets the requirements for independence under current Nasdaq listing standards and SEC rules and regulations. Each member of our Audit Committee meets the financial literacy requirements of</w:t>
      </w:r>
    </w:p>
    <w:p>
      <w:pPr>
        <w:spacing w:after="0" w:line="324"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Nasdaq listing standards. In addition, our Board has determined that Mmes. Paul and Thomas and Mr. Graf are audit committee financial experts within the meaning of Item 407(d) of Regulation S-K under the Securities Act of 1933, as amended (the “Securities Act”). Our Audit Committee is responsible for, among other things:</w:t>
      </w:r>
    </w:p>
    <w:p>
      <w:pPr>
        <w:spacing w:after="0" w:line="63" w:lineRule="exact"/>
        <w:rPr>
          <w:sz w:val="20"/>
          <w:szCs w:val="20"/>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63" w:lineRule="exact"/>
        <w:rPr>
          <w:rFonts w:ascii="Arial" w:cs="Arial" w:eastAsia="Arial" w:hAnsi="Arial"/>
          <w:sz w:val="18"/>
          <w:szCs w:val="18"/>
          <w:color w:val="auto"/>
        </w:rPr>
      </w:pPr>
    </w:p>
    <w:p>
      <w:pPr>
        <w:ind w:left="500" w:hanging="168"/>
        <w:spacing w:after="0" w:line="281" w:lineRule="auto"/>
        <w:tabs>
          <w:tab w:leader="none" w:pos="5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scope and results of the audit with the independent registered public accounting firm, and reviewing, with management and the independent registered public accounting firm, our interim and year-end results of operations;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procedures for employees to submit concerns anonymously about questionable accounting or other matters;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estimates, policies, and practices;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adequacy of our internal controls;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63" w:lineRule="exact"/>
        <w:rPr>
          <w:rFonts w:ascii="Arial" w:cs="Arial" w:eastAsia="Arial" w:hAnsi="Arial"/>
          <w:sz w:val="18"/>
          <w:szCs w:val="18"/>
          <w:color w:val="auto"/>
        </w:rPr>
      </w:pPr>
    </w:p>
    <w:p>
      <w:pPr>
        <w:ind w:left="500" w:hanging="168"/>
        <w:spacing w:after="0" w:line="281" w:lineRule="auto"/>
        <w:tabs>
          <w:tab w:leader="none" w:pos="5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the performance of our internal audit function.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Ms. Atkinson and Messrs. Chokshi, Linville, and Prasad, with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Atkinson serving as Chair.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relating to compensation of our executive officers. Our Compensation Committee is responsible for, among other things:</w:t>
      </w:r>
    </w:p>
    <w:p>
      <w:pPr>
        <w:spacing w:after="0" w:line="74" w:lineRule="exact"/>
        <w:rPr>
          <w:sz w:val="20"/>
          <w:szCs w:val="20"/>
          <w:color w:val="auto"/>
        </w:rPr>
      </w:pPr>
    </w:p>
    <w:p>
      <w:pPr>
        <w:ind w:left="500" w:hanging="168"/>
        <w:spacing w:after="0" w:line="281" w:lineRule="auto"/>
        <w:tabs>
          <w:tab w:leader="none" w:pos="5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regarding, the compensation of our executive officers;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regarding, incentive compensation and equity plans; and</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Nomination and Governance Committee. </w:t>
      </w:r>
      <w:r>
        <w:rPr>
          <w:rFonts w:ascii="Arial" w:cs="Arial" w:eastAsia="Arial" w:hAnsi="Arial"/>
          <w:sz w:val="18"/>
          <w:szCs w:val="18"/>
          <w:color w:val="auto"/>
        </w:rPr>
        <w:t>Our Nomination and Governance Committee consists of Mmes. Cummings, Atkinson, and Paul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Mr. Chokshi, with Ms. Cummings serving as Chair. The composition of our Nomination and Governance Committee meets the requirements for independence under Nasdaq listing standards and SEC rules and regulations. Our Nomination and Governance Committee is responsible for, among other things:</w:t>
      </w:r>
    </w:p>
    <w:p>
      <w:pPr>
        <w:spacing w:after="0" w:line="68" w:lineRule="exact"/>
        <w:rPr>
          <w:sz w:val="20"/>
          <w:szCs w:val="20"/>
          <w:color w:val="auto"/>
        </w:rPr>
      </w:pPr>
    </w:p>
    <w:p>
      <w:pPr>
        <w:ind w:left="500" w:hanging="168"/>
        <w:spacing w:after="0" w:line="281" w:lineRule="auto"/>
        <w:tabs>
          <w:tab w:leader="none" w:pos="5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regarding, nominees for election to our Board and its committees;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regarding the composition of our Board and its committees;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oversight of matters pertaining to corporate responsibility practices and reporting;</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 xml:space="preserve">Payments Innovation Committee. </w:t>
      </w:r>
      <w:r>
        <w:rPr>
          <w:rFonts w:ascii="Arial" w:cs="Arial" w:eastAsia="Arial" w:hAnsi="Arial"/>
          <w:sz w:val="18"/>
          <w:szCs w:val="18"/>
          <w:color w:val="auto"/>
        </w:rPr>
        <w:t>Our Payments Innovation Committee consists of Ms. Thomas and Messrs. Chokshi, Gardner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Prasad, with Mr. Gardner serving as Chair. Our Payments Innovation Committee is responsible for, among other things:</w:t>
      </w:r>
    </w:p>
    <w:p>
      <w:pPr>
        <w:spacing w:after="0" w:line="99" w:lineRule="exact"/>
        <w:rPr>
          <w:sz w:val="20"/>
          <w:szCs w:val="20"/>
          <w:color w:val="auto"/>
        </w:rPr>
      </w:pPr>
    </w:p>
    <w:p>
      <w:pPr>
        <w:ind w:left="500" w:hanging="168"/>
        <w:spacing w:after="0" w:line="281" w:lineRule="auto"/>
        <w:tabs>
          <w:tab w:leader="none" w:pos="5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oversight and guidance to the Company on its innovation and technology approach, including technology initiatives, research, development, and engineering programs, customer engagement initiatives, and competitive scans;</w:t>
      </w:r>
    </w:p>
    <w:p>
      <w:pPr>
        <w:spacing w:after="0" w:line="1" w:lineRule="exact"/>
        <w:rPr>
          <w:rFonts w:ascii="Arial" w:cs="Arial" w:eastAsia="Arial" w:hAnsi="Arial"/>
          <w:sz w:val="18"/>
          <w:szCs w:val="18"/>
          <w:color w:val="auto"/>
        </w:rPr>
      </w:pPr>
    </w:p>
    <w:p>
      <w:pPr>
        <w:ind w:left="500" w:right="20" w:hanging="168"/>
        <w:spacing w:after="0" w:line="281" w:lineRule="auto"/>
        <w:tabs>
          <w:tab w:leader="none" w:pos="5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advice and insights to our Board in understanding, evaluating, and approving investment decisions relating to research, development, growth, and deployment of new technologies;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significant fintech issues and trends relevant to the Company’s business; and</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the Company’s overall intellectual property approach and 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has responsibility for the oversight of our risk management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platform operations, finance, legal, cybersecurity, and strategic risk.</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Specifically, our Audit Committee oversees management of key risks, as well as our risk-management governance, policies, and processes. These key risks include risks related to: platform operations; revenue concentration; relationships with banks; financial risks; the reconciliation of funds; platform performance and reliability; artificial intelligence; and cybersecurity, among others. Our Compensation Committee oversees risks associated with our compensation policies and practices, including determining whether such policies and practices encourage excessive risk-taking; reviewing the relationship between risk management policies and compensation; and evaluating compensation policies and practices that could mitigate any such risk. Our Nomination and Governance Committee oversees risks associated with corporate governance policies and practices, including composition of our Board; developments in corporate governance practices; and our corporate responsibility practices. Our Payments Innovation Committee oversees risks associated with our innovation and technology, including any risks in our intellectual property approach.</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Compensation Committee membership during fiscal year 2025 is listed above. None of the members of our Compensation Committee is or has been an officer or employee of Marqeta. None of our executive officers currently serves, or in the past year has served, as a member of the board of directors or compensation committee (or other board committee performing equivalent functions) of any entity that has one or more executive officers serving on our Board or our Compensation Committee.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Considerations in Evaluating Director Nominees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Nomination and Governance Committee uses a variety of methods for identifying and evaluating potential director candidates. In its evaluation of director candidates, including the current directors eligible for re-election, our Nomination and Governance Committee will consider the current size and composition of our Board and the needs of our Board and its committees. Some of the qualifications that our Nomination and Governance Committee considers include, without limitation, experience, skills, expertise, diversity, personal and professional integrity, character, business judgment, time availability in light of other commitments, dedication, conflicts of interest, and such other relevant factors that may be appropriate in the context of the needs of the Board. Although our Board does not maintain a specific policy with respect to board diversity, our Board believes that the board should be composed of members with diverse perspectives and experiences, and the Nomination and Governance Committee considers a broad range of backgrounds and experiences. In making determinations regarding nominations of directors, the Nomination and Governance Committee may take into account the benefits of diverse viewpoints.</w:t>
      </w:r>
    </w:p>
    <w:p>
      <w:pPr>
        <w:spacing w:after="0" w:line="339"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ind w:right="20"/>
        <w:spacing w:after="0" w:line="287" w:lineRule="auto"/>
        <w:rPr>
          <w:sz w:val="20"/>
          <w:szCs w:val="20"/>
          <w:color w:val="auto"/>
        </w:rPr>
      </w:pPr>
      <w:r>
        <w:rPr>
          <w:rFonts w:ascii="Arial" w:cs="Arial" w:eastAsia="Arial" w:hAnsi="Arial"/>
          <w:sz w:val="18"/>
          <w:szCs w:val="18"/>
          <w:color w:val="auto"/>
        </w:rPr>
        <w:t>Any search firm retained by our Nomination and Governance Committee to find director candidates (for which it would be paid a fee) would be instructed to take into account all of the considerations used by our Nomination and Governance Committee.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 and Governance Committee retained Heidrick &amp; Struggles International, Inc. (“Heidrick &amp; Struggles”) in 2025 to assist in identifying and evaluating potential director candidates. Ms. Paul was identified by Heidrick &amp; Struggles as a potential director candidate and was appointed as a member of our Board on April 18, 2025. Ms. Thomas was identified by a non-employee director and Heidrick &amp; Struggles as a potential director candidate and was appointed as a member of our Board on April 18, 2025. After completing its review and evaluation of director candidates, our Nomination and Governance Committee recommends to our full Board the director nominees for selection.</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Recommendations for Nominations to the Board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Nomination and Governance Committee considers director candidates recommended by stockholders. Stockholders may recommend a candidate by writing to our Corporate Secretary at the address listed on page </w:t>
      </w:r>
      <w:r>
        <w:rPr>
          <w:rFonts w:ascii="Arial" w:cs="Arial" w:eastAsia="Arial" w:hAnsi="Arial"/>
          <w:sz w:val="18"/>
          <w:szCs w:val="18"/>
          <w:u w:val="single" w:color="auto"/>
          <w:color w:val="0000FF"/>
        </w:rPr>
        <w:t>80</w:t>
      </w:r>
      <w:r>
        <w:rPr>
          <w:rFonts w:ascii="Arial" w:cs="Arial" w:eastAsia="Arial" w:hAnsi="Arial"/>
          <w:sz w:val="18"/>
          <w:szCs w:val="18"/>
          <w:color w:val="auto"/>
        </w:rPr>
        <w:t xml:space="preserve"> of this Proxy Statement, and including all information that our bylaws require for director nominations. The Nomination and Governance Committee evaluates director candidates submitted by stockholders in the same manner in which it evaluates other director candidates.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Interested parties wishing to communicate with our independent directors may do so by writing to the Board or to the particular member or members of our Board and mailing the correspondence to our Corporate Secretary at our address listed on page </w:t>
      </w:r>
      <w:r>
        <w:rPr>
          <w:rFonts w:ascii="Arial" w:cs="Arial" w:eastAsia="Arial" w:hAnsi="Arial"/>
          <w:sz w:val="18"/>
          <w:szCs w:val="18"/>
          <w:u w:val="single" w:color="auto"/>
          <w:color w:val="0000FF"/>
        </w:rPr>
        <w:t>80</w:t>
      </w:r>
      <w:r>
        <w:rPr>
          <w:rFonts w:ascii="Arial" w:cs="Arial" w:eastAsia="Arial" w:hAnsi="Arial"/>
          <w:sz w:val="18"/>
          <w:szCs w:val="18"/>
          <w:color w:val="auto"/>
        </w:rPr>
        <w:t xml:space="preserve"> of this Proxy Statement via U.S. Mail or Expedited Delivery Service. Our Corporate Secretary or their designee will initially review and compile all such communications and may summarize such communications prior to forwarding to the appropriate party.</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 and Code of Business Conduct and Ethics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adopted Corporate Governance Guidelines. These guidelines address items such as the qualifications and responsibilities of our directors and director candidates and corporate governance policies and standards applicable to us in general. 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webpage at www.investors.marqeta.com in the “</w:t>
      </w:r>
      <w:r>
        <w:rPr>
          <w:rFonts w:ascii="Arial" w:cs="Arial" w:eastAsia="Arial" w:hAnsi="Arial"/>
          <w:sz w:val="18"/>
          <w:szCs w:val="18"/>
          <w:i w:val="1"/>
          <w:iCs w:val="1"/>
          <w:color w:val="auto"/>
        </w:rPr>
        <w:t>Governance</w:t>
      </w:r>
      <w:r>
        <w:rPr>
          <w:rFonts w:ascii="Arial" w:cs="Arial" w:eastAsia="Arial" w:hAnsi="Arial"/>
          <w:sz w:val="18"/>
          <w:szCs w:val="18"/>
          <w:color w:val="auto"/>
        </w:rPr>
        <w:t>” section. We intend to post any amendments to our Code of Business Conduct and Ethics, and any waivers of our Code of Business Conduct and Ethics for directors and executive officers, on the same website.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 Prohibition on Hedging, Short Sales, and Pledging</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has adopted an Insider Trading Policy that applies to all our employees, directors, and officers. This policy governs the purchase, sale, and/or other dispositions of our securities by directors, officers, and employees, and is reasonably designed to promote compliance with insider trading laws, rules, and regulations, and any listing standards applicable to Marqeta. Among other things, it prohibits hedging or monetization transactions with respect to our common stock, including using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was filed as Exhibit 19.1 to our 2025 Annual Report. In addition, with regard to Marqeta’s trading in its own securities, it is our policy to comply with the applicable federal securities laws and exchange listing standards.</w:t>
      </w:r>
    </w:p>
    <w:p>
      <w:pPr>
        <w:spacing w:after="0" w:line="200" w:lineRule="exact"/>
        <w:rPr>
          <w:sz w:val="20"/>
          <w:szCs w:val="20"/>
          <w:color w:val="auto"/>
        </w:rPr>
      </w:pPr>
    </w:p>
    <w:p>
      <w:pPr>
        <w:spacing w:after="0" w:line="3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Non-Employee Director Compensation</w:t>
      </w:r>
    </w:p>
    <w:p>
      <w:pPr>
        <w:spacing w:after="0" w:line="10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Board has approved a compensation policy for our non-employee directors (the “Director Compensation Policy”), pursuant to which our non-employee directors receive the compensation described in the table below. The Director Compensation Policy was developed with input from the Board’s independent compensation consultant, Compensia, Inc., regarding practices and compensation levels at comparable companies. The Director Compensation Policy is designed to attract, retain, and reward non-employee directors.</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400" w:type="dxa"/>
            <w:vAlign w:val="bottom"/>
            <w:tcBorders>
              <w:top w:val="single" w:sz="8" w:color="auto"/>
              <w:left w:val="single" w:sz="8" w:color="auto"/>
              <w:bottom w:val="single" w:sz="8" w:color="auto"/>
            </w:tcBorders>
            <w:shd w:val="clear" w:color="auto" w:fill="929292"/>
          </w:tcPr>
          <w:p>
            <w:pPr>
              <w:ind w:left="40"/>
              <w:spacing w:after="0"/>
              <w:rPr>
                <w:sz w:val="20"/>
                <w:szCs w:val="20"/>
                <w:color w:val="auto"/>
              </w:rPr>
            </w:pPr>
            <w:r>
              <w:rPr>
                <w:rFonts w:ascii="Arial" w:cs="Arial" w:eastAsia="Arial" w:hAnsi="Arial"/>
                <w:sz w:val="18"/>
                <w:szCs w:val="18"/>
                <w:b w:val="1"/>
                <w:bCs w:val="1"/>
                <w:color w:val="FFFFFF"/>
              </w:rPr>
              <w:t>Element of Compensation</w:t>
            </w:r>
          </w:p>
        </w:tc>
        <w:tc>
          <w:tcPr>
            <w:tcW w:w="2700" w:type="dxa"/>
            <w:vAlign w:val="bottom"/>
            <w:tcBorders>
              <w:top w:val="single" w:sz="8" w:color="auto"/>
              <w:bottom w:val="single" w:sz="8" w:color="auto"/>
            </w:tcBorders>
            <w:shd w:val="clear" w:color="auto" w:fill="929292"/>
          </w:tcPr>
          <w:p>
            <w:pPr>
              <w:jc w:val="center"/>
              <w:ind w:left="570"/>
              <w:spacing w:after="0"/>
              <w:rPr>
                <w:sz w:val="20"/>
                <w:szCs w:val="20"/>
                <w:color w:val="auto"/>
              </w:rPr>
            </w:pPr>
            <w:r>
              <w:rPr>
                <w:rFonts w:ascii="Arial" w:cs="Arial" w:eastAsia="Arial" w:hAnsi="Arial"/>
                <w:sz w:val="18"/>
                <w:szCs w:val="18"/>
                <w:b w:val="1"/>
                <w:bCs w:val="1"/>
                <w:color w:val="FFFFFF"/>
                <w:w w:val="99"/>
              </w:rPr>
              <w:t>Cash</w:t>
            </w:r>
          </w:p>
        </w:tc>
        <w:tc>
          <w:tcPr>
            <w:tcW w:w="2160" w:type="dxa"/>
            <w:vAlign w:val="bottom"/>
            <w:tcBorders>
              <w:top w:val="single" w:sz="8" w:color="auto"/>
              <w:bottom w:val="single" w:sz="8" w:color="auto"/>
              <w:right w:val="single" w:sz="8" w:color="auto"/>
            </w:tcBorders>
            <w:shd w:val="clear" w:color="auto" w:fill="929292"/>
          </w:tcPr>
          <w:p>
            <w:pPr>
              <w:ind w:left="800"/>
              <w:spacing w:after="0"/>
              <w:rPr>
                <w:sz w:val="20"/>
                <w:szCs w:val="20"/>
                <w:color w:val="auto"/>
              </w:rPr>
            </w:pPr>
            <w:r>
              <w:rPr>
                <w:rFonts w:ascii="Arial" w:cs="Arial" w:eastAsia="Arial" w:hAnsi="Arial"/>
                <w:sz w:val="18"/>
                <w:szCs w:val="18"/>
                <w:b w:val="1"/>
                <w:bCs w:val="1"/>
                <w:color w:val="FFFFFF"/>
              </w:rPr>
              <w:t>Equity</w:t>
            </w:r>
          </w:p>
        </w:tc>
      </w:tr>
      <w:tr>
        <w:trPr>
          <w:trHeight w:val="223"/>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Annual Cash Retainer for Service on the Board</w:t>
            </w:r>
          </w:p>
        </w:tc>
        <w:tc>
          <w:tcPr>
            <w:tcW w:w="2700" w:type="dxa"/>
            <w:vAlign w:val="bottom"/>
          </w:tcPr>
          <w:p>
            <w:pPr>
              <w:jc w:val="center"/>
              <w:ind w:left="550"/>
              <w:spacing w:after="0"/>
              <w:rPr>
                <w:sz w:val="20"/>
                <w:szCs w:val="20"/>
                <w:color w:val="auto"/>
              </w:rPr>
            </w:pPr>
            <w:r>
              <w:rPr>
                <w:rFonts w:ascii="Arial" w:cs="Arial" w:eastAsia="Arial" w:hAnsi="Arial"/>
                <w:sz w:val="18"/>
                <w:szCs w:val="18"/>
                <w:color w:val="auto"/>
              </w:rPr>
              <w:t>$50,000</w:t>
            </w:r>
          </w:p>
        </w:tc>
        <w:tc>
          <w:tcPr>
            <w:tcW w:w="2160" w:type="dxa"/>
            <w:vAlign w:val="bottom"/>
            <w:tcBorders>
              <w:right w:val="single" w:sz="8" w:color="auto"/>
            </w:tcBorders>
          </w:tcPr>
          <w:p>
            <w:pPr>
              <w:spacing w:after="0"/>
              <w:rPr>
                <w:sz w:val="19"/>
                <w:szCs w:val="19"/>
                <w:color w:val="auto"/>
              </w:rPr>
            </w:pPr>
          </w:p>
        </w:tc>
      </w:tr>
      <w:tr>
        <w:trPr>
          <w:trHeight w:val="229"/>
        </w:trPr>
        <w:tc>
          <w:tcPr>
            <w:tcW w:w="64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Initial Equity Grant upon Election to the Board</w:t>
            </w:r>
          </w:p>
        </w:tc>
        <w:tc>
          <w:tcPr>
            <w:tcW w:w="2700" w:type="dxa"/>
            <w:vAlign w:val="bottom"/>
            <w:shd w:val="clear" w:color="auto" w:fill="DBDBDB"/>
          </w:tcPr>
          <w:p>
            <w:pPr>
              <w:spacing w:after="0"/>
              <w:rPr>
                <w:sz w:val="19"/>
                <w:szCs w:val="19"/>
                <w:color w:val="auto"/>
              </w:rPr>
            </w:pPr>
          </w:p>
        </w:tc>
        <w:tc>
          <w:tcPr>
            <w:tcW w:w="21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8"/>
              </w:rPr>
              <w:t>$400,000</w:t>
            </w: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Annual Equity Grant</w:t>
            </w:r>
          </w:p>
        </w:tc>
        <w:tc>
          <w:tcPr>
            <w:tcW w:w="2700" w:type="dxa"/>
            <w:vAlign w:val="bottom"/>
          </w:tcPr>
          <w:p>
            <w:pPr>
              <w:spacing w:after="0"/>
              <w:rPr>
                <w:sz w:val="19"/>
                <w:szCs w:val="19"/>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$200,000</w:t>
            </w:r>
          </w:p>
        </w:tc>
      </w:tr>
      <w:tr>
        <w:trPr>
          <w:trHeight w:val="230"/>
        </w:trPr>
        <w:tc>
          <w:tcPr>
            <w:tcW w:w="64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Annual Board Chair Equity Retainer</w:t>
            </w:r>
          </w:p>
        </w:tc>
        <w:tc>
          <w:tcPr>
            <w:tcW w:w="2700" w:type="dxa"/>
            <w:vAlign w:val="bottom"/>
            <w:shd w:val="clear" w:color="auto" w:fill="DBDBDB"/>
          </w:tcPr>
          <w:p>
            <w:pPr>
              <w:spacing w:after="0"/>
              <w:rPr>
                <w:sz w:val="19"/>
                <w:szCs w:val="19"/>
                <w:color w:val="auto"/>
              </w:rPr>
            </w:pPr>
          </w:p>
        </w:tc>
        <w:tc>
          <w:tcPr>
            <w:tcW w:w="216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$50,000</w:t>
            </w: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Annual Audit Committee Chair Retainer</w:t>
            </w:r>
          </w:p>
        </w:tc>
        <w:tc>
          <w:tcPr>
            <w:tcW w:w="2700" w:type="dxa"/>
            <w:vAlign w:val="bottom"/>
          </w:tcPr>
          <w:p>
            <w:pPr>
              <w:jc w:val="center"/>
              <w:ind w:left="550"/>
              <w:spacing w:after="0"/>
              <w:rPr>
                <w:sz w:val="20"/>
                <w:szCs w:val="20"/>
                <w:color w:val="auto"/>
              </w:rPr>
            </w:pPr>
            <w:r>
              <w:rPr>
                <w:rFonts w:ascii="Arial" w:cs="Arial" w:eastAsia="Arial" w:hAnsi="Arial"/>
                <w:sz w:val="18"/>
                <w:szCs w:val="18"/>
                <w:color w:val="auto"/>
              </w:rPr>
              <w:t>$20,000</w:t>
            </w:r>
          </w:p>
        </w:tc>
        <w:tc>
          <w:tcPr>
            <w:tcW w:w="2160" w:type="dxa"/>
            <w:vAlign w:val="bottom"/>
            <w:tcBorders>
              <w:right w:val="single" w:sz="8" w:color="auto"/>
            </w:tcBorders>
          </w:tcPr>
          <w:p>
            <w:pPr>
              <w:spacing w:after="0"/>
              <w:rPr>
                <w:sz w:val="19"/>
                <w:szCs w:val="19"/>
                <w:color w:val="auto"/>
              </w:rPr>
            </w:pPr>
          </w:p>
        </w:tc>
      </w:tr>
      <w:tr>
        <w:trPr>
          <w:trHeight w:val="229"/>
        </w:trPr>
        <w:tc>
          <w:tcPr>
            <w:tcW w:w="64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Annual Compensation Committee Chair Retainer</w:t>
            </w:r>
          </w:p>
        </w:tc>
        <w:tc>
          <w:tcPr>
            <w:tcW w:w="270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rPr>
              <w:t>$15,000</w:t>
            </w:r>
          </w:p>
        </w:tc>
        <w:tc>
          <w:tcPr>
            <w:tcW w:w="2160" w:type="dxa"/>
            <w:vAlign w:val="bottom"/>
            <w:tcBorders>
              <w:right w:val="single" w:sz="8" w:color="auto"/>
            </w:tcBorders>
            <w:shd w:val="clear" w:color="auto" w:fill="DBDBDB"/>
          </w:tcPr>
          <w:p>
            <w:pPr>
              <w:spacing w:after="0"/>
              <w:rPr>
                <w:sz w:val="19"/>
                <w:szCs w:val="19"/>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Annual Nomination and Governance Committee Chair Retainer</w:t>
            </w:r>
          </w:p>
        </w:tc>
        <w:tc>
          <w:tcPr>
            <w:tcW w:w="2700" w:type="dxa"/>
            <w:vAlign w:val="bottom"/>
          </w:tcPr>
          <w:p>
            <w:pPr>
              <w:jc w:val="center"/>
              <w:ind w:left="550"/>
              <w:spacing w:after="0"/>
              <w:rPr>
                <w:sz w:val="20"/>
                <w:szCs w:val="20"/>
                <w:color w:val="auto"/>
              </w:rPr>
            </w:pPr>
            <w:r>
              <w:rPr>
                <w:rFonts w:ascii="Arial" w:cs="Arial" w:eastAsia="Arial" w:hAnsi="Arial"/>
                <w:sz w:val="18"/>
                <w:szCs w:val="18"/>
                <w:color w:val="auto"/>
              </w:rPr>
              <w:t>$10,000</w:t>
            </w:r>
          </w:p>
        </w:tc>
        <w:tc>
          <w:tcPr>
            <w:tcW w:w="2160" w:type="dxa"/>
            <w:vAlign w:val="bottom"/>
            <w:tcBorders>
              <w:right w:val="single" w:sz="8" w:color="auto"/>
            </w:tcBorders>
          </w:tcPr>
          <w:p>
            <w:pPr>
              <w:spacing w:after="0"/>
              <w:rPr>
                <w:sz w:val="19"/>
                <w:szCs w:val="19"/>
                <w:color w:val="auto"/>
              </w:rPr>
            </w:pPr>
          </w:p>
        </w:tc>
      </w:tr>
      <w:tr>
        <w:trPr>
          <w:trHeight w:val="229"/>
        </w:trPr>
        <w:tc>
          <w:tcPr>
            <w:tcW w:w="640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Annual Payments Innovation Committee Chair Retainer</w:t>
            </w:r>
          </w:p>
        </w:tc>
        <w:tc>
          <w:tcPr>
            <w:tcW w:w="2700" w:type="dxa"/>
            <w:vAlign w:val="bottom"/>
            <w:tcBorders>
              <w:bottom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$50,000</w:t>
            </w:r>
          </w:p>
        </w:tc>
        <w:tc>
          <w:tcPr>
            <w:tcW w:w="2160" w:type="dxa"/>
            <w:vAlign w:val="bottom"/>
            <w:tcBorders>
              <w:bottom w:val="single" w:sz="8" w:color="auto"/>
              <w:right w:val="single" w:sz="8" w:color="auto"/>
            </w:tcBorders>
            <w:shd w:val="clear" w:color="auto" w:fill="DBDBDB"/>
          </w:tcPr>
          <w:p>
            <w:pPr>
              <w:spacing w:after="0"/>
              <w:rPr>
                <w:sz w:val="19"/>
                <w:szCs w:val="19"/>
                <w:color w:val="auto"/>
              </w:rPr>
            </w:pPr>
          </w:p>
        </w:tc>
      </w:tr>
    </w:tbl>
    <w:p>
      <w:pPr>
        <w:spacing w:after="0" w:line="18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Director Compensation Policy provides that each non-employee director that is elected to our Board is granted a one-time restricted stock unit (“RSU”) award of our Class A common stock with a value of $400,000 (the “Initial Grant”). The Initial Grant will vest in three equal annual installments commencing on the first anniversary of the grant date, subject to continued service through the applicable vesting date. Furthermore, on the date of each of our annual meetings of stockholders, each non-employee director who will continue as a non-employee director following such meeting is granted an RSU award of our Class A common stock with a value of $200,000 (the “Annual Grant”). The Annual Grant will vest in full on the earlier of (i) the first anniversary of the grant date or (ii) our next annual meeting of stockholders, subject to continued service through the applicable vesting date. Such awards are subject to full acceleration of vesting upon a “sale event” as defined in our 2021 Stock Option and Incentive Plan (the “2021 Plan”).</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policy also provides for a $50,000 RSU award (the “Chairperson Grant”), for annual service as the independent chair of our board, in addition to the $ 50,000 cash retainer for annual service as a member of the Board. The Chairperson Grant has the same terms and conditions as the Annual Grant described above.</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With respect to the Annual Grant and the Chairperson Grant, a non-employee director may elect to receive an amount equal to the Annual Grant and/or the Chairperson Grant in the form of cash payment which vests and will be paid in full on the earlier of (i) the one-year anniversary of the grant date or (ii) the next annual meeting of stockholders. In order to receive cash in lieu of equity, a non-employee director must satisfy applicable stock ownership requirements and have served as a director for at least five years.</w:t>
      </w:r>
    </w:p>
    <w:p>
      <w:pPr>
        <w:spacing w:after="0" w:line="6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We reimburse all reasonable out-of-pocket expenses incurred by directors for their attendance at meetings of our Board or any committee thereof and we reimburse directors for continuing education programs under our Board Continuing Education Policy.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during fiscal year 2025.</w:t>
      </w:r>
    </w:p>
    <w:p>
      <w:pPr>
        <w:spacing w:after="0" w:line="379"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Fiscal Year 2025 Director Compensation Table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60" w:type="dxa"/>
            <w:vAlign w:val="bottom"/>
            <w:tcBorders>
              <w:top w:val="single" w:sz="8" w:color="auto"/>
              <w:left w:val="single" w:sz="8" w:color="auto"/>
            </w:tcBorders>
            <w:shd w:val="clear" w:color="auto" w:fill="929292"/>
          </w:tcPr>
          <w:p>
            <w:pPr>
              <w:spacing w:after="0"/>
              <w:rPr>
                <w:sz w:val="16"/>
                <w:szCs w:val="16"/>
                <w:color w:val="auto"/>
              </w:rPr>
            </w:pPr>
          </w:p>
        </w:tc>
        <w:tc>
          <w:tcPr>
            <w:tcW w:w="2660" w:type="dxa"/>
            <w:vAlign w:val="bottom"/>
            <w:tcBorders>
              <w:top w:val="single" w:sz="8" w:color="auto"/>
            </w:tcBorders>
            <w:shd w:val="clear" w:color="auto" w:fill="929292"/>
          </w:tcPr>
          <w:p>
            <w:pPr>
              <w:jc w:val="right"/>
              <w:ind w:right="10"/>
              <w:spacing w:after="0" w:line="189" w:lineRule="exact"/>
              <w:rPr>
                <w:sz w:val="20"/>
                <w:szCs w:val="20"/>
                <w:color w:val="auto"/>
              </w:rPr>
            </w:pPr>
            <w:r>
              <w:rPr>
                <w:rFonts w:ascii="Arial" w:cs="Arial" w:eastAsia="Arial" w:hAnsi="Arial"/>
                <w:sz w:val="18"/>
                <w:szCs w:val="18"/>
                <w:b w:val="1"/>
                <w:bCs w:val="1"/>
                <w:color w:val="FFFFFF"/>
              </w:rPr>
              <w:t>Fees Earned or</w:t>
            </w:r>
          </w:p>
        </w:tc>
        <w:tc>
          <w:tcPr>
            <w:tcW w:w="2060" w:type="dxa"/>
            <w:vAlign w:val="bottom"/>
            <w:tcBorders>
              <w:top w:val="single" w:sz="8" w:color="auto"/>
            </w:tcBorders>
            <w:shd w:val="clear" w:color="auto" w:fill="929292"/>
          </w:tcPr>
          <w:p>
            <w:pPr>
              <w:jc w:val="right"/>
              <w:spacing w:after="0" w:line="189" w:lineRule="exact"/>
              <w:rPr>
                <w:sz w:val="20"/>
                <w:szCs w:val="20"/>
                <w:color w:val="auto"/>
              </w:rPr>
            </w:pPr>
            <w:r>
              <w:rPr>
                <w:rFonts w:ascii="Arial" w:cs="Arial" w:eastAsia="Arial" w:hAnsi="Arial"/>
                <w:sz w:val="18"/>
                <w:szCs w:val="18"/>
                <w:b w:val="1"/>
                <w:bCs w:val="1"/>
                <w:color w:val="FFFFFF"/>
              </w:rPr>
              <w:t>Restricted Stock Units</w:t>
            </w:r>
          </w:p>
        </w:tc>
        <w:tc>
          <w:tcPr>
            <w:tcW w:w="2460" w:type="dxa"/>
            <w:vAlign w:val="bottom"/>
            <w:tcBorders>
              <w:top w:val="single" w:sz="8" w:color="auto"/>
            </w:tcBorders>
            <w:shd w:val="clear" w:color="auto" w:fill="929292"/>
          </w:tcPr>
          <w:p>
            <w:pPr>
              <w:jc w:val="right"/>
              <w:ind w:right="470"/>
              <w:spacing w:after="0" w:line="189" w:lineRule="exact"/>
              <w:rPr>
                <w:sz w:val="20"/>
                <w:szCs w:val="20"/>
                <w:color w:val="auto"/>
              </w:rPr>
            </w:pPr>
            <w:r>
              <w:rPr>
                <w:rFonts w:ascii="Arial" w:cs="Arial" w:eastAsia="Arial" w:hAnsi="Arial"/>
                <w:sz w:val="18"/>
                <w:szCs w:val="18"/>
                <w:b w:val="1"/>
                <w:bCs w:val="1"/>
                <w:color w:val="FFFFFF"/>
              </w:rPr>
              <w:t>All Other</w:t>
            </w:r>
          </w:p>
        </w:tc>
        <w:tc>
          <w:tcPr>
            <w:tcW w:w="1320" w:type="dxa"/>
            <w:vAlign w:val="bottom"/>
            <w:tcBorders>
              <w:top w:val="single" w:sz="8" w:color="auto"/>
              <w:right w:val="single" w:sz="8" w:color="auto"/>
            </w:tcBorders>
            <w:vMerge w:val="restart"/>
            <w:shd w:val="clear" w:color="auto" w:fill="929292"/>
          </w:tcPr>
          <w:p>
            <w:pPr>
              <w:jc w:val="right"/>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5"/>
        </w:trPr>
        <w:tc>
          <w:tcPr>
            <w:tcW w:w="2760" w:type="dxa"/>
            <w:vAlign w:val="bottom"/>
            <w:tcBorders>
              <w:left w:val="single" w:sz="8" w:color="auto"/>
            </w:tcBorders>
            <w:vMerge w:val="restart"/>
            <w:shd w:val="clear" w:color="auto" w:fill="929292"/>
          </w:tcPr>
          <w:p>
            <w:pPr>
              <w:ind w:left="60"/>
              <w:spacing w:after="0"/>
              <w:rPr>
                <w:sz w:val="20"/>
                <w:szCs w:val="20"/>
                <w:color w:val="auto"/>
              </w:rPr>
            </w:pPr>
            <w:r>
              <w:rPr>
                <w:rFonts w:ascii="Arial" w:cs="Arial" w:eastAsia="Arial" w:hAnsi="Arial"/>
                <w:sz w:val="18"/>
                <w:szCs w:val="18"/>
                <w:b w:val="1"/>
                <w:bCs w:val="1"/>
                <w:color w:val="FFFFFF"/>
              </w:rPr>
              <w:t>Name</w:t>
            </w:r>
          </w:p>
        </w:tc>
        <w:tc>
          <w:tcPr>
            <w:tcW w:w="2660" w:type="dxa"/>
            <w:vAlign w:val="bottom"/>
            <w:shd w:val="clear" w:color="auto" w:fill="929292"/>
          </w:tcPr>
          <w:p>
            <w:pPr>
              <w:jc w:val="right"/>
              <w:ind w:right="10"/>
              <w:spacing w:after="0" w:line="176" w:lineRule="exact"/>
              <w:rPr>
                <w:sz w:val="20"/>
                <w:szCs w:val="20"/>
                <w:color w:val="auto"/>
              </w:rPr>
            </w:pPr>
            <w:r>
              <w:rPr>
                <w:rFonts w:ascii="Arial" w:cs="Arial" w:eastAsia="Arial" w:hAnsi="Arial"/>
                <w:sz w:val="18"/>
                <w:szCs w:val="18"/>
                <w:b w:val="1"/>
                <w:bCs w:val="1"/>
                <w:color w:val="FFFFFF"/>
              </w:rPr>
              <w:t>Paid in Cash</w:t>
            </w:r>
          </w:p>
        </w:tc>
        <w:tc>
          <w:tcPr>
            <w:tcW w:w="2060" w:type="dxa"/>
            <w:vAlign w:val="bottom"/>
            <w:shd w:val="clear" w:color="auto" w:fill="929292"/>
          </w:tcPr>
          <w:p>
            <w:pPr>
              <w:jc w:val="right"/>
              <w:spacing w:after="0" w:line="176" w:lineRule="exact"/>
              <w:rPr>
                <w:sz w:val="20"/>
                <w:szCs w:val="20"/>
                <w:color w:val="auto"/>
              </w:rPr>
            </w:pPr>
            <w:r>
              <w:rPr>
                <w:rFonts w:ascii="Arial" w:cs="Arial" w:eastAsia="Arial" w:hAnsi="Arial"/>
                <w:sz w:val="18"/>
                <w:szCs w:val="18"/>
                <w:b w:val="1"/>
                <w:bCs w:val="1"/>
                <w:color w:val="FFFFFF"/>
              </w:rPr>
              <w:t>(RSUs)</w:t>
            </w:r>
          </w:p>
        </w:tc>
        <w:tc>
          <w:tcPr>
            <w:tcW w:w="2460" w:type="dxa"/>
            <w:vAlign w:val="bottom"/>
            <w:shd w:val="clear" w:color="auto" w:fill="929292"/>
          </w:tcPr>
          <w:p>
            <w:pPr>
              <w:jc w:val="right"/>
              <w:ind w:right="470"/>
              <w:spacing w:after="0" w:line="176" w:lineRule="exact"/>
              <w:rPr>
                <w:sz w:val="20"/>
                <w:szCs w:val="20"/>
                <w:color w:val="auto"/>
              </w:rPr>
            </w:pPr>
            <w:r>
              <w:rPr>
                <w:rFonts w:ascii="Arial" w:cs="Arial" w:eastAsia="Arial" w:hAnsi="Arial"/>
                <w:sz w:val="18"/>
                <w:szCs w:val="18"/>
                <w:b w:val="1"/>
                <w:bCs w:val="1"/>
                <w:color w:val="FFFFFF"/>
              </w:rPr>
              <w:t>Compensation</w:t>
            </w:r>
          </w:p>
        </w:tc>
        <w:tc>
          <w:tcPr>
            <w:tcW w:w="1320" w:type="dxa"/>
            <w:vAlign w:val="bottom"/>
            <w:tcBorders>
              <w:right w:val="single" w:sz="8" w:color="auto"/>
            </w:tcBorders>
            <w:vMerge w:val="continue"/>
            <w:shd w:val="clear" w:color="auto" w:fill="92929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Borders>
              <w:left w:val="single" w:sz="8" w:color="auto"/>
              <w:bottom w:val="single" w:sz="8" w:color="auto"/>
            </w:tcBorders>
            <w:vMerge w:val="continue"/>
            <w:shd w:val="clear" w:color="auto" w:fill="929292"/>
          </w:tcPr>
          <w:p>
            <w:pPr>
              <w:spacing w:after="0"/>
              <w:rPr>
                <w:sz w:val="21"/>
                <w:szCs w:val="21"/>
                <w:color w:val="auto"/>
              </w:rPr>
            </w:pPr>
          </w:p>
        </w:tc>
        <w:tc>
          <w:tcPr>
            <w:tcW w:w="2660" w:type="dxa"/>
            <w:vAlign w:val="bottom"/>
            <w:tcBorders>
              <w:bottom w:val="single" w:sz="8" w:color="auto"/>
            </w:tcBorders>
            <w:shd w:val="clear" w:color="auto" w:fill="929292"/>
          </w:tcPr>
          <w:p>
            <w:pPr>
              <w:jc w:val="right"/>
              <w:ind w:right="10"/>
              <w:spacing w:after="0"/>
              <w:rPr>
                <w:sz w:val="20"/>
                <w:szCs w:val="20"/>
                <w:color w:val="auto"/>
              </w:rPr>
            </w:pPr>
            <w:r>
              <w:rPr>
                <w:rFonts w:ascii="Arial" w:cs="Arial" w:eastAsia="Arial" w:hAnsi="Arial"/>
                <w:sz w:val="18"/>
                <w:szCs w:val="18"/>
                <w:b w:val="1"/>
                <w:bCs w:val="1"/>
                <w:color w:val="FFFFFF"/>
              </w:rPr>
              <w:t>($)</w:t>
            </w:r>
          </w:p>
        </w:tc>
        <w:tc>
          <w:tcPr>
            <w:tcW w:w="2060" w:type="dxa"/>
            <w:vAlign w:val="bottom"/>
            <w:tcBorders>
              <w:bottom w:val="single" w:sz="8" w:color="auto"/>
            </w:tcBorders>
            <w:shd w:val="clear" w:color="auto" w:fill="929292"/>
          </w:tcPr>
          <w:p>
            <w:pPr>
              <w:jc w:val="right"/>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(1)(2)</w:t>
            </w:r>
          </w:p>
        </w:tc>
        <w:tc>
          <w:tcPr>
            <w:tcW w:w="2460" w:type="dxa"/>
            <w:vAlign w:val="bottom"/>
            <w:tcBorders>
              <w:bottom w:val="single" w:sz="8" w:color="auto"/>
            </w:tcBorders>
            <w:shd w:val="clear" w:color="auto" w:fill="929292"/>
          </w:tcPr>
          <w:p>
            <w:pPr>
              <w:ind w:left="1680"/>
              <w:spacing w:after="0"/>
              <w:rPr>
                <w:sz w:val="20"/>
                <w:szCs w:val="20"/>
                <w:color w:val="auto"/>
              </w:rPr>
            </w:pPr>
            <w:r>
              <w:rPr>
                <w:rFonts w:ascii="Arial" w:cs="Arial" w:eastAsia="Arial" w:hAnsi="Arial"/>
                <w:sz w:val="18"/>
                <w:szCs w:val="18"/>
                <w:b w:val="1"/>
                <w:bCs w:val="1"/>
                <w:color w:val="FFFFFF"/>
              </w:rPr>
              <w:t>($)</w:t>
            </w:r>
          </w:p>
        </w:tc>
        <w:tc>
          <w:tcPr>
            <w:tcW w:w="1320" w:type="dxa"/>
            <w:vAlign w:val="bottom"/>
            <w:tcBorders>
              <w:bottom w:val="single" w:sz="8" w:color="auto"/>
              <w:right w:val="single" w:sz="8" w:color="auto"/>
            </w:tcBorders>
            <w:shd w:val="clear" w:color="auto" w:fill="929292"/>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8"/>
                <w:szCs w:val="18"/>
                <w:color w:val="auto"/>
              </w:rPr>
              <w:t>Najuma Atkinson</w:t>
            </w:r>
          </w:p>
        </w:tc>
        <w:tc>
          <w:tcPr>
            <w:tcW w:w="2660" w:type="dxa"/>
            <w:vAlign w:val="bottom"/>
            <w:tcBorders>
              <w:bottom w:val="single" w:sz="8" w:color="B6B6B6"/>
            </w:tcBorders>
          </w:tcPr>
          <w:p>
            <w:pPr>
              <w:jc w:val="right"/>
              <w:ind w:right="70"/>
              <w:spacing w:after="0"/>
              <w:rPr>
                <w:sz w:val="20"/>
                <w:szCs w:val="20"/>
                <w:color w:val="auto"/>
              </w:rPr>
            </w:pPr>
            <w:r>
              <w:rPr>
                <w:rFonts w:ascii="Arial" w:cs="Arial" w:eastAsia="Arial" w:hAnsi="Arial"/>
                <w:sz w:val="18"/>
                <w:szCs w:val="18"/>
                <w:color w:val="auto"/>
              </w:rPr>
              <w:t>65,000</w:t>
            </w:r>
          </w:p>
        </w:tc>
        <w:tc>
          <w:tcPr>
            <w:tcW w:w="20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199,996</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264,996</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Alpesh Chokshi</w:t>
            </w:r>
          </w:p>
        </w:tc>
        <w:tc>
          <w:tcPr>
            <w:tcW w:w="2660" w:type="dxa"/>
            <w:vAlign w:val="bottom"/>
            <w:tcBorders>
              <w:bottom w:val="single" w:sz="8" w:color="B6B6B6"/>
            </w:tcBorders>
            <w:shd w:val="clear" w:color="auto" w:fill="DBDBDB"/>
          </w:tcPr>
          <w:p>
            <w:pPr>
              <w:jc w:val="right"/>
              <w:ind w:right="70"/>
              <w:spacing w:after="0"/>
              <w:rPr>
                <w:sz w:val="20"/>
                <w:szCs w:val="20"/>
                <w:color w:val="auto"/>
              </w:rPr>
            </w:pPr>
            <w:r>
              <w:rPr>
                <w:rFonts w:ascii="Arial" w:cs="Arial" w:eastAsia="Arial" w:hAnsi="Arial"/>
                <w:sz w:val="18"/>
                <w:szCs w:val="18"/>
                <w:color w:val="auto"/>
              </w:rPr>
              <w:t>50,000</w:t>
            </w:r>
          </w:p>
        </w:tc>
        <w:tc>
          <w:tcPr>
            <w:tcW w:w="206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199,996</w:t>
            </w:r>
          </w:p>
        </w:tc>
        <w:tc>
          <w:tcPr>
            <w:tcW w:w="2460" w:type="dxa"/>
            <w:vAlign w:val="bottom"/>
            <w:tcBorders>
              <w:bottom w:val="single" w:sz="8" w:color="B6B6B6"/>
            </w:tcBorders>
            <w:shd w:val="clear" w:color="auto" w:fill="DBDBDB"/>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249,996</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8"/>
                <w:szCs w:val="18"/>
                <w:color w:val="auto"/>
              </w:rPr>
              <w:t>Martha Cummings</w:t>
            </w:r>
          </w:p>
        </w:tc>
        <w:tc>
          <w:tcPr>
            <w:tcW w:w="2660" w:type="dxa"/>
            <w:vAlign w:val="bottom"/>
            <w:tcBorders>
              <w:bottom w:val="single" w:sz="8" w:color="B6B6B6"/>
            </w:tcBorders>
          </w:tcPr>
          <w:p>
            <w:pPr>
              <w:jc w:val="right"/>
              <w:ind w:right="70"/>
              <w:spacing w:after="0"/>
              <w:rPr>
                <w:sz w:val="20"/>
                <w:szCs w:val="20"/>
                <w:color w:val="auto"/>
              </w:rPr>
            </w:pPr>
            <w:r>
              <w:rPr>
                <w:rFonts w:ascii="Arial" w:cs="Arial" w:eastAsia="Arial" w:hAnsi="Arial"/>
                <w:sz w:val="18"/>
                <w:szCs w:val="18"/>
                <w:color w:val="auto"/>
              </w:rPr>
              <w:t>60,000</w:t>
            </w:r>
          </w:p>
        </w:tc>
        <w:tc>
          <w:tcPr>
            <w:tcW w:w="20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199,996</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259,996</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Jason Gardner</w:t>
            </w:r>
            <w:r>
              <w:rPr>
                <w:rFonts w:ascii="Arial" w:cs="Arial" w:eastAsia="Arial" w:hAnsi="Arial"/>
                <w:sz w:val="23"/>
                <w:szCs w:val="23"/>
                <w:color w:val="auto"/>
                <w:vertAlign w:val="superscript"/>
              </w:rPr>
              <w:t>(3)</w:t>
            </w:r>
          </w:p>
        </w:tc>
        <w:tc>
          <w:tcPr>
            <w:tcW w:w="2660" w:type="dxa"/>
            <w:vAlign w:val="bottom"/>
            <w:tcBorders>
              <w:bottom w:val="single" w:sz="8" w:color="B6B6B6"/>
            </w:tcBorders>
            <w:shd w:val="clear" w:color="auto" w:fill="DBDBDB"/>
          </w:tcPr>
          <w:p>
            <w:pPr>
              <w:jc w:val="right"/>
              <w:ind w:right="70"/>
              <w:spacing w:after="0"/>
              <w:rPr>
                <w:sz w:val="20"/>
                <w:szCs w:val="20"/>
                <w:color w:val="auto"/>
              </w:rPr>
            </w:pPr>
            <w:r>
              <w:rPr>
                <w:rFonts w:ascii="Arial" w:cs="Arial" w:eastAsia="Arial" w:hAnsi="Arial"/>
                <w:sz w:val="18"/>
                <w:szCs w:val="18"/>
                <w:color w:val="auto"/>
              </w:rPr>
              <w:t>300,000</w:t>
            </w:r>
          </w:p>
        </w:tc>
        <w:tc>
          <w:tcPr>
            <w:tcW w:w="206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B6B6B6"/>
            </w:tcBorders>
            <w:shd w:val="clear" w:color="auto" w:fill="DBDBDB"/>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8"/>
                <w:szCs w:val="18"/>
                <w:color w:val="auto"/>
              </w:rPr>
              <w:t>R. Mark Graf</w:t>
            </w:r>
          </w:p>
        </w:tc>
        <w:tc>
          <w:tcPr>
            <w:tcW w:w="2660" w:type="dxa"/>
            <w:vAlign w:val="bottom"/>
            <w:tcBorders>
              <w:bottom w:val="single" w:sz="8" w:color="B6B6B6"/>
            </w:tcBorders>
          </w:tcPr>
          <w:p>
            <w:pPr>
              <w:jc w:val="right"/>
              <w:ind w:right="70"/>
              <w:spacing w:after="0"/>
              <w:rPr>
                <w:sz w:val="20"/>
                <w:szCs w:val="20"/>
                <w:color w:val="auto"/>
              </w:rPr>
            </w:pPr>
            <w:r>
              <w:rPr>
                <w:rFonts w:ascii="Arial" w:cs="Arial" w:eastAsia="Arial" w:hAnsi="Arial"/>
                <w:sz w:val="18"/>
                <w:szCs w:val="18"/>
                <w:color w:val="auto"/>
              </w:rPr>
              <w:t>70,000</w:t>
            </w:r>
          </w:p>
        </w:tc>
        <w:tc>
          <w:tcPr>
            <w:tcW w:w="20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199,996</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269,996</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Jud Linville</w:t>
            </w:r>
          </w:p>
        </w:tc>
        <w:tc>
          <w:tcPr>
            <w:tcW w:w="2660" w:type="dxa"/>
            <w:vAlign w:val="bottom"/>
            <w:tcBorders>
              <w:bottom w:val="single" w:sz="8" w:color="B6B6B6"/>
            </w:tcBorders>
            <w:shd w:val="clear" w:color="auto" w:fill="DBDBDB"/>
          </w:tcPr>
          <w:p>
            <w:pPr>
              <w:jc w:val="right"/>
              <w:ind w:right="70"/>
              <w:spacing w:after="0"/>
              <w:rPr>
                <w:sz w:val="20"/>
                <w:szCs w:val="20"/>
                <w:color w:val="auto"/>
              </w:rPr>
            </w:pPr>
            <w:r>
              <w:rPr>
                <w:rFonts w:ascii="Arial" w:cs="Arial" w:eastAsia="Arial" w:hAnsi="Arial"/>
                <w:sz w:val="18"/>
                <w:szCs w:val="18"/>
                <w:color w:val="auto"/>
              </w:rPr>
              <w:t>50,000</w:t>
            </w:r>
          </w:p>
        </w:tc>
        <w:tc>
          <w:tcPr>
            <w:tcW w:w="206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250,000</w:t>
            </w:r>
          </w:p>
        </w:tc>
        <w:tc>
          <w:tcPr>
            <w:tcW w:w="2460" w:type="dxa"/>
            <w:vAlign w:val="bottom"/>
            <w:tcBorders>
              <w:bottom w:val="single" w:sz="8" w:color="B6B6B6"/>
            </w:tcBorders>
            <w:shd w:val="clear" w:color="auto" w:fill="DBDBDB"/>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tcPr>
          <w:p>
            <w:pPr>
              <w:ind w:left="40"/>
              <w:spacing w:after="0" w:line="223" w:lineRule="exact"/>
              <w:rPr>
                <w:sz w:val="20"/>
                <w:szCs w:val="20"/>
                <w:color w:val="auto"/>
              </w:rPr>
            </w:pPr>
            <w:r>
              <w:rPr>
                <w:rFonts w:ascii="Arial" w:cs="Arial" w:eastAsia="Arial" w:hAnsi="Arial"/>
                <w:sz w:val="18"/>
                <w:szCs w:val="18"/>
                <w:color w:val="auto"/>
              </w:rPr>
              <w:t>Elaine Paul</w:t>
            </w:r>
            <w:r>
              <w:rPr>
                <w:rFonts w:ascii="Arial" w:cs="Arial" w:eastAsia="Arial" w:hAnsi="Arial"/>
                <w:sz w:val="23"/>
                <w:szCs w:val="23"/>
                <w:color w:val="auto"/>
                <w:vertAlign w:val="superscript"/>
              </w:rPr>
              <w:t>(4)</w:t>
            </w:r>
          </w:p>
        </w:tc>
        <w:tc>
          <w:tcPr>
            <w:tcW w:w="2660" w:type="dxa"/>
            <w:vAlign w:val="bottom"/>
            <w:tcBorders>
              <w:bottom w:val="single" w:sz="8" w:color="B6B6B6"/>
            </w:tcBorders>
          </w:tcPr>
          <w:p>
            <w:pPr>
              <w:jc w:val="right"/>
              <w:ind w:right="70"/>
              <w:spacing w:after="0"/>
              <w:rPr>
                <w:sz w:val="20"/>
                <w:szCs w:val="20"/>
                <w:color w:val="auto"/>
              </w:rPr>
            </w:pPr>
            <w:r>
              <w:rPr>
                <w:rFonts w:ascii="Arial" w:cs="Arial" w:eastAsia="Arial" w:hAnsi="Arial"/>
                <w:sz w:val="18"/>
                <w:szCs w:val="18"/>
                <w:color w:val="auto"/>
              </w:rPr>
              <w:t>35,165</w:t>
            </w:r>
          </w:p>
        </w:tc>
        <w:tc>
          <w:tcPr>
            <w:tcW w:w="20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599,996</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635,161</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Kiran Prasad</w:t>
            </w:r>
          </w:p>
        </w:tc>
        <w:tc>
          <w:tcPr>
            <w:tcW w:w="2660" w:type="dxa"/>
            <w:vAlign w:val="bottom"/>
            <w:tcBorders>
              <w:bottom w:val="single" w:sz="8" w:color="B6B6B6"/>
            </w:tcBorders>
            <w:shd w:val="clear" w:color="auto" w:fill="DBDBDB"/>
          </w:tcPr>
          <w:p>
            <w:pPr>
              <w:jc w:val="right"/>
              <w:ind w:right="70"/>
              <w:spacing w:after="0"/>
              <w:rPr>
                <w:sz w:val="20"/>
                <w:szCs w:val="20"/>
                <w:color w:val="auto"/>
              </w:rPr>
            </w:pPr>
            <w:r>
              <w:rPr>
                <w:rFonts w:ascii="Arial" w:cs="Arial" w:eastAsia="Arial" w:hAnsi="Arial"/>
                <w:sz w:val="18"/>
                <w:szCs w:val="18"/>
                <w:color w:val="auto"/>
              </w:rPr>
              <w:t>50,000</w:t>
            </w:r>
          </w:p>
        </w:tc>
        <w:tc>
          <w:tcPr>
            <w:tcW w:w="206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199,996</w:t>
            </w:r>
          </w:p>
        </w:tc>
        <w:tc>
          <w:tcPr>
            <w:tcW w:w="2460" w:type="dxa"/>
            <w:vAlign w:val="bottom"/>
            <w:tcBorders>
              <w:bottom w:val="single" w:sz="8" w:color="B6B6B6"/>
            </w:tcBorders>
            <w:shd w:val="clear" w:color="auto" w:fill="DBDBDB"/>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249,996</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tcPr>
          <w:p>
            <w:pPr>
              <w:ind w:left="40"/>
              <w:spacing w:after="0" w:line="223" w:lineRule="exact"/>
              <w:rPr>
                <w:sz w:val="20"/>
                <w:szCs w:val="20"/>
                <w:color w:val="auto"/>
              </w:rPr>
            </w:pPr>
            <w:r>
              <w:rPr>
                <w:rFonts w:ascii="Arial" w:cs="Arial" w:eastAsia="Arial" w:hAnsi="Arial"/>
                <w:sz w:val="18"/>
                <w:szCs w:val="18"/>
                <w:color w:val="auto"/>
              </w:rPr>
              <w:t>Helen Riley</w:t>
            </w:r>
            <w:r>
              <w:rPr>
                <w:rFonts w:ascii="Arial" w:cs="Arial" w:eastAsia="Arial" w:hAnsi="Arial"/>
                <w:sz w:val="23"/>
                <w:szCs w:val="23"/>
                <w:color w:val="auto"/>
                <w:vertAlign w:val="superscript"/>
              </w:rPr>
              <w:t>(5)</w:t>
            </w:r>
          </w:p>
        </w:tc>
        <w:tc>
          <w:tcPr>
            <w:tcW w:w="2660" w:type="dxa"/>
            <w:vAlign w:val="bottom"/>
            <w:tcBorders>
              <w:bottom w:val="single" w:sz="8" w:color="B6B6B6"/>
            </w:tcBorders>
          </w:tcPr>
          <w:p>
            <w:pPr>
              <w:jc w:val="right"/>
              <w:ind w:right="70"/>
              <w:spacing w:after="0"/>
              <w:rPr>
                <w:sz w:val="20"/>
                <w:szCs w:val="20"/>
                <w:color w:val="auto"/>
              </w:rPr>
            </w:pPr>
            <w:r>
              <w:rPr>
                <w:rFonts w:ascii="Arial" w:cs="Arial" w:eastAsia="Arial" w:hAnsi="Arial"/>
                <w:sz w:val="18"/>
                <w:szCs w:val="18"/>
                <w:color w:val="auto"/>
              </w:rPr>
              <w:t>22,527</w:t>
            </w:r>
          </w:p>
        </w:tc>
        <w:tc>
          <w:tcPr>
            <w:tcW w:w="20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22,527</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Godfrey Sullivan</w:t>
            </w:r>
            <w:r>
              <w:rPr>
                <w:rFonts w:ascii="Arial" w:cs="Arial" w:eastAsia="Arial" w:hAnsi="Arial"/>
                <w:sz w:val="23"/>
                <w:szCs w:val="23"/>
                <w:color w:val="auto"/>
                <w:vertAlign w:val="superscript"/>
              </w:rPr>
              <w:t>(5)</w:t>
            </w:r>
          </w:p>
        </w:tc>
        <w:tc>
          <w:tcPr>
            <w:tcW w:w="2660" w:type="dxa"/>
            <w:vAlign w:val="bottom"/>
            <w:tcBorders>
              <w:bottom w:val="single" w:sz="8" w:color="B6B6B6"/>
            </w:tcBorders>
            <w:shd w:val="clear" w:color="auto" w:fill="DBDBDB"/>
          </w:tcPr>
          <w:p>
            <w:pPr>
              <w:jc w:val="right"/>
              <w:ind w:right="70"/>
              <w:spacing w:after="0"/>
              <w:rPr>
                <w:sz w:val="20"/>
                <w:szCs w:val="20"/>
                <w:color w:val="auto"/>
              </w:rPr>
            </w:pPr>
            <w:r>
              <w:rPr>
                <w:rFonts w:ascii="Arial" w:cs="Arial" w:eastAsia="Arial" w:hAnsi="Arial"/>
                <w:sz w:val="18"/>
                <w:szCs w:val="18"/>
                <w:color w:val="auto"/>
              </w:rPr>
              <w:t>22,527</w:t>
            </w:r>
          </w:p>
        </w:tc>
        <w:tc>
          <w:tcPr>
            <w:tcW w:w="206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B6B6B6"/>
            </w:tcBorders>
            <w:shd w:val="clear" w:color="auto" w:fill="DBDBDB"/>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22,527</w:t>
            </w: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Wendy Thomas</w:t>
            </w:r>
            <w:r>
              <w:rPr>
                <w:rFonts w:ascii="Arial" w:cs="Arial" w:eastAsia="Arial" w:hAnsi="Arial"/>
                <w:sz w:val="23"/>
                <w:szCs w:val="23"/>
                <w:color w:val="auto"/>
                <w:vertAlign w:val="superscript"/>
              </w:rPr>
              <w:t>(4)</w:t>
            </w:r>
          </w:p>
        </w:tc>
        <w:tc>
          <w:tcPr>
            <w:tcW w:w="2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35,165</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599,996</w:t>
            </w:r>
          </w:p>
        </w:tc>
        <w:tc>
          <w:tcPr>
            <w:tcW w:w="2460" w:type="dxa"/>
            <w:vAlign w:val="bottom"/>
            <w:tcBorders>
              <w:bottom w:val="single" w:sz="8" w:color="B6B6B6"/>
            </w:tcBorders>
          </w:tcPr>
          <w:p>
            <w:pPr>
              <w:ind w:left="16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635,161</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right="20" w:hanging="332"/>
        <w:spacing w:after="0" w:line="246" w:lineRule="auto"/>
        <w:tabs>
          <w:tab w:leader="none" w:pos="36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column reflects the aggregate grant date value of RSUs granted during fiscal year 2025 calculated in accordance with FASB ASC Topic 718. The assumptions used in calculating the grant date fair value of the RSUs reported in this column are set forth in the notes to our consolidated financial statements included in our 2025 Annual Report. The amounts reported in this column reflect the accounting cost for these awards and do not correspond to the actual economic value that will be realized by the director upon the vesting of the RSUs, or the sale of the common stock underlying such RSUs.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December 31, 2025, our non-employee directors held (i) outstanding options to purchase the number of shares of common stock as follows: Ms. Cummings</w:t>
      </w:r>
    </w:p>
    <w:p>
      <w:pPr>
        <w:spacing w:after="0" w:line="1" w:lineRule="exact"/>
        <w:rPr>
          <w:rFonts w:ascii="Arial" w:cs="Arial" w:eastAsia="Arial" w:hAnsi="Arial"/>
          <w:sz w:val="14"/>
          <w:szCs w:val="14"/>
          <w:color w:val="auto"/>
        </w:rPr>
      </w:pPr>
    </w:p>
    <w:p>
      <w:pPr>
        <w:ind w:left="340" w:right="20"/>
        <w:spacing w:after="0" w:line="241" w:lineRule="auto"/>
        <w:rPr>
          <w:rFonts w:ascii="Arial" w:cs="Arial" w:eastAsia="Arial" w:hAnsi="Arial"/>
          <w:sz w:val="14"/>
          <w:szCs w:val="14"/>
          <w:color w:val="auto"/>
        </w:rPr>
      </w:pPr>
      <w:r>
        <w:rPr>
          <w:rFonts w:ascii="Arial" w:cs="Arial" w:eastAsia="Arial" w:hAnsi="Arial"/>
          <w:sz w:val="14"/>
          <w:szCs w:val="14"/>
          <w:color w:val="auto"/>
        </w:rPr>
        <w:t>(581,000); Mr. Gardner (2,438,530); and Mr. Linville (600,000); and (ii) unvested and outstanding RSUs as follows: Ms. Atkinson (67,160); Mr. Chokshi (87,479); Ms. Cummings (36,297); Mr. Graf (87,875); Mr. Linville (45,372); Ms. Paul (141,009); Mr. Prasad (36,297); and Ms. Thomas (141,009).</w:t>
      </w: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Gardner elected to receive the 2025 Annual Grant of $200,000 in cash in lieu of equity as permitted under the Director Compensation Policy.</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Mmes. Paul and Thomas were appointed to our Board on April 18, 2025.</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Ms. Riley and Mr. Sullivan departed from our Board on June 12, 2025, following our 2025 annual meeting of stockholders.</w:t>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0" w:right="319" w:bottom="1440" w:gutter="0" w:footer="0" w:header="0"/>
        </w:sectPr>
      </w:pPr>
    </w:p>
    <w:bookmarkStart w:id="25" w:name="page26"/>
    <w:bookmarkEnd w:id="25"/>
    <w:tbl>
      <w:tblPr>
        <w:tblLayout w:type="fixed"/>
        <w:tblInd w:w="130" w:type="dxa"/>
        <w:tblCellMar>
          <w:top w:w="0" w:type="dxa"/>
          <w:left w:w="0" w:type="dxa"/>
          <w:bottom w:w="0" w:type="dxa"/>
          <w:right w:w="0" w:type="dxa"/>
        </w:tblCellMar>
      </w:tblPr>
      <w:tr>
        <w:trPr>
          <w:trHeight w:val="232"/>
        </w:trPr>
        <w:tc>
          <w:tcPr>
            <w:tcW w:w="3100" w:type="dxa"/>
            <w:vAlign w:val="bottom"/>
            <w:tcBorders>
              <w:top w:val="single" w:sz="8" w:color="auto"/>
              <w:left w:val="single" w:sz="8" w:color="auto"/>
              <w:right w:val="single" w:sz="8" w:color="auto"/>
            </w:tcBorders>
            <w:vMerge w:val="restart"/>
            <w:shd w:val="clear" w:color="auto" w:fill="929292"/>
          </w:tcPr>
          <w:p>
            <w:pPr>
              <w:ind w:left="920"/>
              <w:spacing w:after="0"/>
              <w:rPr>
                <w:sz w:val="20"/>
                <w:szCs w:val="20"/>
                <w:color w:val="auto"/>
              </w:rPr>
            </w:pPr>
            <w:r>
              <w:rPr>
                <w:rFonts w:ascii="Arial" w:cs="Arial" w:eastAsia="Arial" w:hAnsi="Arial"/>
                <w:sz w:val="25"/>
                <w:szCs w:val="25"/>
                <w:b w:val="1"/>
                <w:bCs w:val="1"/>
                <w:color w:val="FFFFFF"/>
              </w:rPr>
              <w:t>Proposal 2</w:t>
            </w:r>
          </w:p>
        </w:tc>
        <w:tc>
          <w:tcPr>
            <w:tcW w:w="5340" w:type="dxa"/>
            <w:vAlign w:val="bottom"/>
          </w:tcPr>
          <w:p>
            <w:pPr>
              <w:ind w:left="160"/>
              <w:spacing w:after="0" w:line="232" w:lineRule="exact"/>
              <w:rPr>
                <w:sz w:val="20"/>
                <w:szCs w:val="20"/>
                <w:color w:val="auto"/>
              </w:rPr>
            </w:pPr>
            <w:r>
              <w:rPr>
                <w:rFonts w:ascii="Arial" w:cs="Arial" w:eastAsia="Arial" w:hAnsi="Arial"/>
                <w:sz w:val="25"/>
                <w:szCs w:val="25"/>
                <w:b w:val="1"/>
                <w:bCs w:val="1"/>
                <w:color w:val="auto"/>
              </w:rPr>
              <w:t>Ratification of Appointment of Independent</w:t>
            </w:r>
          </w:p>
        </w:tc>
        <w:tc>
          <w:tcPr>
            <w:tcW w:w="0" w:type="dxa"/>
            <w:vAlign w:val="bottom"/>
          </w:tcPr>
          <w:p>
            <w:pPr>
              <w:spacing w:after="0"/>
              <w:rPr>
                <w:sz w:val="1"/>
                <w:szCs w:val="1"/>
                <w:color w:val="auto"/>
              </w:rPr>
            </w:pPr>
          </w:p>
        </w:tc>
      </w:tr>
      <w:tr>
        <w:trPr>
          <w:trHeight w:val="213"/>
        </w:trPr>
        <w:tc>
          <w:tcPr>
            <w:tcW w:w="3100" w:type="dxa"/>
            <w:vAlign w:val="bottom"/>
            <w:tcBorders>
              <w:left w:val="single" w:sz="8" w:color="auto"/>
              <w:right w:val="single" w:sz="8" w:color="auto"/>
            </w:tcBorders>
            <w:vMerge w:val="continue"/>
            <w:shd w:val="clear" w:color="auto" w:fill="929292"/>
          </w:tcPr>
          <w:p>
            <w:pPr>
              <w:spacing w:after="0"/>
              <w:rPr>
                <w:sz w:val="18"/>
                <w:szCs w:val="18"/>
                <w:color w:val="auto"/>
              </w:rPr>
            </w:pPr>
          </w:p>
        </w:tc>
        <w:tc>
          <w:tcPr>
            <w:tcW w:w="5340" w:type="dxa"/>
            <w:vAlign w:val="bottom"/>
            <w:vMerge w:val="restart"/>
          </w:tcPr>
          <w:p>
            <w:pPr>
              <w:ind w:left="160"/>
              <w:spacing w:after="0"/>
              <w:rPr>
                <w:sz w:val="20"/>
                <w:szCs w:val="20"/>
                <w:color w:val="auto"/>
              </w:rPr>
            </w:pPr>
            <w:r>
              <w:rPr>
                <w:rFonts w:ascii="Arial" w:cs="Arial" w:eastAsia="Arial" w:hAnsi="Arial"/>
                <w:sz w:val="25"/>
                <w:szCs w:val="25"/>
                <w:b w:val="1"/>
                <w:bCs w:val="1"/>
                <w:color w:val="auto"/>
              </w:rPr>
              <w:t>Registered Public Accounting Firm</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bottom w:val="single" w:sz="8" w:color="auto"/>
              <w:right w:val="single" w:sz="8" w:color="auto"/>
            </w:tcBorders>
            <w:shd w:val="clear" w:color="auto" w:fill="929292"/>
          </w:tcPr>
          <w:p>
            <w:pPr>
              <w:spacing w:after="0"/>
              <w:rPr>
                <w:sz w:val="9"/>
                <w:szCs w:val="9"/>
                <w:color w:val="auto"/>
              </w:rPr>
            </w:pPr>
          </w:p>
        </w:tc>
        <w:tc>
          <w:tcPr>
            <w:tcW w:w="5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Audit Committee has appointed KPMG LLP (“KPMG”) as our independent registered public accounting firm to audit our consolidated financial statements for our fiscal year ending December 31, 2026.</w:t>
      </w:r>
    </w:p>
    <w:p>
      <w:pPr>
        <w:spacing w:after="0" w:line="4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At the Annual Meeting, stockholders are being asked to ratify the appointment of KPMG as our independent registered public accounting firm for our fiscal year ending December 31, 2026. Stockholder ratification of the appointment of KPMG is not required by our bylaws or other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applicable legal requirements. However, our Board is submitting the appointment of KPMG to our stockholders for ratification as a matter of good corporate governance. In the event that this appointment is not ratified by the affirmative vote of a majority of the shares present in person or by proxy at the Annual Meeting and entitled to vote, our Audit Committee will consider the outcome of the vote in determining whether to retain this firm for our fiscal year ending December 31, 2026.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Marqeta and its stockholders. A representative of KPMG is expected to be present at the Annual Meeting, will have an opportunity to make a statement if he or she wishes to do so, and is expected to be available to respond to appropriate questions from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the Independent Registered Public Accounting Firm</w:t>
      </w:r>
    </w:p>
    <w:p>
      <w:pPr>
        <w:spacing w:after="0" w:line="94"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KPMG for our fiscal years ended December 31, 2025 and December 31, 2024.</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060" w:type="dxa"/>
            <w:vAlign w:val="bottom"/>
            <w:tcBorders>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gridSpan w:val="2"/>
            <w:shd w:val="clear" w:color="auto" w:fill="929292"/>
          </w:tcPr>
          <w:p>
            <w:pPr>
              <w:jc w:val="right"/>
              <w:ind w:right="30"/>
              <w:spacing w:after="0"/>
              <w:rPr>
                <w:sz w:val="20"/>
                <w:szCs w:val="20"/>
                <w:color w:val="auto"/>
              </w:rPr>
            </w:pPr>
            <w:r>
              <w:rPr>
                <w:rFonts w:ascii="Arial" w:cs="Arial" w:eastAsia="Arial" w:hAnsi="Arial"/>
                <w:sz w:val="18"/>
                <w:szCs w:val="18"/>
                <w:b w:val="1"/>
                <w:bCs w:val="1"/>
                <w:color w:val="FFFFFF"/>
              </w:rPr>
              <w:t>Fiscal Year 2025</w:t>
            </w:r>
          </w:p>
        </w:tc>
        <w:tc>
          <w:tcPr>
            <w:tcW w:w="100" w:type="dxa"/>
            <w:vAlign w:val="bottom"/>
            <w:tcBorders>
              <w:right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929292"/>
          </w:tcPr>
          <w:p>
            <w:pPr>
              <w:jc w:val="right"/>
              <w:spacing w:after="0"/>
              <w:rPr>
                <w:sz w:val="20"/>
                <w:szCs w:val="20"/>
                <w:color w:val="auto"/>
              </w:rPr>
            </w:pPr>
            <w:r>
              <w:rPr>
                <w:rFonts w:ascii="Arial" w:cs="Arial" w:eastAsia="Arial" w:hAnsi="Arial"/>
                <w:sz w:val="18"/>
                <w:szCs w:val="18"/>
                <w:b w:val="1"/>
                <w:bCs w:val="1"/>
                <w:color w:val="FFFFFF"/>
                <w:shd w:val="clear" w:color="auto" w:fill="929292"/>
              </w:rPr>
              <w:t>Fiscal Year 2024</w:t>
            </w: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337"/>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3,845,845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3,771,077</w:t>
            </w:r>
          </w:p>
        </w:tc>
        <w:tc>
          <w:tcPr>
            <w:tcW w:w="20" w:type="dxa"/>
            <w:vAlign w:val="bottom"/>
          </w:tcPr>
          <w:p>
            <w:pPr>
              <w:spacing w:after="0"/>
              <w:rPr>
                <w:sz w:val="24"/>
                <w:szCs w:val="24"/>
                <w:color w:val="auto"/>
              </w:rPr>
            </w:pPr>
          </w:p>
        </w:tc>
      </w:tr>
      <w:tr>
        <w:trPr>
          <w:trHeight w:val="359"/>
        </w:trPr>
        <w:tc>
          <w:tcPr>
            <w:tcW w:w="8060" w:type="dxa"/>
            <w:vAlign w:val="bottom"/>
            <w:tcBorders>
              <w:left w:val="single" w:sz="8" w:color="DBDBDB"/>
              <w:right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Audit-Related Fees</w:t>
            </w:r>
            <w:r>
              <w:rPr>
                <w:rFonts w:ascii="Arial" w:cs="Arial" w:eastAsia="Arial" w:hAnsi="Arial"/>
                <w:sz w:val="23"/>
                <w:szCs w:val="23"/>
                <w:b w:val="1"/>
                <w:bCs w:val="1"/>
                <w:color w:val="auto"/>
                <w:vertAlign w:val="superscript"/>
              </w:rPr>
              <w:t>(2)</w:t>
            </w:r>
          </w:p>
        </w:tc>
        <w:tc>
          <w:tcPr>
            <w:tcW w:w="400" w:type="dxa"/>
            <w:vAlign w:val="bottom"/>
            <w:shd w:val="clear" w:color="auto" w:fill="DBDBDB"/>
          </w:tcPr>
          <w:p>
            <w:pPr>
              <w:spacing w:after="0"/>
              <w:rPr>
                <w:sz w:val="24"/>
                <w:szCs w:val="24"/>
                <w:color w:val="auto"/>
              </w:rPr>
            </w:pPr>
          </w:p>
        </w:tc>
        <w:tc>
          <w:tcPr>
            <w:tcW w:w="12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DBDBDB"/>
            </w:tcBorders>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4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23"/>
                <w:szCs w:val="23"/>
                <w:b w:val="1"/>
                <w:bCs w:val="1"/>
                <w:color w:val="auto"/>
                <w:vertAlign w:val="superscript"/>
              </w:rPr>
              <w:t>(3)</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8060" w:type="dxa"/>
            <w:vAlign w:val="bottom"/>
            <w:tcBorders>
              <w:left w:val="single" w:sz="8" w:color="DBDBDB"/>
              <w:bottom w:val="single" w:sz="8" w:color="auto"/>
              <w:right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All Other Fees</w:t>
            </w:r>
          </w:p>
        </w:tc>
        <w:tc>
          <w:tcPr>
            <w:tcW w:w="40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r>
      <w:tr>
        <w:trPr>
          <w:trHeight w:val="223"/>
        </w:trPr>
        <w:tc>
          <w:tcPr>
            <w:tcW w:w="8060" w:type="dxa"/>
            <w:vAlign w:val="bottom"/>
            <w:tcBorders>
              <w:left w:val="single" w:sz="8" w:color="auto"/>
              <w:bottom w:val="single" w:sz="8" w:color="auto"/>
              <w:right w:val="single" w:sz="8" w:color="929292"/>
            </w:tcBorders>
            <w:shd w:val="clear" w:color="auto" w:fill="929292"/>
          </w:tcPr>
          <w:p>
            <w:pPr>
              <w:ind w:left="40"/>
              <w:spacing w:after="0"/>
              <w:rPr>
                <w:sz w:val="20"/>
                <w:szCs w:val="20"/>
                <w:color w:val="auto"/>
              </w:rPr>
            </w:pPr>
            <w:r>
              <w:rPr>
                <w:rFonts w:ascii="Arial" w:cs="Arial" w:eastAsia="Arial" w:hAnsi="Arial"/>
                <w:sz w:val="18"/>
                <w:szCs w:val="18"/>
                <w:b w:val="1"/>
                <w:bCs w:val="1"/>
                <w:color w:val="FFFFFF"/>
              </w:rPr>
              <w:t>Total Fees</w:t>
            </w:r>
          </w:p>
        </w:tc>
        <w:tc>
          <w:tcPr>
            <w:tcW w:w="400" w:type="dxa"/>
            <w:vAlign w:val="bottom"/>
            <w:tcBorders>
              <w:bottom w:val="single" w:sz="8" w:color="auto"/>
            </w:tcBorders>
            <w:shd w:val="clear" w:color="auto" w:fill="929292"/>
          </w:tcPr>
          <w:p>
            <w:pPr>
              <w:jc w:val="right"/>
              <w:ind w:right="210"/>
              <w:spacing w:after="0"/>
              <w:rPr>
                <w:sz w:val="20"/>
                <w:szCs w:val="20"/>
                <w:color w:val="auto"/>
              </w:rPr>
            </w:pPr>
            <w:r>
              <w:rPr>
                <w:rFonts w:ascii="Arial" w:cs="Arial" w:eastAsia="Arial" w:hAnsi="Arial"/>
                <w:sz w:val="18"/>
                <w:szCs w:val="18"/>
                <w:color w:val="FFFFFF"/>
                <w:w w:val="79"/>
              </w:rPr>
              <w:t>$</w:t>
            </w:r>
          </w:p>
        </w:tc>
        <w:tc>
          <w:tcPr>
            <w:tcW w:w="1200" w:type="dxa"/>
            <w:vAlign w:val="bottom"/>
            <w:tcBorders>
              <w:bottom w:val="single" w:sz="8" w:color="auto"/>
              <w:right w:val="single" w:sz="8" w:color="auto"/>
            </w:tcBorders>
            <w:shd w:val="clear" w:color="auto" w:fill="929292"/>
          </w:tcPr>
          <w:p>
            <w:pPr>
              <w:jc w:val="right"/>
              <w:spacing w:after="0"/>
              <w:rPr>
                <w:sz w:val="20"/>
                <w:szCs w:val="20"/>
                <w:color w:val="auto"/>
              </w:rPr>
            </w:pPr>
            <w:r>
              <w:rPr>
                <w:rFonts w:ascii="Arial" w:cs="Arial" w:eastAsia="Arial" w:hAnsi="Arial"/>
                <w:sz w:val="18"/>
                <w:szCs w:val="18"/>
                <w:color w:val="FFFFFF"/>
              </w:rPr>
              <w:t>3,849,728</w:t>
            </w:r>
          </w:p>
        </w:tc>
        <w:tc>
          <w:tcPr>
            <w:tcW w:w="460" w:type="dxa"/>
            <w:vAlign w:val="bottom"/>
            <w:tcBorders>
              <w:bottom w:val="single" w:sz="8" w:color="auto"/>
            </w:tcBorders>
            <w:gridSpan w:val="2"/>
            <w:shd w:val="clear" w:color="auto" w:fill="929292"/>
          </w:tcPr>
          <w:p>
            <w:pPr>
              <w:jc w:val="right"/>
              <w:ind w:right="170"/>
              <w:spacing w:after="0"/>
              <w:rPr>
                <w:sz w:val="20"/>
                <w:szCs w:val="20"/>
                <w:color w:val="auto"/>
              </w:rPr>
            </w:pPr>
            <w:r>
              <w:rPr>
                <w:rFonts w:ascii="Arial" w:cs="Arial" w:eastAsia="Arial" w:hAnsi="Arial"/>
                <w:sz w:val="18"/>
                <w:szCs w:val="18"/>
                <w:color w:val="FFFFFF"/>
              </w:rPr>
              <w:t>$</w:t>
            </w:r>
          </w:p>
        </w:tc>
        <w:tc>
          <w:tcPr>
            <w:tcW w:w="1120" w:type="dxa"/>
            <w:vAlign w:val="bottom"/>
            <w:tcBorders>
              <w:bottom w:val="single" w:sz="8" w:color="auto"/>
            </w:tcBorders>
            <w:shd w:val="clear" w:color="auto" w:fill="929292"/>
          </w:tcPr>
          <w:p>
            <w:pPr>
              <w:jc w:val="right"/>
              <w:spacing w:after="0"/>
              <w:rPr>
                <w:sz w:val="20"/>
                <w:szCs w:val="20"/>
                <w:color w:val="auto"/>
              </w:rPr>
            </w:pPr>
            <w:r>
              <w:rPr>
                <w:rFonts w:ascii="Arial" w:cs="Arial" w:eastAsia="Arial" w:hAnsi="Arial"/>
                <w:sz w:val="18"/>
                <w:szCs w:val="18"/>
                <w:color w:val="FFFFFF"/>
              </w:rPr>
              <w:t>3,771,077</w:t>
            </w: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85" w:lineRule="exact"/>
        <w:rPr>
          <w:sz w:val="20"/>
          <w:szCs w:val="20"/>
          <w:color w:val="auto"/>
        </w:rPr>
      </w:pPr>
    </w:p>
    <w:p>
      <w:pPr>
        <w:jc w:val="both"/>
        <w:ind w:left="340" w:right="20" w:hanging="332"/>
        <w:spacing w:after="0" w:line="268" w:lineRule="auto"/>
        <w:tabs>
          <w:tab w:leader="none" w:pos="367" w:val="left"/>
        </w:tabs>
        <w:numPr>
          <w:ilvl w:val="0"/>
          <w:numId w:val="61"/>
        </w:numPr>
        <w:rPr>
          <w:rFonts w:ascii="Arial" w:cs="Arial" w:eastAsia="Arial" w:hAnsi="Arial"/>
          <w:sz w:val="14"/>
          <w:szCs w:val="14"/>
          <w:color w:val="auto"/>
        </w:rPr>
      </w:pPr>
      <w:r>
        <w:rPr>
          <w:rFonts w:ascii="Arial" w:cs="Arial" w:eastAsia="Arial" w:hAnsi="Arial"/>
          <w:sz w:val="14"/>
          <w:szCs w:val="14"/>
          <w:color w:val="auto"/>
        </w:rPr>
        <w:t>“Audit Fees” consisted of fees for professional services provided in connection with the audit of our consolidated financial statements (including the audit of internal control over financial reporting and certain other accounting consultations), quarterly reviews of interim condensed consolidated financial statements, and for fiscal year 2024, regulatory and other related matters.</w:t>
      </w:r>
    </w:p>
    <w:p>
      <w:pPr>
        <w:spacing w:after="0" w:line="1"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“Audit-Related Fees” consisted of fees for professional services that are reasonably related to the performance of the audit or review of our financial statements not reported as “Audit Fees.” We did not incur Audit-Related Fees in fiscal years 2024 and 2025.</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“Tax Fees” consisted of fees for professional services rendered in connection with certain tax filings in a foreign jurisdiction related to TransactPay.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 Independence</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fiscal year 2025, there were no other professional services provided by KPMG that would have required our Audit Committee to consider their compatibility with maintaining the independence of KPMG.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Policy for Audit and Non-Audit Services</w:t>
      </w:r>
    </w:p>
    <w:p>
      <w:pPr>
        <w:spacing w:after="0" w:line="10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Our Audit Committee is required to pre-approve all audit and permissible non-audit services performed by our independent registered public accounting firm in order to ensure that the provision of such services does not impair such accounting firm’s independence.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Independent Registered Public Accounting Firm</w:t>
      </w:r>
    </w:p>
    <w:p>
      <w:pPr>
        <w:spacing w:after="0" w:line="1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March 1, 2024, our Audit Committee dismissed EY as our independent registered public accounting firm, and approved the engagement of KPMG as our independent registered public accounting firm for fiscal year 2024. The dismissal of EY was not related to any disagreements with</w:t>
      </w:r>
    </w:p>
    <w:p>
      <w:pPr>
        <w:spacing w:after="0" w:line="338"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EY on any matter of accounting principles or practices, financial statement disclosure, or auditing scope or procedure.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than as described below, the reports of EY on our consolidated financial statements as of and for fiscal year 2023 did not contain an adverse opinion or a disclaimer of opinion and was not qualified or modified as to uncertainty, audit scope, or accounting principles.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year 2023, there were no disagreements within the meaning of Item 304(a)(1)(iv) of Regulation S-K between us and EY on any matter of accounting principles or practices, financial statement disclosure, or auditing scope or procedure, any of which, if not resolved to EY’s satisfaction, would have caused EY to make reference thereto in their reports.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2023, there were no “reportable events” (as described in Item 304(a)(1)(v) of Regulation S-K), except for:</w:t>
      </w:r>
    </w:p>
    <w:p>
      <w:pPr>
        <w:spacing w:after="0" w:line="117" w:lineRule="exact"/>
        <w:rPr>
          <w:sz w:val="20"/>
          <w:szCs w:val="20"/>
          <w:color w:val="auto"/>
        </w:rPr>
      </w:pPr>
    </w:p>
    <w:p>
      <w:pPr>
        <w:jc w:val="both"/>
        <w:ind w:left="660" w:hanging="328"/>
        <w:spacing w:after="0" w:line="268"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material weakness in our internal control over financial reporting as initially reported in Part I, Item 4 of our Quarterly Report on Form 10-Q for the fiscal quarter ended March 31, 2023, as filed with the SEC on May 9, 2023, related to business combination accounting.</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material weakness in our internal control over financial reporting as initially reported in Part II, Item 9A of our 2023 Annual Report related to information technology (“IT”) general controls in user access over certain IT systems that support our revenue and related financial reporting processes. As a result, the related process-level IT dependent manual controls, certain change management controls, and automated application controls for certain key IT systems were also deemed ineffective for the period ended December 31, 2023.</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above reportable events were discussed between the Audit Committee and EY. EY was authorized by us to respond fully to the inquiries of KPMG, the successor independent registered public accounting firm, concerning these reportable events.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provided EY with a copy of the above disclosures as included in the Current Report on Form 8-K we filed with the SEC on March 7, 2024, and requested that EY furnish us with a letter addressed to the SEC stating whether it agrees with the statements made by us in that Form 8-K and, if not, stating the respects in which it does not agree. A copy of the letter provided by EY, dated March 7, 2024, is filed as Exhibit 16.1 to that Form 8-K, and is incorporated herein by reference.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year 2025, fiscal year 2024 and fiscal year 2023, neither we nor anyone acting on our behalf consulted with KPMG regarding any of the matters described in Items 304(a)(2)(i) and (ii) of Regulation S-K.</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ratification of the appointment of KPMG requires the affirmative vote of a majority of the voting power of the shares of our common stock present in person or by proxy at the Annual Meeting and entitled to vote thereon. Abstentions will have the effect of a vote “AGAINST” the proposal.</w:t>
      </w:r>
    </w:p>
    <w:p>
      <w:pPr>
        <w:spacing w:after="0" w:line="107" w:lineRule="exact"/>
        <w:rPr>
          <w:sz w:val="20"/>
          <w:szCs w:val="20"/>
          <w:color w:val="auto"/>
        </w:rPr>
      </w:pPr>
    </w:p>
    <w:p>
      <w:pPr>
        <w:ind w:left="40" w:right="20"/>
        <w:spacing w:after="0" w:line="247" w:lineRule="auto"/>
        <w:rPr>
          <w:sz w:val="20"/>
          <w:szCs w:val="20"/>
          <w:color w:val="auto"/>
        </w:rPr>
      </w:pPr>
      <w:r>
        <w:rPr>
          <w:rFonts w:ascii="Arial" w:cs="Arial" w:eastAsia="Arial" w:hAnsi="Arial"/>
          <w:sz w:val="22"/>
          <w:szCs w:val="22"/>
          <w:b w:val="1"/>
          <w:bCs w:val="1"/>
          <w:color w:val="FFFFFF"/>
        </w:rPr>
        <w:t>The Board recommends a vote “FOR” the ratification of the appointment of KPMG LLP as our independent registered public accounting firm for our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0575"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Marqeta specifically incorporates this report or a portion of it by reference.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assists the Board in oversight of (1) the integrity of Marqeta’s financial statements, (2) Marqeta’s compliance with legal and regulatory requirements, (3) the qualifications, independence, and performance of Marqeta’s auditors engaged for the purpose of issuing an audit report or performing other audit, review, or attest services for Marqeta, (4) Marqeta’s governance, policies, and processes for monitoring and mitigating risks, and (5) the performance of Marqeta’s internal audit function. KPMG LLP was responsible for auditing the financial statements prepared by management for the fiscal year ended December 31, 2025.</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our review of Marqeta’s audited financial statements for the fiscal year ended December 31, 2025, we relied on reports received from KPMG LLP as well as the advice and information we received during discussions with management. In this context, we hereby report as follows:</w:t>
      </w:r>
    </w:p>
    <w:p>
      <w:pPr>
        <w:spacing w:after="0" w:line="63" w:lineRule="exact"/>
        <w:rPr>
          <w:sz w:val="20"/>
          <w:szCs w:val="20"/>
          <w:color w:val="auto"/>
        </w:rPr>
      </w:pPr>
    </w:p>
    <w:p>
      <w:pPr>
        <w:ind w:left="500" w:hanging="249"/>
        <w:spacing w:after="0" w:line="281" w:lineRule="auto"/>
        <w:tabs>
          <w:tab w:leader="none" w:pos="5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December 31, 2025 with management;</w:t>
      </w:r>
    </w:p>
    <w:p>
      <w:pPr>
        <w:spacing w:after="0" w:line="1" w:lineRule="exact"/>
        <w:rPr>
          <w:rFonts w:ascii="Arial" w:cs="Arial" w:eastAsia="Arial" w:hAnsi="Arial"/>
          <w:sz w:val="18"/>
          <w:szCs w:val="18"/>
          <w:color w:val="auto"/>
        </w:rPr>
      </w:pPr>
    </w:p>
    <w:p>
      <w:pPr>
        <w:ind w:left="500" w:hanging="249"/>
        <w:spacing w:after="0" w:line="281" w:lineRule="auto"/>
        <w:tabs>
          <w:tab w:leader="none" w:pos="4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 Committee has discussed with KPMG LLP the matters required to be discussed by the applicable requirements of the Public Company Accounting Oversight Board (the “PCAOB”) and the SEC;</w:t>
      </w:r>
    </w:p>
    <w:p>
      <w:pPr>
        <w:spacing w:after="0" w:line="1" w:lineRule="exact"/>
        <w:rPr>
          <w:rFonts w:ascii="Arial" w:cs="Arial" w:eastAsia="Arial" w:hAnsi="Arial"/>
          <w:sz w:val="18"/>
          <w:szCs w:val="18"/>
          <w:color w:val="auto"/>
        </w:rPr>
      </w:pPr>
    </w:p>
    <w:p>
      <w:pPr>
        <w:jc w:val="both"/>
        <w:ind w:left="500" w:hanging="249"/>
        <w:spacing w:after="0" w:line="268" w:lineRule="auto"/>
        <w:tabs>
          <w:tab w:leader="none" w:pos="49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 Committee has received and reviewed the written disclosures and the letter from KPMG LLP, required by applicable requirements of the PCAOB regarding the independent registered public accounting firm’s communications with the Audit Committee concerning independence, and has discussed with KPMG LLP its independence from Marqeta; and</w:t>
      </w:r>
    </w:p>
    <w:p>
      <w:pPr>
        <w:spacing w:after="0" w:line="8" w:lineRule="exact"/>
        <w:rPr>
          <w:rFonts w:ascii="Arial" w:cs="Arial" w:eastAsia="Arial" w:hAnsi="Arial"/>
          <w:sz w:val="18"/>
          <w:szCs w:val="18"/>
          <w:color w:val="auto"/>
        </w:rPr>
      </w:pPr>
    </w:p>
    <w:p>
      <w:pPr>
        <w:jc w:val="both"/>
        <w:ind w:left="500" w:hanging="249"/>
        <w:spacing w:after="0" w:line="268" w:lineRule="auto"/>
        <w:tabs>
          <w:tab w:leader="none" w:pos="4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(a) through (c) above, the Audit Committee recommended to the Board that the audited financial statements be included in Marqeta’s Annual Report on Form 10-K for the fiscal year ended December 31, 2025, for filing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 Mark Graf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Martha Cummings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Elaine Paul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Thomas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32"/>
        </w:trPr>
        <w:tc>
          <w:tcPr>
            <w:tcW w:w="3100" w:type="dxa"/>
            <w:vAlign w:val="bottom"/>
            <w:tcBorders>
              <w:top w:val="single" w:sz="8" w:color="auto"/>
              <w:left w:val="single" w:sz="8" w:color="auto"/>
              <w:right w:val="single" w:sz="8" w:color="auto"/>
            </w:tcBorders>
            <w:vMerge w:val="restart"/>
            <w:shd w:val="clear" w:color="auto" w:fill="929292"/>
          </w:tcPr>
          <w:p>
            <w:pPr>
              <w:ind w:left="920"/>
              <w:spacing w:after="0"/>
              <w:rPr>
                <w:sz w:val="20"/>
                <w:szCs w:val="20"/>
                <w:color w:val="auto"/>
              </w:rPr>
            </w:pPr>
            <w:r>
              <w:rPr>
                <w:rFonts w:ascii="Arial" w:cs="Arial" w:eastAsia="Arial" w:hAnsi="Arial"/>
                <w:sz w:val="25"/>
                <w:szCs w:val="25"/>
                <w:b w:val="1"/>
                <w:bCs w:val="1"/>
                <w:color w:val="FFFFFF"/>
              </w:rPr>
              <w:t>Proposal 3</w:t>
            </w:r>
          </w:p>
        </w:tc>
        <w:tc>
          <w:tcPr>
            <w:tcW w:w="7740" w:type="dxa"/>
            <w:vAlign w:val="bottom"/>
          </w:tcPr>
          <w:p>
            <w:pPr>
              <w:ind w:left="80"/>
              <w:spacing w:after="0" w:line="232" w:lineRule="exact"/>
              <w:rPr>
                <w:sz w:val="20"/>
                <w:szCs w:val="20"/>
                <w:color w:val="auto"/>
              </w:rPr>
            </w:pPr>
            <w:r>
              <w:rPr>
                <w:rFonts w:ascii="Arial" w:cs="Arial" w:eastAsia="Arial" w:hAnsi="Arial"/>
                <w:sz w:val="25"/>
                <w:szCs w:val="25"/>
                <w:b w:val="1"/>
                <w:bCs w:val="1"/>
                <w:color w:val="auto"/>
              </w:rPr>
              <w:t>Approval of a Reverse Stock Split and Related Reduction of Our</w:t>
            </w:r>
          </w:p>
        </w:tc>
        <w:tc>
          <w:tcPr>
            <w:tcW w:w="0" w:type="dxa"/>
            <w:vAlign w:val="bottom"/>
          </w:tcPr>
          <w:p>
            <w:pPr>
              <w:spacing w:after="0"/>
              <w:rPr>
                <w:sz w:val="1"/>
                <w:szCs w:val="1"/>
                <w:color w:val="auto"/>
              </w:rPr>
            </w:pPr>
          </w:p>
        </w:tc>
      </w:tr>
      <w:tr>
        <w:trPr>
          <w:trHeight w:val="213"/>
        </w:trPr>
        <w:tc>
          <w:tcPr>
            <w:tcW w:w="3100" w:type="dxa"/>
            <w:vAlign w:val="bottom"/>
            <w:tcBorders>
              <w:left w:val="single" w:sz="8" w:color="auto"/>
              <w:right w:val="single" w:sz="8" w:color="auto"/>
            </w:tcBorders>
            <w:vMerge w:val="continue"/>
            <w:shd w:val="clear" w:color="auto" w:fill="929292"/>
          </w:tcPr>
          <w:p>
            <w:pPr>
              <w:spacing w:after="0"/>
              <w:rPr>
                <w:sz w:val="18"/>
                <w:szCs w:val="18"/>
                <w:color w:val="auto"/>
              </w:rPr>
            </w:pPr>
          </w:p>
        </w:tc>
        <w:tc>
          <w:tcPr>
            <w:tcW w:w="7740" w:type="dxa"/>
            <w:vAlign w:val="bottom"/>
            <w:vMerge w:val="restart"/>
          </w:tcPr>
          <w:p>
            <w:pPr>
              <w:ind w:left="20"/>
              <w:spacing w:after="0"/>
              <w:rPr>
                <w:sz w:val="20"/>
                <w:szCs w:val="20"/>
                <w:color w:val="auto"/>
              </w:rPr>
            </w:pPr>
            <w:r>
              <w:rPr>
                <w:rFonts w:ascii="Arial" w:cs="Arial" w:eastAsia="Arial" w:hAnsi="Arial"/>
                <w:sz w:val="25"/>
                <w:szCs w:val="25"/>
                <w:b w:val="1"/>
                <w:bCs w:val="1"/>
                <w:color w:val="auto"/>
              </w:rPr>
              <w:t>Authorized Common Stock</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bottom w:val="single" w:sz="8" w:color="auto"/>
              <w:right w:val="single" w:sz="8" w:color="auto"/>
            </w:tcBorders>
            <w:shd w:val="clear" w:color="auto" w:fill="929292"/>
          </w:tcPr>
          <w:p>
            <w:pPr>
              <w:spacing w:after="0"/>
              <w:rPr>
                <w:sz w:val="9"/>
                <w:szCs w:val="9"/>
                <w:color w:val="auto"/>
              </w:rPr>
            </w:pPr>
          </w:p>
        </w:tc>
        <w:tc>
          <w:tcPr>
            <w:tcW w:w="7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is recommending that our stockholders approve an amendment to our Certificate of Incorporation to (1) effect a 1-for-4 reverse stock split on the terms and conditions described herein (a “Reverse Stock Split”), and (2) proportionately reduce the number of authorized shares of our undesignated Preferred Stock (our “Preferred Stock”), as well as our authorized Class A Common Stock and Class B Common Stock (collectively, our “Common Stock”, and such reduction in authorized shares, the “Authorized Shares Reduction”), on the terms and conditions specified below. Attached hereto as Annex II is the text of the proposed form of Certificate of Amendment to our Certificate of Incorporation (the “Certificate of Amendment”), which reflects the amendment proposed pursuant to this Proposal 3.</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Certificate of Amendment would effect the combination of each four (4) shares of our Class A Common Stock, Class B Common Stock, and Preferred Stock into one share of Class A Common Stock, Class B Common Stock or Preferred Stock, respectively. If approved by our stockholders, the proposal would permit, but would not require, our Chief Executive Officer and Chief Financial Officer (collectively, the “Authorized Officers”), in consultation with the Board, to effect a reverse stock split of the Class A Common Stock, Class B Common Stock, and Preferred Stock issued and outstanding or held in treasury, in each case, by a ratio of four-for-one (the “Reverse Split Ratio”). If our Authorized Officers, after consideration of the factors set forth under the heading “—Criteria to be Used for Determining Whether to Implement a Reverse Stock Split,” decide to implement a Reverse Stock Split and the Authorized Shares Reduction, we will file the Certificate of Amendment with the Secretary of State of the State of Delaware (the “Delaware Secretary of State”), reflecting the Reverse Split Ratio. The Reverse Stock Split and Authorized Shares Reduction would be effective (the “Effective Time”) when the Certificate of Amendment is filed with the Delaware Secretary of State, or such later time chosen by us and set forth in the Certificate of Amendment. Except for adjustments resulting from the treatment of fractional share interests as described below, each of our stockholders will hold the same percentage of our outstanding Common Stock immediately following the Reverse Stock Split as such stockholder holds immediately prior to the Reverse Stock Split.</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their sole discretion, the Authorized Officers, in consultation with the Board, will determine whether and when to effectuate a Reverse Stock Split and the Authorized Shares Reduction, if at all. If we do not implement a Reverse Stock Split and the Authorized Shares Reduction prior to the one-year anniversary of the date on which this proposal is approved by the stockholders at the meeting, the authority granted by this proposal to implement a Reverse Stock Split and the Authorized Shares Reduction will terminate, and the Certificate of Amendment will be abandoned.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a Reverse Stock Split</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discussed in greater detail below, implementing a Reverse Stock Split would reduce the number of our issued and outstanding shares of Common Stock. Set forth below are the principal reasons why we believe these changes would benefit the Company and its stockholders if implemented.</w:t>
      </w:r>
    </w:p>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To reduce the number of outstanding shares of our Common Stock</w:t>
      </w:r>
      <w:r>
        <w:rPr>
          <w:rFonts w:ascii="Arial" w:cs="Arial" w:eastAsia="Arial" w:hAnsi="Arial"/>
          <w:sz w:val="18"/>
          <w:szCs w:val="18"/>
          <w:color w:val="auto"/>
        </w:rPr>
        <w:t>. The primary purpose for implementing the Reverse Stock Split is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number of outstanding shares of our Common Stock. As a result of the reduced share count, reported net earnings or loss per share will be higher, and we believe it will provide a clearer reflection of the Company’s per share performance and the impacts of change in net income performance. We believe these impacts will improve the meaningfulness of this metric.</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Secondary Reasons. </w:t>
      </w:r>
      <w:r>
        <w:rPr>
          <w:rFonts w:ascii="Arial" w:cs="Arial" w:eastAsia="Arial" w:hAnsi="Arial"/>
          <w:sz w:val="18"/>
          <w:szCs w:val="18"/>
          <w:color w:val="auto"/>
        </w:rPr>
        <w:t>While the primary purpose of the Reverse Stock Split is to reduce the number of outstanding shares, there are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to do so. We believe the effects of the Reverse Stock Split could improve the marketability and trading costs of our Common Stock. We could also realize savings in stock exchange listing and other administrative fees as a result of the reduction in the number of shares of our outstanding Common Stock, if implemented.</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applicable law, implementing a Reverse Stock Split does not require us to reduce the total number of our authorized Preferred Stock and authorized Common Stock. However, we believe</w:t>
      </w:r>
    </w:p>
    <w:p>
      <w:pPr>
        <w:spacing w:after="0" w:line="200" w:lineRule="exact"/>
        <w:rPr>
          <w:sz w:val="20"/>
          <w:szCs w:val="20"/>
          <w:color w:val="auto"/>
        </w:rPr>
      </w:pPr>
    </w:p>
    <w:p>
      <w:pPr>
        <w:spacing w:after="0" w:line="3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8"/>
          <w:szCs w:val="18"/>
          <w:color w:val="auto"/>
        </w:rPr>
        <w:t>that our authorized Preferred Stock and authorized Common Stock should be proportionately reduced if we implement a Reverse Stock Split. At present, we do not have any plans, arrangements, understandings, or commitments to issue shares in connection with any transactions, including to raise capital, restructure debt, or expand our business through acquisitions.</w:t>
      </w:r>
    </w:p>
    <w:p>
      <w:pPr>
        <w:spacing w:after="0" w:line="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Accordingly, for these and other reasons discussed herein, we believe that authorizing the Authorized Officers to effect a Reverse Stock Split and the Authorized Shares Reduction is in the best interests of the Company and our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to be Used for Determining Whether to Implement a Reverse Stock Split</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connection with determining whether and when to implement a Reverse Stock Split, the Authorized Officers, in consultation with the Board, expect to consider various factors, including:</w:t>
      </w:r>
    </w:p>
    <w:p>
      <w:pPr>
        <w:spacing w:after="0" w:line="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shares of Common Stock outstanding;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results of operations, financial position, and prospects;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likely effect on the per share market price of our Class A Common Stock.</w:t>
      </w:r>
    </w:p>
    <w:p>
      <w:pPr>
        <w:spacing w:after="0" w:line="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Certain Risks and Potential Disadvantages Associated with a Reverse Stock Split</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expect the Reverse Stock Split to have the desired effect upon the number of outstanding shares of our Common Stock, we cannot assure you that a Reverse Stock Split will have other anticipated benefits. The effect of a Reverse Stock Split cannot be predicted with any certainty. It is possible that the per share market price of our Class A Common Stock after a Reverse Stock Split will not increase in the same proportion as the reduction in the number of our outstanding shares of Class A Common Stock following the Reverse Stock Split, which would cause a reduction in the value of the Company as measured by our market capitalization. Although we believe a Reverse Stock Split may improve the marketability and trading costs of our Common Stock, we cannot provide you with any assurances to this effect. Even if we successfully implement a Reverse Stock Split, the market price of our Class A Common Stock may thereafter decrease due to factors unrelated to the Reverse Stock Split, including our results of operations, financial position, or prospects.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Reverse Stock Split may decrease the liquidity of our Class A Common Stock and result in higher transaction costs for “odd lot” positions of less than 100 shares. The liquidity of our Class A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would likely increase the number of our stockholders who own “odd lots” of fewer than 100 shares of our Class A Common Stock. Brokerage commission and other costs of transactions in odd lots are generally higher than the costs of transactions of 100 or more shares of our Class A Common Stock. Accordingly, a Reverse Stock Split may not achieve the desired results of increasing marketability and lowering trading costs of our Class A Common Stock described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a Reverse Stock Split</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Effective Time of any Reverse Stock Split that we elect to implement, each stockholder would own a reduced number of shares of our Common Stock. Any such Reverse Stock Split would affect all of our stockholders uniformly (including shares held by our officers, directors, and employees) and would not affect any stockholder’s percentage ownership interests in the Company, except in each case as a result of the payment of cash in lieu of fractional share interests. Per share voting rights and other rights and preferences of our stockholders would not be affected by a Reverse Stock Split (other than as a result of the payment of cash in lieu of fractional share interests) or the Authorized Shares Reduction.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effects of implementing any Reverse Stock Split would be that:</w:t>
      </w:r>
    </w:p>
    <w:p>
      <w:pPr>
        <w:spacing w:after="0" w:line="63" w:lineRule="exact"/>
        <w:rPr>
          <w:sz w:val="20"/>
          <w:szCs w:val="20"/>
          <w:color w:val="auto"/>
        </w:rPr>
      </w:pPr>
    </w:p>
    <w:p>
      <w:pPr>
        <w:ind w:left="660" w:right="20" w:hanging="328"/>
        <w:spacing w:after="0" w:line="281"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4 shares of Class A Common Stock and Class B Common Stock, issued and outstanding or held in treasury, whether restricted or unrestricted would be combined into one share of Class A Common Stock or Class B Common Stock, respectively;</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lieu of receiving a fractional interest in a share of Common Stock as a result of the Reverse Stock Split, the holder of such fractional interest would instead receive cash, as</w:t>
      </w:r>
    </w:p>
    <w:p>
      <w:pPr>
        <w:spacing w:after="0" w:line="30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explained more fully below under the heading “—Cash Payment in Lieu of Fractional Interests;”</w:t>
      </w:r>
    </w:p>
    <w:p>
      <w:pPr>
        <w:spacing w:after="0" w:line="63" w:lineRule="exact"/>
        <w:rPr>
          <w:sz w:val="20"/>
          <w:szCs w:val="20"/>
          <w:color w:val="auto"/>
        </w:rPr>
      </w:pPr>
    </w:p>
    <w:p>
      <w:pPr>
        <w:ind w:left="660" w:hanging="328"/>
        <w:spacing w:after="0" w:line="281"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our authorized shares of Common Stock and Preferred Stock will contemporaneously and correspondingly be reduced based upon the Reverse Split Ratio pursuant to the Authorized Shares Reduction;</w:t>
      </w:r>
    </w:p>
    <w:p>
      <w:pPr>
        <w:spacing w:after="0" w:line="1"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of holders of our restricted stock units (“RSUs”), performance stock units (“PSUs”), and warrants would be adjusted based on the Reverse Split Ratio as follows:</w:t>
      </w:r>
    </w:p>
    <w:p>
      <w:pPr>
        <w:spacing w:after="0" w:line="1" w:lineRule="exact"/>
        <w:rPr>
          <w:rFonts w:ascii="Arial" w:cs="Arial" w:eastAsia="Arial" w:hAnsi="Arial"/>
          <w:sz w:val="18"/>
          <w:szCs w:val="18"/>
          <w:color w:val="auto"/>
        </w:rPr>
      </w:pPr>
    </w:p>
    <w:p>
      <w:pPr>
        <w:ind w:left="1300" w:hanging="320"/>
        <w:spacing w:after="0" w:line="281"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proportionate adjustments would be made to the number of shares issuable upon the vesting of all then-outstanding RSUs, PSUs, and warrants, and the repurchase price per share subject to each outstanding RSU; and,</w:t>
      </w:r>
    </w:p>
    <w:p>
      <w:pPr>
        <w:spacing w:after="0" w:line="1" w:lineRule="exact"/>
        <w:rPr>
          <w:rFonts w:ascii="Arial" w:cs="Arial" w:eastAsia="Arial" w:hAnsi="Arial"/>
          <w:sz w:val="18"/>
          <w:szCs w:val="18"/>
          <w:color w:val="auto"/>
        </w:rPr>
      </w:pPr>
    </w:p>
    <w:p>
      <w:pPr>
        <w:ind w:left="1300" w:hanging="320"/>
        <w:spacing w:after="0" w:line="281"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we would furnish all requisite notices of these adjustments, make all requisite filings, and make all necessary adjustments in our records of the number of securities reserved for issuance under these instruments; and</w:t>
      </w:r>
    </w:p>
    <w:p>
      <w:pPr>
        <w:spacing w:after="0" w:line="1" w:lineRule="exact"/>
        <w:rPr>
          <w:rFonts w:ascii="Arial" w:cs="Arial" w:eastAsia="Arial" w:hAnsi="Arial"/>
          <w:sz w:val="18"/>
          <w:szCs w:val="18"/>
          <w:color w:val="auto"/>
        </w:rPr>
      </w:pPr>
    </w:p>
    <w:p>
      <w:pPr>
        <w:jc w:val="both"/>
        <w:ind w:left="660" w:hanging="328"/>
        <w:spacing w:after="0" w:line="259"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our Class A Common Stock and Class B Common Stock then reserved for issuance under each of our Amended and Restated 2011 Equity Incentive Plan, 2021 Stock Option and Incentive Plan, and 2021 Employee Stock Purchase Plan (collectively, our “Equity Incentive Plans”), the exercise price for each share subject to any then outstanding stock options under the Equity Incentive Plan, and any other share limits described in such Equity Incentive Plans, or in the forms of agreement thereunder, would be reduced proportionately based on the Reverse Split Ratio.</w:t>
      </w:r>
    </w:p>
    <w:p>
      <w:pPr>
        <w:spacing w:after="0" w:line="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contains illustrative information, based on share data as of December 31, 2025, intended to show the impacts of implementing a Reverse Stock Split and the Authorized Shares Reduction based on the Reverse Split Ratio (without giving effect to the treatment of fractional share interests):</w:t>
      </w:r>
    </w:p>
    <w:p>
      <w:pPr>
        <w:spacing w:after="0" w:line="34" w:lineRule="exact"/>
        <w:rPr>
          <w:sz w:val="20"/>
          <w:szCs w:val="20"/>
          <w:color w:val="auto"/>
        </w:rPr>
      </w:pPr>
    </w:p>
    <w:tbl>
      <w:tblPr>
        <w:tblLayout w:type="fixed"/>
        <w:tblInd w:w="370" w:type="dxa"/>
        <w:tblCellMar>
          <w:top w:w="0" w:type="dxa"/>
          <w:left w:w="0" w:type="dxa"/>
          <w:bottom w:w="0" w:type="dxa"/>
          <w:right w:w="0" w:type="dxa"/>
        </w:tblCellMar>
      </w:tblPr>
      <w:tr>
        <w:trPr>
          <w:trHeight w:val="166"/>
        </w:trPr>
        <w:tc>
          <w:tcPr>
            <w:tcW w:w="780" w:type="dxa"/>
            <w:vAlign w:val="bottom"/>
            <w:tcBorders>
              <w:top w:val="single" w:sz="8" w:color="auto"/>
              <w:left w:val="single" w:sz="8" w:color="auto"/>
            </w:tcBorders>
            <w:shd w:val="clear" w:color="auto" w:fill="DBDBDB"/>
          </w:tcPr>
          <w:p>
            <w:pPr>
              <w:spacing w:after="0"/>
              <w:rPr>
                <w:sz w:val="14"/>
                <w:szCs w:val="14"/>
                <w:color w:val="auto"/>
              </w:rPr>
            </w:pPr>
          </w:p>
        </w:tc>
        <w:tc>
          <w:tcPr>
            <w:tcW w:w="1660" w:type="dxa"/>
            <w:vAlign w:val="bottom"/>
            <w:tcBorders>
              <w:top w:val="single" w:sz="8" w:color="auto"/>
            </w:tcBorders>
            <w:shd w:val="clear" w:color="auto" w:fill="DBDBDB"/>
          </w:tcPr>
          <w:p>
            <w:pPr>
              <w:spacing w:after="0"/>
              <w:rPr>
                <w:sz w:val="14"/>
                <w:szCs w:val="14"/>
                <w:color w:val="auto"/>
              </w:rPr>
            </w:pPr>
          </w:p>
        </w:tc>
        <w:tc>
          <w:tcPr>
            <w:tcW w:w="1520" w:type="dxa"/>
            <w:vAlign w:val="bottom"/>
            <w:tcBorders>
              <w:top w:val="single" w:sz="8" w:color="auto"/>
            </w:tcBorders>
            <w:shd w:val="clear" w:color="auto" w:fill="DBDBDB"/>
          </w:tcPr>
          <w:p>
            <w:pPr>
              <w:spacing w:after="0"/>
              <w:rPr>
                <w:sz w:val="14"/>
                <w:szCs w:val="14"/>
                <w:color w:val="auto"/>
              </w:rPr>
            </w:pPr>
          </w:p>
        </w:tc>
        <w:tc>
          <w:tcPr>
            <w:tcW w:w="1340" w:type="dxa"/>
            <w:vAlign w:val="bottom"/>
            <w:tcBorders>
              <w:top w:val="single" w:sz="8" w:color="auto"/>
            </w:tcBorders>
            <w:shd w:val="clear" w:color="auto" w:fill="DBDBDB"/>
          </w:tcPr>
          <w:p>
            <w:pPr>
              <w:spacing w:after="0"/>
              <w:rPr>
                <w:sz w:val="14"/>
                <w:szCs w:val="14"/>
                <w:color w:val="auto"/>
              </w:rPr>
            </w:pPr>
          </w:p>
        </w:tc>
        <w:tc>
          <w:tcPr>
            <w:tcW w:w="2760" w:type="dxa"/>
            <w:vAlign w:val="bottom"/>
            <w:tcBorders>
              <w:top w:val="single" w:sz="8" w:color="auto"/>
            </w:tcBorders>
            <w:gridSpan w:val="2"/>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 Class A Common # Class B Common</w:t>
            </w:r>
          </w:p>
        </w:tc>
        <w:tc>
          <w:tcPr>
            <w:tcW w:w="12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 Class A</w:t>
            </w:r>
          </w:p>
        </w:tc>
        <w:tc>
          <w:tcPr>
            <w:tcW w:w="126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 Class B</w:t>
            </w:r>
          </w:p>
        </w:tc>
        <w:tc>
          <w:tcPr>
            <w:tcW w:w="0" w:type="dxa"/>
            <w:vAlign w:val="bottom"/>
          </w:tcPr>
          <w:p>
            <w:pPr>
              <w:spacing w:after="0"/>
              <w:rPr>
                <w:sz w:val="1"/>
                <w:szCs w:val="1"/>
                <w:color w:val="auto"/>
              </w:rPr>
            </w:pPr>
          </w:p>
        </w:tc>
      </w:tr>
      <w:tr>
        <w:trPr>
          <w:trHeight w:val="144"/>
        </w:trPr>
        <w:tc>
          <w:tcPr>
            <w:tcW w:w="780" w:type="dxa"/>
            <w:vAlign w:val="bottom"/>
            <w:tcBorders>
              <w:left w:val="single" w:sz="8" w:color="auto"/>
            </w:tcBorders>
            <w:shd w:val="clear" w:color="auto" w:fill="DBDBDB"/>
          </w:tcPr>
          <w:p>
            <w:pPr>
              <w:spacing w:after="0"/>
              <w:rPr>
                <w:sz w:val="12"/>
                <w:szCs w:val="12"/>
                <w:color w:val="auto"/>
              </w:rPr>
            </w:pPr>
          </w:p>
        </w:tc>
        <w:tc>
          <w:tcPr>
            <w:tcW w:w="1660" w:type="dxa"/>
            <w:vAlign w:val="bottom"/>
            <w:vMerge w:val="restart"/>
            <w:shd w:val="clear" w:color="auto" w:fill="DBDBDB"/>
          </w:tcPr>
          <w:p>
            <w:pPr>
              <w:jc w:val="center"/>
              <w:ind w:left="22"/>
              <w:spacing w:after="0"/>
              <w:rPr>
                <w:sz w:val="20"/>
                <w:szCs w:val="20"/>
                <w:color w:val="auto"/>
              </w:rPr>
            </w:pPr>
            <w:r>
              <w:rPr>
                <w:rFonts w:ascii="Arial" w:cs="Arial" w:eastAsia="Arial" w:hAnsi="Arial"/>
                <w:sz w:val="14"/>
                <w:szCs w:val="14"/>
                <w:b w:val="1"/>
                <w:bCs w:val="1"/>
                <w:color w:val="auto"/>
              </w:rPr>
              <w:t># Authorized Class A</w:t>
            </w:r>
          </w:p>
        </w:tc>
        <w:tc>
          <w:tcPr>
            <w:tcW w:w="1520" w:type="dxa"/>
            <w:vAlign w:val="bottom"/>
            <w:vMerge w:val="restart"/>
            <w:shd w:val="clear" w:color="auto" w:fill="DBDBDB"/>
          </w:tcPr>
          <w:p>
            <w:pPr>
              <w:jc w:val="center"/>
              <w:ind w:right="22"/>
              <w:spacing w:after="0"/>
              <w:rPr>
                <w:sz w:val="20"/>
                <w:szCs w:val="20"/>
                <w:color w:val="auto"/>
              </w:rPr>
            </w:pPr>
            <w:r>
              <w:rPr>
                <w:rFonts w:ascii="Arial" w:cs="Arial" w:eastAsia="Arial" w:hAnsi="Arial"/>
                <w:sz w:val="14"/>
                <w:szCs w:val="14"/>
                <w:b w:val="1"/>
                <w:bCs w:val="1"/>
                <w:color w:val="auto"/>
              </w:rPr>
              <w:t># Authorized Class</w:t>
            </w:r>
          </w:p>
        </w:tc>
        <w:tc>
          <w:tcPr>
            <w:tcW w:w="1340" w:type="dxa"/>
            <w:vAlign w:val="bottom"/>
            <w:vMerge w:val="restart"/>
            <w:shd w:val="clear" w:color="auto" w:fill="DBDBDB"/>
          </w:tcPr>
          <w:p>
            <w:pPr>
              <w:jc w:val="center"/>
              <w:ind w:right="22"/>
              <w:spacing w:after="0"/>
              <w:rPr>
                <w:sz w:val="20"/>
                <w:szCs w:val="20"/>
                <w:color w:val="auto"/>
              </w:rPr>
            </w:pPr>
            <w:r>
              <w:rPr>
                <w:rFonts w:ascii="Arial" w:cs="Arial" w:eastAsia="Arial" w:hAnsi="Arial"/>
                <w:sz w:val="14"/>
                <w:szCs w:val="14"/>
                <w:b w:val="1"/>
                <w:bCs w:val="1"/>
                <w:color w:val="auto"/>
              </w:rPr>
              <w:t># Authorized</w:t>
            </w:r>
          </w:p>
        </w:tc>
        <w:tc>
          <w:tcPr>
            <w:tcW w:w="2760" w:type="dxa"/>
            <w:vAlign w:val="bottom"/>
            <w:gridSpan w:val="2"/>
            <w:vMerge w:val="continue"/>
            <w:shd w:val="clear" w:color="auto" w:fill="DBDBDB"/>
          </w:tcPr>
          <w:p>
            <w:pPr>
              <w:spacing w:after="0"/>
              <w:rPr>
                <w:sz w:val="12"/>
                <w:szCs w:val="12"/>
                <w:color w:val="auto"/>
              </w:rPr>
            </w:pPr>
          </w:p>
        </w:tc>
        <w:tc>
          <w:tcPr>
            <w:tcW w:w="124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b w:val="1"/>
                <w:bCs w:val="1"/>
                <w:color w:val="auto"/>
              </w:rPr>
              <w:t>Common Stock</w:t>
            </w:r>
          </w:p>
        </w:tc>
        <w:tc>
          <w:tcPr>
            <w:tcW w:w="1260" w:type="dxa"/>
            <w:vAlign w:val="bottom"/>
            <w:tcBorders>
              <w:right w:val="single" w:sz="8" w:color="auto"/>
            </w:tcBorders>
            <w:shd w:val="clear" w:color="auto" w:fill="DBDBDB"/>
          </w:tcPr>
          <w:p>
            <w:pPr>
              <w:jc w:val="center"/>
              <w:spacing w:after="0" w:line="145"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780" w:type="dxa"/>
            <w:vAlign w:val="bottom"/>
            <w:tcBorders>
              <w:left w:val="single" w:sz="8" w:color="auto"/>
            </w:tcBorders>
            <w:vMerge w:val="restart"/>
            <w:shd w:val="clear" w:color="auto" w:fill="DBDBDB"/>
          </w:tcPr>
          <w:p>
            <w:pPr>
              <w:jc w:val="right"/>
              <w:ind w:right="59"/>
              <w:spacing w:after="0"/>
              <w:rPr>
                <w:sz w:val="20"/>
                <w:szCs w:val="20"/>
                <w:color w:val="auto"/>
              </w:rPr>
            </w:pPr>
            <w:r>
              <w:rPr>
                <w:rFonts w:ascii="Arial" w:cs="Arial" w:eastAsia="Arial" w:hAnsi="Arial"/>
                <w:sz w:val="14"/>
                <w:szCs w:val="14"/>
                <w:b w:val="1"/>
                <w:bCs w:val="1"/>
                <w:color w:val="auto"/>
              </w:rPr>
              <w:t>Ratio</w:t>
            </w:r>
          </w:p>
        </w:tc>
        <w:tc>
          <w:tcPr>
            <w:tcW w:w="1660" w:type="dxa"/>
            <w:vAlign w:val="bottom"/>
            <w:vMerge w:val="continue"/>
            <w:shd w:val="clear" w:color="auto" w:fill="DBDBDB"/>
          </w:tcPr>
          <w:p>
            <w:pPr>
              <w:spacing w:after="0"/>
              <w:rPr>
                <w:sz w:val="12"/>
                <w:szCs w:val="12"/>
                <w:color w:val="auto"/>
              </w:rPr>
            </w:pPr>
          </w:p>
        </w:tc>
        <w:tc>
          <w:tcPr>
            <w:tcW w:w="1520" w:type="dxa"/>
            <w:vAlign w:val="bottom"/>
            <w:vMerge w:val="continue"/>
            <w:shd w:val="clear" w:color="auto" w:fill="DBDBDB"/>
          </w:tcPr>
          <w:p>
            <w:pPr>
              <w:spacing w:after="0"/>
              <w:rPr>
                <w:sz w:val="12"/>
                <w:szCs w:val="12"/>
                <w:color w:val="auto"/>
              </w:rPr>
            </w:pPr>
          </w:p>
        </w:tc>
        <w:tc>
          <w:tcPr>
            <w:tcW w:w="1340" w:type="dxa"/>
            <w:vAlign w:val="bottom"/>
            <w:vMerge w:val="continue"/>
            <w:shd w:val="clear" w:color="auto" w:fill="DBDBDB"/>
          </w:tcPr>
          <w:p>
            <w:pPr>
              <w:spacing w:after="0"/>
              <w:rPr>
                <w:sz w:val="12"/>
                <w:szCs w:val="12"/>
                <w:color w:val="auto"/>
              </w:rPr>
            </w:pPr>
          </w:p>
        </w:tc>
        <w:tc>
          <w:tcPr>
            <w:tcW w:w="140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b w:val="1"/>
                <w:bCs w:val="1"/>
                <w:color w:val="auto"/>
              </w:rPr>
              <w:t>Stock Issued and</w:t>
            </w:r>
          </w:p>
        </w:tc>
        <w:tc>
          <w:tcPr>
            <w:tcW w:w="13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b w:val="1"/>
                <w:bCs w:val="1"/>
                <w:color w:val="auto"/>
              </w:rPr>
              <w:t>Stock Issued and</w:t>
            </w:r>
          </w:p>
        </w:tc>
        <w:tc>
          <w:tcPr>
            <w:tcW w:w="124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b w:val="1"/>
                <w:bCs w:val="1"/>
                <w:color w:val="auto"/>
              </w:rPr>
              <w:t>Reserved for</w:t>
            </w:r>
          </w:p>
        </w:tc>
        <w:tc>
          <w:tcPr>
            <w:tcW w:w="1260" w:type="dxa"/>
            <w:vAlign w:val="bottom"/>
            <w:tcBorders>
              <w:right w:val="single" w:sz="8" w:color="auto"/>
            </w:tcBorders>
            <w:shd w:val="clear" w:color="auto" w:fill="DBDBDB"/>
          </w:tcPr>
          <w:p>
            <w:pPr>
              <w:jc w:val="center"/>
              <w:spacing w:after="0" w:line="149" w:lineRule="exact"/>
              <w:rPr>
                <w:sz w:val="20"/>
                <w:szCs w:val="20"/>
                <w:color w:val="auto"/>
              </w:rPr>
            </w:pPr>
            <w:r>
              <w:rPr>
                <w:rFonts w:ascii="Arial" w:cs="Arial" w:eastAsia="Arial" w:hAnsi="Arial"/>
                <w:sz w:val="14"/>
                <w:szCs w:val="14"/>
                <w:b w:val="1"/>
                <w:bCs w:val="1"/>
                <w:color w:val="auto"/>
              </w:rPr>
              <w:t>Reserved for</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bottom w:val="single" w:sz="8" w:color="auto"/>
            </w:tcBorders>
            <w:vMerge w:val="continue"/>
            <w:shd w:val="clear" w:color="auto" w:fill="DBDBDB"/>
          </w:tcPr>
          <w:p>
            <w:pPr>
              <w:spacing w:after="0"/>
              <w:rPr>
                <w:sz w:val="16"/>
                <w:szCs w:val="16"/>
                <w:color w:val="auto"/>
              </w:rPr>
            </w:pPr>
          </w:p>
        </w:tc>
        <w:tc>
          <w:tcPr>
            <w:tcW w:w="1660" w:type="dxa"/>
            <w:vAlign w:val="bottom"/>
            <w:tcBorders>
              <w:bottom w:val="single" w:sz="8" w:color="auto"/>
            </w:tcBorders>
            <w:shd w:val="clear" w:color="auto" w:fill="DBDBDB"/>
          </w:tcPr>
          <w:p>
            <w:pPr>
              <w:jc w:val="center"/>
              <w:ind w:left="2"/>
              <w:spacing w:after="0"/>
              <w:rPr>
                <w:sz w:val="20"/>
                <w:szCs w:val="20"/>
                <w:color w:val="auto"/>
              </w:rPr>
            </w:pPr>
            <w:r>
              <w:rPr>
                <w:rFonts w:ascii="Arial" w:cs="Arial" w:eastAsia="Arial" w:hAnsi="Arial"/>
                <w:sz w:val="14"/>
                <w:szCs w:val="14"/>
                <w:b w:val="1"/>
                <w:bCs w:val="1"/>
                <w:color w:val="auto"/>
              </w:rPr>
              <w:t>Common Stock</w:t>
            </w:r>
          </w:p>
        </w:tc>
        <w:tc>
          <w:tcPr>
            <w:tcW w:w="1520" w:type="dxa"/>
            <w:vAlign w:val="bottom"/>
            <w:tcBorders>
              <w:bottom w:val="single" w:sz="8" w:color="auto"/>
            </w:tcBorders>
            <w:shd w:val="clear" w:color="auto" w:fill="DBDBDB"/>
          </w:tcPr>
          <w:p>
            <w:pPr>
              <w:jc w:val="center"/>
              <w:ind w:right="42"/>
              <w:spacing w:after="0"/>
              <w:rPr>
                <w:sz w:val="20"/>
                <w:szCs w:val="20"/>
                <w:color w:val="auto"/>
              </w:rPr>
            </w:pPr>
            <w:r>
              <w:rPr>
                <w:rFonts w:ascii="Arial" w:cs="Arial" w:eastAsia="Arial" w:hAnsi="Arial"/>
                <w:sz w:val="14"/>
                <w:szCs w:val="14"/>
                <w:b w:val="1"/>
                <w:bCs w:val="1"/>
                <w:color w:val="auto"/>
              </w:rPr>
              <w:t>B Common Stock</w:t>
            </w:r>
          </w:p>
        </w:tc>
        <w:tc>
          <w:tcPr>
            <w:tcW w:w="1340" w:type="dxa"/>
            <w:vAlign w:val="bottom"/>
            <w:tcBorders>
              <w:bottom w:val="single" w:sz="8" w:color="auto"/>
            </w:tcBorders>
            <w:shd w:val="clear" w:color="auto" w:fill="DBDBDB"/>
          </w:tcPr>
          <w:p>
            <w:pPr>
              <w:jc w:val="center"/>
              <w:ind w:right="22"/>
              <w:spacing w:after="0"/>
              <w:rPr>
                <w:sz w:val="20"/>
                <w:szCs w:val="20"/>
                <w:color w:val="auto"/>
              </w:rPr>
            </w:pPr>
            <w:r>
              <w:rPr>
                <w:rFonts w:ascii="Arial" w:cs="Arial" w:eastAsia="Arial" w:hAnsi="Arial"/>
                <w:sz w:val="14"/>
                <w:szCs w:val="14"/>
                <w:b w:val="1"/>
                <w:bCs w:val="1"/>
                <w:color w:val="auto"/>
              </w:rPr>
              <w:t>Preferred Stock</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Outstanding</w:t>
            </w:r>
          </w:p>
        </w:tc>
        <w:tc>
          <w:tcPr>
            <w:tcW w:w="13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Outstanding</w:t>
            </w:r>
          </w:p>
        </w:tc>
        <w:tc>
          <w:tcPr>
            <w:tcW w:w="12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Future Issuance</w:t>
            </w:r>
          </w:p>
        </w:tc>
        <w:tc>
          <w:tcPr>
            <w:tcW w:w="12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rPr>
              <w:t>1:4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375,000,000</w:t>
            </w:r>
          </w:p>
        </w:tc>
        <w:tc>
          <w:tcPr>
            <w:tcW w:w="15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150,000,000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99,848,068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8,215,844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49,337,121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956,723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-162560</wp:posOffset>
            </wp:positionV>
            <wp:extent cx="825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-162560</wp:posOffset>
            </wp:positionV>
            <wp:extent cx="889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-162560</wp:posOffset>
            </wp:positionV>
            <wp:extent cx="825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-162560</wp:posOffset>
            </wp:positionV>
            <wp:extent cx="889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-162560</wp:posOffset>
            </wp:positionV>
            <wp:extent cx="889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-162560</wp:posOffset>
            </wp:positionV>
            <wp:extent cx="889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889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63195"/>
                    </a:xfrm>
                    <a:prstGeom prst="rect">
                      <a:avLst/>
                    </a:prstGeom>
                    <a:noFill/>
                  </pic:spPr>
                </pic:pic>
              </a:graphicData>
            </a:graphic>
          </wp:anchor>
        </w:drawing>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Upon implementation of any Reverse Stock Split, our Class A Common Stock would have a new CUSIP number, which is a number used to identify our Class A Common Stock.</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Class A Common Stock is currently registered under Section 12(b) of the Exchange Act and we are subject to the periodic reporting and other requirements of the Exchange Act. The implementation of any proposed Reverse Stock Split or the Authorized Shares Reduction would not affect the registration of our Class A Common Stock under the Exchange Act. We anticipate that our Class A Common Stock would continue to be listed on the Nasdaq under the symbol “MQ” immediately following any Reverse Stock Split.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Matters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Reverse Stock Split will not affect the par value of a share of our common stock. As a result, as of the Effective Time, the stated capital attributable to common stock on our balance sheet will be reduced proportionately based on the Reverse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Payment In Lieu of Fractional Interests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fractional interest in a share of Common Stock would be issued as a result of any Reverse Stock Split. Instead, in lieu of any fractional share interests to which a stockholder would otherwise be entitled as a result of the Reverse Stock Split, we would pay cash (without interest and subject to any required tax withholdings) equal to such fraction multiplied by the closing sales price of our Class A Common Stock on the trading day immediately preceding the Effective Time (with such closing sales price being adjusted to give effect to the Reverse Stock Split). After the Reverse Stock Split, a stockholder otherwise entitled to a fractional interest in a share of our Common Stock will</w:t>
      </w:r>
    </w:p>
    <w:p>
      <w:pPr>
        <w:spacing w:after="0" w:line="200" w:lineRule="exact"/>
        <w:rPr>
          <w:sz w:val="20"/>
          <w:szCs w:val="20"/>
          <w:color w:val="auto"/>
        </w:rPr>
      </w:pPr>
    </w:p>
    <w:p>
      <w:pPr>
        <w:spacing w:after="0" w:line="3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81" w:lineRule="auto"/>
        <w:rPr>
          <w:sz w:val="20"/>
          <w:szCs w:val="20"/>
          <w:color w:val="auto"/>
        </w:rPr>
      </w:pPr>
      <w:r>
        <w:rPr>
          <w:rFonts w:ascii="Arial" w:cs="Arial" w:eastAsia="Arial" w:hAnsi="Arial"/>
          <w:sz w:val="18"/>
          <w:szCs w:val="18"/>
          <w:color w:val="auto"/>
        </w:rPr>
        <w:t>not have any voting, dividend, or other rights with respect to such fractional interest, except the right to receive the cash payment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the Record Date, there were ______________ stockholders of record of our Common Stock (which, for the sake of clarity, excludes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beneficial owners of our Common Stock holding such shares through a bank, broker, or other nominee). If the stockholders approve this proposal and we elect to implement a Reverse Stock Split, stockholders holding, immediately prior to the Reverse Stock Split, less than the number of shares of our Common Stock that would thereafter be combined into a single share of Common Stock would no longer be stockholders. For example, if a stockholder held less than 4 shares of our Class A Common Stock and no shares of our Class B Common Stock immediately prior to the Reverse Stock Split, such stockholder would cease to be a stockholder of the Company following the Reverse Stock Split and would not have any voting, dividend, or other rights, except the right to receive the cash payment described above. Based on our stockholders of record as of April 15, 2025, and our Reverse Split Ratio, we expect that cashing out fractional stockholders would reduce the number of stockholders of record by between approximately ______________ holders.</w:t>
      </w: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reduction in the number of our record stockholders would be incidental to implementing a Reverse Stock Split. We have not proposed the Reverse Stock Split for this purpose, and we do not intend for this transaction to be the first step in a series of plans or proposals of a “going private transaction” within the meaning of Rule 13e-3 of the Exchange 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Implementing a Reverse Stock Split</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stockholders approve this proposal and we elect to implement a Reverse Stock Split, the exact timing of the filing of the Certificate of Amendment will be determined by the Authorized Officers, in consultation with the Board. By approving this proposal, the stockholders will also approve the Reverse Split Ratio.</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Stockholders of record as of the Effective Time holding all of their Common Stock electronically in book-entry form would have their shares automatically exchanged by the exchange agent and would receive a transaction statement indicating the number of post-split Common Stock they hold after the Reverse Stock Split, along with payment in lieu of any fractional share interests.</w:t>
      </w:r>
    </w:p>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Beneficial owners holding Common Stock through a bank, broker, or other nominee should note that such banks, brokers, or other nominees may have different procedures for processing the Reverse Stock Split and making payment for fractional share interests than those applied by us for record holders. If you hold your shares through a bank, broker, or other nominee and you have questions in this regard, you are encouraged to contact your nominee.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Under the Delaware General Corporation Law, stockholders are not entitled to dissenter’s or appraisal rights with respect to the Reverse Stock Split, and we will not independently provide stockholders with any such rights.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U.S. Federal Income Tax Considerations Related to a Reverse Stock Split</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below is only a summary of certain U.S. federal income tax considerations generally applicable to beneficial holders of Common Stock if we implement a Reverse Stock Split and does not purport to be a complete discussion of all possible tax considerations or consequences that could be relevant to particular stockholders in light of their individual circumstances or to stockholders that are subject to special rules, such as financial institutions, tax-exempt organizations, insurance companies, securities dealers, and foreign stockholders. This summary addresses only those stockholders who hold their pre-split Common Stock as “capital assets” as defined in the Internal Revenue Code of 1986, as amended (the “Code”), and will hold their post-Reverse Stock Split shares as capital assets.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summary is based upon the provisions of the Code, applicable Treasury Regulations thereunder, judicial decisions, and current administrative rulings, as of the date hereof, all of which are subject to change, possibly on a retroactive basis. Tax considerations and consequences under state, local, foreign, and other laws are not addressed herein. Each stockholder should consult his, her, or its own tax advisor as to the particular facts and circumstances that could be unique to such stockholder and also as to any estate, gift, state, local, or foreign tax considerations arising out of any Reverse Stock Split.</w:t>
      </w:r>
    </w:p>
    <w:p>
      <w:pPr>
        <w:spacing w:after="0" w:line="333"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Any Reverse Stock Split implemented by us will qualify as a recapitalization for U.S. federal income tax purposes. As a result:</w:t>
      </w:r>
    </w:p>
    <w:p>
      <w:pPr>
        <w:spacing w:after="0" w:line="63" w:lineRule="exact"/>
        <w:rPr>
          <w:sz w:val="20"/>
          <w:szCs w:val="20"/>
          <w:color w:val="auto"/>
        </w:rPr>
      </w:pPr>
    </w:p>
    <w:p>
      <w:pPr>
        <w:ind w:left="660" w:hanging="328"/>
        <w:spacing w:after="0" w:line="28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stockholders should not recognize any gain or loss as a result of the Reverse Stock Split, except as described below with respect to cash received in lieu of fractional share interests;</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basis of a stockholder’s pre-split Common Stock will become the aggregate basis of the Common Stock held by such stockholder immediately after the Reverse Stock Split (excluding any portion of such basis that is allocated to a fractional interest in a share of Common Stock); and</w:t>
      </w:r>
    </w:p>
    <w:p>
      <w:pPr>
        <w:spacing w:after="0" w:line="8"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holding period of the shares owned immediately after the Reverse Stock Split will include the stockholder’s holding period of the pre-split Common Stock.</w:t>
      </w:r>
    </w:p>
    <w:p>
      <w:pPr>
        <w:spacing w:after="0" w:line="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 stockholder who receives cash in lieu of a fractional interest in a share of Common Stock should be treated as first receiving such fractional share interest and then receiving cash in redemption of such fractional share interest. A stockholder who receives cash in lieu of a fractional share interest should recognize capital gain or loss equal to the difference between the amount of the cash received in lieu of the fractional share interest and the portion of the stockholder’s adjusted tax basis allocable to the fractional share interest. Such gain or loss generally will be long</w:t>
      </w:r>
      <w:r>
        <w:rPr>
          <w:rFonts w:ascii="MS PGothic" w:cs="MS PGothic" w:eastAsia="MS PGothic" w:hAnsi="MS PGothic"/>
          <w:sz w:val="18"/>
          <w:szCs w:val="18"/>
          <w:color w:val="auto"/>
        </w:rPr>
        <w:t>‐</w:t>
      </w:r>
      <w:r>
        <w:rPr>
          <w:rFonts w:ascii="Arial" w:cs="Arial" w:eastAsia="Arial" w:hAnsi="Arial"/>
          <w:sz w:val="18"/>
          <w:szCs w:val="18"/>
          <w:color w:val="auto"/>
        </w:rPr>
        <w:t>term capital gain or loss if the stockholder’s holding period in its pre</w:t>
      </w:r>
      <w:r>
        <w:rPr>
          <w:rFonts w:ascii="MS PGothic" w:cs="MS PGothic" w:eastAsia="MS PGothic" w:hAnsi="MS PGothic"/>
          <w:sz w:val="18"/>
          <w:szCs w:val="18"/>
          <w:color w:val="auto"/>
        </w:rPr>
        <w:t>‐</w:t>
      </w:r>
      <w:r>
        <w:rPr>
          <w:rFonts w:ascii="Arial" w:cs="Arial" w:eastAsia="Arial" w:hAnsi="Arial"/>
          <w:sz w:val="18"/>
          <w:szCs w:val="18"/>
          <w:color w:val="auto"/>
        </w:rPr>
        <w:t>Reverse Stock Split Common Stock is more than one year as of the Effective Time. The deductibility of net capital losses by individuals and corporations is subject to limitations. Stockholders should consult their tax advisors regarding the tax effects to them of receiving cash in lieu of a fractional share interest based on their particular circumstances.</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stockholder may be subject to information reporting with respect to any cash received in exchange for a fractional share interest. Stockholders who are subject to information reporting and who do not provide a correct taxpayer identification number and other required information (such as by submitting a properly completed Internal Revenue Service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Internal Revenue Service.</w:t>
      </w:r>
    </w:p>
    <w:p>
      <w:pPr>
        <w:spacing w:after="0" w:line="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ABOVE DISCUSSION IS NOT INTENDED TO BE USED BY ANY PERSON, FOR THE PURPOSE OF AVOIDING U.S. FEDERAL TAX PENALTIES. IT HAS BEEN PROVIDED SOLELY IN CONNECTION WITH PROVIDING INFORMATION IN CONNECTION WITH SOLICITING VOTES IN FAVOR OF THIS PROPOSAL.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Approval of this proposal authorizing a Reverse Stock Split and the Authorized Shares Reduction requires the affirmative vote of a majority of the voting power of the outstanding shares of our Common Stock. Abstentions and broker non-votes will have the effect of a vote “AGAINST” the proposal.</w:t>
      </w:r>
    </w:p>
    <w:p>
      <w:pPr>
        <w:spacing w:after="0" w:line="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approval of this Proposal 3 is not conditioned upon the approval of Proposal 4, which also proposes an amendment to our Certificate of Incorporation. If stockholders approve both of these proposals, then we intend to file a single amended and restated certificate of incorporation with the Secretary of State of the State of Delaware, to be effective upon such filing, that incorporates the amendments contemplated by Proposals 3 and 4. If only Proposal 3 passes, we will only file the amendment to the Certificate of Incorporation contemplated by Proposal 3. If only Proposal 4 passes, we will only file the amendment to the Certificate of Incorporation contemplated by Proposal 4.</w:t>
      </w:r>
    </w:p>
    <w:p>
      <w:pPr>
        <w:spacing w:after="0" w:line="65" w:lineRule="exact"/>
        <w:rPr>
          <w:sz w:val="20"/>
          <w:szCs w:val="20"/>
          <w:color w:val="auto"/>
        </w:rPr>
      </w:pPr>
    </w:p>
    <w:p>
      <w:pPr>
        <w:ind w:left="40" w:right="220"/>
        <w:spacing w:after="0" w:line="247" w:lineRule="auto"/>
        <w:rPr>
          <w:sz w:val="20"/>
          <w:szCs w:val="20"/>
          <w:color w:val="auto"/>
        </w:rPr>
      </w:pPr>
      <w:r>
        <w:rPr>
          <w:rFonts w:ascii="Arial" w:cs="Arial" w:eastAsia="Arial" w:hAnsi="Arial"/>
          <w:sz w:val="22"/>
          <w:szCs w:val="22"/>
          <w:b w:val="1"/>
          <w:bCs w:val="1"/>
          <w:color w:val="FFFFFF"/>
        </w:rPr>
        <w:t>The Board recommends that you vote “FOR” approval of the authorization of a Reverse Stock Split and the Authorized Shares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0575"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tbl>
      <w:tblPr>
        <w:tblLayout w:type="fixed"/>
        <w:tblInd w:w="130" w:type="dxa"/>
        <w:tblCellMar>
          <w:top w:w="0" w:type="dxa"/>
          <w:left w:w="0" w:type="dxa"/>
          <w:bottom w:w="0" w:type="dxa"/>
          <w:right w:w="0" w:type="dxa"/>
        </w:tblCellMar>
      </w:tblPr>
      <w:tr>
        <w:trPr>
          <w:trHeight w:val="246"/>
        </w:trPr>
        <w:tc>
          <w:tcPr>
            <w:tcW w:w="3100" w:type="dxa"/>
            <w:vAlign w:val="bottom"/>
            <w:tcBorders>
              <w:top w:val="single" w:sz="8" w:color="auto"/>
              <w:left w:val="single" w:sz="8" w:color="auto"/>
              <w:right w:val="single" w:sz="8" w:color="auto"/>
            </w:tcBorders>
            <w:vMerge w:val="restart"/>
            <w:shd w:val="clear" w:color="auto" w:fill="929292"/>
          </w:tcPr>
          <w:p>
            <w:pPr>
              <w:ind w:left="920"/>
              <w:spacing w:after="0"/>
              <w:rPr>
                <w:sz w:val="20"/>
                <w:szCs w:val="20"/>
                <w:color w:val="auto"/>
              </w:rPr>
            </w:pPr>
            <w:r>
              <w:rPr>
                <w:rFonts w:ascii="Arial" w:cs="Arial" w:eastAsia="Arial" w:hAnsi="Arial"/>
                <w:sz w:val="25"/>
                <w:szCs w:val="25"/>
                <w:b w:val="1"/>
                <w:bCs w:val="1"/>
                <w:color w:val="FFFFFF"/>
              </w:rPr>
              <w:t>Proposal 4</w:t>
            </w:r>
          </w:p>
        </w:tc>
        <w:tc>
          <w:tcPr>
            <w:tcW w:w="7920" w:type="dxa"/>
            <w:vAlign w:val="bottom"/>
            <w:tcBorders>
              <w:top w:val="single" w:sz="8" w:color="auto"/>
              <w:right w:val="single" w:sz="8" w:color="auto"/>
            </w:tcBorders>
          </w:tcPr>
          <w:p>
            <w:pPr>
              <w:ind w:left="20"/>
              <w:spacing w:after="0" w:line="245" w:lineRule="exact"/>
              <w:rPr>
                <w:sz w:val="20"/>
                <w:szCs w:val="20"/>
                <w:color w:val="auto"/>
              </w:rPr>
            </w:pPr>
            <w:r>
              <w:rPr>
                <w:rFonts w:ascii="Arial" w:cs="Arial" w:eastAsia="Arial" w:hAnsi="Arial"/>
                <w:sz w:val="25"/>
                <w:szCs w:val="25"/>
                <w:b w:val="1"/>
                <w:bCs w:val="1"/>
                <w:color w:val="auto"/>
              </w:rPr>
              <w:t>Approval of Amendment to Certificate of Incorporation to Provide</w:t>
            </w:r>
          </w:p>
        </w:tc>
        <w:tc>
          <w:tcPr>
            <w:tcW w:w="0" w:type="dxa"/>
            <w:vAlign w:val="bottom"/>
          </w:tcPr>
          <w:p>
            <w:pPr>
              <w:spacing w:after="0"/>
              <w:rPr>
                <w:sz w:val="1"/>
                <w:szCs w:val="1"/>
                <w:color w:val="auto"/>
              </w:rPr>
            </w:pPr>
          </w:p>
        </w:tc>
      </w:tr>
      <w:tr>
        <w:trPr>
          <w:trHeight w:val="213"/>
        </w:trPr>
        <w:tc>
          <w:tcPr>
            <w:tcW w:w="3100" w:type="dxa"/>
            <w:vAlign w:val="bottom"/>
            <w:tcBorders>
              <w:left w:val="single" w:sz="8" w:color="auto"/>
              <w:right w:val="single" w:sz="8" w:color="auto"/>
            </w:tcBorders>
            <w:vMerge w:val="continue"/>
            <w:shd w:val="clear" w:color="auto" w:fill="929292"/>
          </w:tcPr>
          <w:p>
            <w:pPr>
              <w:spacing w:after="0"/>
              <w:rPr>
                <w:sz w:val="18"/>
                <w:szCs w:val="18"/>
                <w:color w:val="auto"/>
              </w:rPr>
            </w:pPr>
          </w:p>
        </w:tc>
        <w:tc>
          <w:tcPr>
            <w:tcW w:w="7920" w:type="dxa"/>
            <w:vAlign w:val="bottom"/>
            <w:tcBorders>
              <w:right w:val="single" w:sz="8" w:color="auto"/>
            </w:tcBorders>
            <w:vMerge w:val="restart"/>
          </w:tcPr>
          <w:p>
            <w:pPr>
              <w:ind w:left="20"/>
              <w:spacing w:after="0"/>
              <w:rPr>
                <w:sz w:val="20"/>
                <w:szCs w:val="20"/>
                <w:color w:val="auto"/>
              </w:rPr>
            </w:pPr>
            <w:r>
              <w:rPr>
                <w:rFonts w:ascii="Arial" w:cs="Arial" w:eastAsia="Arial" w:hAnsi="Arial"/>
                <w:sz w:val="25"/>
                <w:szCs w:val="25"/>
                <w:b w:val="1"/>
                <w:bCs w:val="1"/>
                <w:color w:val="auto"/>
              </w:rPr>
              <w:t>for Officer Exculpation as Permitted by Delaware Law</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bottom w:val="single" w:sz="8" w:color="auto"/>
              <w:right w:val="single" w:sz="8" w:color="auto"/>
            </w:tcBorders>
            <w:shd w:val="clear" w:color="auto" w:fill="929292"/>
          </w:tcPr>
          <w:p>
            <w:pPr>
              <w:spacing w:after="0"/>
              <w:rPr>
                <w:sz w:val="9"/>
                <w:szCs w:val="9"/>
                <w:color w:val="auto"/>
              </w:rPr>
            </w:pPr>
          </w:p>
        </w:tc>
        <w:tc>
          <w:tcPr>
            <w:tcW w:w="79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After thorough and deliberate consideration, the Board has unanimously declared advisable and in the best interests of the Company and its stockholders, and approved and recommended that our stockholders approve, an amendment to the Certificate of Incorporation to limit the liability of certain officers to the fullest extent permitted by the General Corporation Law of the State of Delaware (the “DGCL”) (the “Officer Exculpation Amendment”).</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2022, the DGCL was amended to permit Delaware corporations to include provisions in the certificate of incorporation limiting the personal liability of certain officers for monetary damages resulting from breaches of the fiduciary duty of care. This change extended the availability of similar protections that have long been available to directors to certain officers who, at the time of alleged wrongful conduct: (i) serve or have served as the Company’s President, Chief Executive Officer, Chief Operating Officer, Chief Financial Officer, Chief Legal Officer, Controller, Treasurer, or Chief Accounting Officer; (ii) are or were identified in the Company’s public filings with the SEC as a Named Executive Officer; or (iii) had entered into a written agreement with the Company consenting to be identified as an officer for purposes of service of process in the State of Delaware.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Officer Exculpation Amendment would allow us to limit the personal liability of certain officers to the fullest extent permitted by the DGCL. Consistent with the statute, this protection would apply only to certain direct claims brought by stockholders, including class actions, and would not apply to claims brought by or in the right of the Company, known as derivative claims. In addition, the amendment would not limit liability resulting from breaches of the duty of loyalty, acts or omissions not in good faith or involving intentional misconduct or knowing violations of law, or transactions from which the officer derived an improper personal benefit.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Officer Exculpation Amendment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Board considered the benefits and the consequences of this proposal, including:</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proposal remedies historical inconsistencies</w:t>
      </w:r>
      <w:r>
        <w:rPr>
          <w:rFonts w:ascii="Arial" w:cs="Arial" w:eastAsia="Arial" w:hAnsi="Arial"/>
          <w:sz w:val="18"/>
          <w:szCs w:val="18"/>
          <w:color w:val="auto"/>
        </w:rPr>
        <w:t>. We believe that amending our Certificate of Incorporation to provide for officer exculpation</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the historically inconsistent treatment of officers and directors under the DGCL, to the fullest extent permitted by the DGCL.</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The proposal is a balanced approach</w:t>
      </w:r>
      <w:r>
        <w:rPr>
          <w:rFonts w:ascii="Arial" w:cs="Arial" w:eastAsia="Arial" w:hAnsi="Arial"/>
          <w:sz w:val="18"/>
          <w:szCs w:val="18"/>
          <w:color w:val="auto"/>
        </w:rPr>
        <w:t>. We also believe that eliminating personal monetary liability for officers under certain circumstances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appropriate and will strike a balance between stockholders’ interest in accountability and their interest in our Company being able to attract and retain quality officers to work on its behalf.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The proposal is necessary to assist in recruiting talented officers</w:t>
      </w:r>
      <w:r>
        <w:rPr>
          <w:rFonts w:ascii="Arial" w:cs="Arial" w:eastAsia="Arial" w:hAnsi="Arial"/>
          <w:sz w:val="18"/>
          <w:szCs w:val="18"/>
          <w:color w:val="auto"/>
        </w:rPr>
        <w:t>. A number of companies have already adopted similar exculpation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and our Board anticipates that similar exculpation provisions are likely to be adopted by our peers and others with whom we compete for executive talent. If we fail to adopt the officer exculpatory protections now offered under Delaware law, prospective or current candidates may be deterred from serving as officers due to concerns with potential exposure to personal liability. This could negatively impact our ability to compete with other companies in recruiting and retaining qualified officer candidates.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proposal protects our future interests</w:t>
      </w:r>
      <w:r>
        <w:rPr>
          <w:rFonts w:ascii="Arial" w:cs="Arial" w:eastAsia="Arial" w:hAnsi="Arial"/>
          <w:sz w:val="18"/>
          <w:szCs w:val="18"/>
          <w:color w:val="auto"/>
        </w:rPr>
        <w:t>. We are not proposing this amendment in anticipation of any specific litigation confronting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officers, but are rather making such proposal on a prospective basis to help mitigate potential future harm to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8"/>
          <w:szCs w:val="18"/>
          <w:color w:val="auto"/>
        </w:rPr>
        <w:t>Taking into account the scope of claims for which an officer’s liability would be exculpated under the law, and the aforementioned benefits our Board believes would accrue to our Company and our stockholders, the Board approved the Officer Exculpation Amendment.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“FOR” the following resolution at the 2026 Annual Meeting: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“RESOLVED, that the Company’s stockholders approve an amendment to the Company’s Amended and Restated Certificate of Incorporation to add a new Article XI, to read in its entirety as follows: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fullest extent permitted by the DGCL, as it presently exists or may hereafter be amended from time to time, an officer of the Corporation shall not be personally liable to the Corporation or its stockholders for monetary damages for breach of any fiduciary duties as an officer. If the DGCL is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have the meaning provided in Section 102(b)(7) of the DGCL.’</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Neither any amendment, repeal nor elimination of this Article XI, nor the adoption of any provision of the Corporation’s Amended and Restated Certificate of Incorporation inconsistent with this Article XI, shall eliminate or reduce the effect of this Article XI in respect of any matter occurring, or any cause of action, suit or proceeding accruing or arising or that, but for this Article XI, would accrue or arise, prior to such amendment, repeal, elimination or adoption of an inconsistent provision.”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complete text of the Officer Exculpation Amendment, which stockholders are encouraged to review in its entirety, is provided in Annex III.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approval of the amendment to our Certificate of Incorporation to provide for officer exculpation as permitted by Delaware law requires the affirmative vote of a majority of the voting power of the outstanding shares of our Common Stock. Abstentions and broker non-votes will have the effect of a vote “AGAINST” the proposal.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Proposal 4 is approved by the requisite vote of our stockholders, the proposed Officer Exculpation Amendment will become effective upon the filing of an amended and restated certificate of incorporation with the Secretary of State of the State of Delaware, which we anticipate will be filed promptly following the Annual Meeting. The Board reserves the right to abandon the Officer Exculpation Amendment at any time before it becomes effective, even if it is approved by our stockholders. If this Proposal 4 is not approved by the requisite vote of our stockholders, then the Officer Exculpation Amendment will not be filed with the Secretary of State of the State of Delaware.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approval of this Proposal 4 is not conditioned upon the approval of Proposal 3, which also proposes an amendment to our Certificate of Incorporation. If stockholders approve both of these proposals, then we intend to file a single amended and restated certificate of incorporation with the Secretary of State of the State of Delaware, to be effective upon such filing, that incorporates the amendments contemplated by Proposals 3 and 4. If only Proposal 3 passes, we will only file the amendment to the Certificate of Incorporation contemplated by Proposal 3. If only Proposal 4 passes, we will only file the amendment to the Certificate of Incorporation contemplated by Proposal 4.</w:t>
      </w:r>
    </w:p>
    <w:p>
      <w:pPr>
        <w:spacing w:after="0" w:line="200" w:lineRule="exact"/>
        <w:rPr>
          <w:sz w:val="20"/>
          <w:szCs w:val="20"/>
          <w:color w:val="auto"/>
        </w:rPr>
      </w:pP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spacing w:after="0" w:line="247" w:lineRule="auto"/>
        <w:rPr>
          <w:sz w:val="20"/>
          <w:szCs w:val="20"/>
          <w:color w:val="auto"/>
        </w:rPr>
      </w:pPr>
      <w:r>
        <w:rPr>
          <w:rFonts w:ascii="Arial" w:cs="Arial" w:eastAsia="Arial" w:hAnsi="Arial"/>
          <w:sz w:val="22"/>
          <w:szCs w:val="22"/>
          <w:b w:val="1"/>
          <w:bCs w:val="1"/>
          <w:color w:val="FFFFFF"/>
        </w:rPr>
        <w:t>The Board recommends a vote “FOR” the approval of an amendment to our Certificate of Incorporation to provide for officer exculpation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-328930</wp:posOffset>
            </wp:positionV>
            <wp:extent cx="7140575" cy="325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sz w:val="1"/>
          <w:szCs w:val="1"/>
          <w:color w:val="auto"/>
        </w:rPr>
        <w:drawing>
          <wp:inline distT="0" distB="0" distL="0" distR="0">
            <wp:extent cx="1105535" cy="154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168910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3" w:right="359" w:bottom="1440" w:gutter="0" w:footer="0" w:header="0"/>
        </w:sectPr>
      </w:pPr>
    </w:p>
    <w:bookmarkStart w:id="36" w:name="page37"/>
    <w:bookmarkEnd w:id="36"/>
    <w:tbl>
      <w:tblPr>
        <w:tblLayout w:type="fixed"/>
        <w:tblInd w:w="130" w:type="dxa"/>
        <w:tblCellMar>
          <w:top w:w="0" w:type="dxa"/>
          <w:left w:w="0" w:type="dxa"/>
          <w:bottom w:w="0" w:type="dxa"/>
          <w:right w:w="0" w:type="dxa"/>
        </w:tblCellMar>
      </w:tblPr>
      <w:tr>
        <w:trPr>
          <w:trHeight w:val="232"/>
        </w:trPr>
        <w:tc>
          <w:tcPr>
            <w:tcW w:w="3100" w:type="dxa"/>
            <w:vAlign w:val="bottom"/>
            <w:tcBorders>
              <w:top w:val="single" w:sz="8" w:color="auto"/>
              <w:left w:val="single" w:sz="8" w:color="auto"/>
              <w:right w:val="single" w:sz="8" w:color="auto"/>
            </w:tcBorders>
            <w:vMerge w:val="restart"/>
            <w:shd w:val="clear" w:color="auto" w:fill="929292"/>
          </w:tcPr>
          <w:p>
            <w:pPr>
              <w:ind w:left="920"/>
              <w:spacing w:after="0"/>
              <w:rPr>
                <w:sz w:val="20"/>
                <w:szCs w:val="20"/>
                <w:color w:val="auto"/>
              </w:rPr>
            </w:pPr>
            <w:r>
              <w:rPr>
                <w:rFonts w:ascii="Arial" w:cs="Arial" w:eastAsia="Arial" w:hAnsi="Arial"/>
                <w:sz w:val="25"/>
                <w:szCs w:val="25"/>
                <w:b w:val="1"/>
                <w:bCs w:val="1"/>
                <w:color w:val="FFFFFF"/>
              </w:rPr>
              <w:t>Proposal 5</w:t>
            </w:r>
          </w:p>
        </w:tc>
        <w:tc>
          <w:tcPr>
            <w:tcW w:w="5300" w:type="dxa"/>
            <w:vAlign w:val="bottom"/>
          </w:tcPr>
          <w:p>
            <w:pPr>
              <w:ind w:left="140"/>
              <w:spacing w:after="0" w:line="232" w:lineRule="exact"/>
              <w:rPr>
                <w:sz w:val="20"/>
                <w:szCs w:val="20"/>
                <w:color w:val="auto"/>
              </w:rPr>
            </w:pPr>
            <w:r>
              <w:rPr>
                <w:rFonts w:ascii="Arial" w:cs="Arial" w:eastAsia="Arial" w:hAnsi="Arial"/>
                <w:sz w:val="25"/>
                <w:szCs w:val="25"/>
                <w:b w:val="1"/>
                <w:bCs w:val="1"/>
                <w:color w:val="auto"/>
              </w:rPr>
              <w:t>Advisory Vote on the Compensation of Our</w:t>
            </w:r>
          </w:p>
        </w:tc>
        <w:tc>
          <w:tcPr>
            <w:tcW w:w="0" w:type="dxa"/>
            <w:vAlign w:val="bottom"/>
          </w:tcPr>
          <w:p>
            <w:pPr>
              <w:spacing w:after="0"/>
              <w:rPr>
                <w:sz w:val="1"/>
                <w:szCs w:val="1"/>
                <w:color w:val="auto"/>
              </w:rPr>
            </w:pPr>
          </w:p>
        </w:tc>
      </w:tr>
      <w:tr>
        <w:trPr>
          <w:trHeight w:val="213"/>
        </w:trPr>
        <w:tc>
          <w:tcPr>
            <w:tcW w:w="3100" w:type="dxa"/>
            <w:vAlign w:val="bottom"/>
            <w:tcBorders>
              <w:left w:val="single" w:sz="8" w:color="auto"/>
              <w:right w:val="single" w:sz="8" w:color="auto"/>
            </w:tcBorders>
            <w:vMerge w:val="continue"/>
            <w:shd w:val="clear" w:color="auto" w:fill="929292"/>
          </w:tcPr>
          <w:p>
            <w:pPr>
              <w:spacing w:after="0"/>
              <w:rPr>
                <w:sz w:val="18"/>
                <w:szCs w:val="18"/>
                <w:color w:val="auto"/>
              </w:rPr>
            </w:pPr>
          </w:p>
        </w:tc>
        <w:tc>
          <w:tcPr>
            <w:tcW w:w="5300" w:type="dxa"/>
            <w:vAlign w:val="bottom"/>
            <w:vMerge w:val="restart"/>
          </w:tcPr>
          <w:p>
            <w:pPr>
              <w:ind w:left="160"/>
              <w:spacing w:after="0"/>
              <w:rPr>
                <w:sz w:val="20"/>
                <w:szCs w:val="20"/>
                <w:color w:val="auto"/>
              </w:rPr>
            </w:pPr>
            <w:r>
              <w:rPr>
                <w:rFonts w:ascii="Arial" w:cs="Arial" w:eastAsia="Arial" w:hAnsi="Arial"/>
                <w:sz w:val="25"/>
                <w:szCs w:val="25"/>
                <w:b w:val="1"/>
                <w:bCs w:val="1"/>
                <w:color w:val="auto"/>
              </w:rPr>
              <w:t>Named Executive Officers</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bottom w:val="single" w:sz="8" w:color="auto"/>
              <w:right w:val="single" w:sz="8" w:color="auto"/>
            </w:tcBorders>
            <w:shd w:val="clear" w:color="auto" w:fill="929292"/>
          </w:tcPr>
          <w:p>
            <w:pPr>
              <w:spacing w:after="0"/>
              <w:rPr>
                <w:sz w:val="9"/>
                <w:szCs w:val="9"/>
                <w:color w:val="auto"/>
              </w:rPr>
            </w:pPr>
          </w:p>
        </w:tc>
        <w:tc>
          <w:tcPr>
            <w:tcW w:w="5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Section 14A of the Exchange Act, we are providing our stockholders with the opportunity to express their view, on a non-binding advisory basis, on the compensation of our named executive officers (commonly known as a say-on-pay vote). This say-on -pay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read the section titled “Executive Compensation” for information about our executive compensation program, including details of the fiscal year 2025 compensation of our named executive officers. Our Board and our Compensation Committee believe that these policies and practices are effective in implementing our compensation philosophy and achieving our compensation program goals.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an advisory vote, the result of this proposal is non-binding. Although the vote is non-binding, our Board and our Compensation Committee value the opinions of our stockholders and will consider the outcome of the vote when making future compensation decisions for our named executive officers.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spacing w:after="0" w:line="107" w:lineRule="exact"/>
        <w:rPr>
          <w:sz w:val="20"/>
          <w:szCs w:val="20"/>
          <w:color w:val="auto"/>
        </w:rPr>
      </w:pPr>
    </w:p>
    <w:p>
      <w:pPr>
        <w:ind w:left="40" w:right="20"/>
        <w:spacing w:after="0" w:line="247" w:lineRule="auto"/>
        <w:rPr>
          <w:sz w:val="20"/>
          <w:szCs w:val="20"/>
          <w:color w:val="auto"/>
        </w:rPr>
      </w:pPr>
      <w:r>
        <w:rPr>
          <w:rFonts w:ascii="Arial" w:cs="Arial" w:eastAsia="Arial" w:hAnsi="Arial"/>
          <w:sz w:val="22"/>
          <w:szCs w:val="22"/>
          <w:b w:val="1"/>
          <w:bCs w:val="1"/>
          <w:color w:val="FFFFFF"/>
        </w:rPr>
        <w:t>The Board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0575" cy="325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7" w:name="page38"/>
    <w:bookmarkEnd w:id="37"/>
    <w:p>
      <w:pPr>
        <w:ind w:left="4240"/>
        <w:spacing w:after="0"/>
        <w:rPr>
          <w:sz w:val="20"/>
          <w:szCs w:val="20"/>
          <w:color w:val="auto"/>
        </w:rPr>
      </w:pPr>
      <w:r>
        <w:rPr>
          <w:rFonts w:ascii="Arial" w:cs="Arial" w:eastAsia="Arial" w:hAnsi="Arial"/>
          <w:sz w:val="25"/>
          <w:szCs w:val="25"/>
          <w:b w:val="1"/>
          <w:bCs w:val="1"/>
          <w:color w:val="auto"/>
        </w:rPr>
        <w:t>EXECUTIVE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executive officers as of April 15, 2026:</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shd w:val="clear" w:color="auto" w:fill="929292"/>
          </w:tcPr>
          <w:p>
            <w:pPr>
              <w:ind w:left="60"/>
              <w:spacing w:after="0"/>
              <w:rPr>
                <w:sz w:val="20"/>
                <w:szCs w:val="20"/>
                <w:color w:val="auto"/>
              </w:rPr>
            </w:pPr>
            <w:r>
              <w:rPr>
                <w:rFonts w:ascii="Arial" w:cs="Arial" w:eastAsia="Arial" w:hAnsi="Arial"/>
                <w:sz w:val="18"/>
                <w:szCs w:val="18"/>
                <w:b w:val="1"/>
                <w:bCs w:val="1"/>
                <w:color w:val="FFFFFF"/>
              </w:rPr>
              <w:t>Name</w:t>
            </w:r>
          </w:p>
        </w:tc>
        <w:tc>
          <w:tcPr>
            <w:tcW w:w="1460" w:type="dxa"/>
            <w:vAlign w:val="bottom"/>
            <w:tcBorders>
              <w:top w:val="single" w:sz="8" w:color="auto"/>
              <w:bottom w:val="single" w:sz="8" w:color="auto"/>
            </w:tcBorders>
            <w:shd w:val="clear" w:color="auto" w:fill="929292"/>
          </w:tcPr>
          <w:p>
            <w:pPr>
              <w:jc w:val="center"/>
              <w:ind w:left="270"/>
              <w:spacing w:after="0"/>
              <w:rPr>
                <w:sz w:val="20"/>
                <w:szCs w:val="20"/>
                <w:color w:val="auto"/>
              </w:rPr>
            </w:pPr>
            <w:r>
              <w:rPr>
                <w:rFonts w:ascii="Arial" w:cs="Arial" w:eastAsia="Arial" w:hAnsi="Arial"/>
                <w:sz w:val="18"/>
                <w:szCs w:val="18"/>
                <w:b w:val="1"/>
                <w:bCs w:val="1"/>
                <w:color w:val="FFFFFF"/>
                <w:w w:val="99"/>
              </w:rPr>
              <w:t>Age</w:t>
            </w:r>
          </w:p>
        </w:tc>
        <w:tc>
          <w:tcPr>
            <w:tcW w:w="5400" w:type="dxa"/>
            <w:vAlign w:val="bottom"/>
            <w:tcBorders>
              <w:top w:val="single" w:sz="8" w:color="auto"/>
              <w:bottom w:val="single" w:sz="8" w:color="auto"/>
              <w:right w:val="single" w:sz="8" w:color="auto"/>
            </w:tcBorders>
            <w:shd w:val="clear" w:color="auto" w:fill="929292"/>
          </w:tcPr>
          <w:p>
            <w:pPr>
              <w:ind w:left="380"/>
              <w:spacing w:after="0"/>
              <w:rPr>
                <w:sz w:val="20"/>
                <w:szCs w:val="20"/>
                <w:color w:val="auto"/>
              </w:rPr>
            </w:pPr>
            <w:r>
              <w:rPr>
                <w:rFonts w:ascii="Arial" w:cs="Arial" w:eastAsia="Arial" w:hAnsi="Arial"/>
                <w:sz w:val="18"/>
                <w:szCs w:val="18"/>
                <w:b w:val="1"/>
                <w:bCs w:val="1"/>
                <w:color w:val="FFFFFF"/>
              </w:rPr>
              <w:t>Title</w:t>
            </w:r>
          </w:p>
        </w:tc>
      </w:tr>
      <w:tr>
        <w:trPr>
          <w:trHeight w:val="223"/>
        </w:trPr>
        <w:tc>
          <w:tcPr>
            <w:tcW w:w="4400" w:type="dxa"/>
            <w:vAlign w:val="bottom"/>
            <w:tcBorders>
              <w:lef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Michael (Mike) Milotich</w:t>
            </w:r>
          </w:p>
        </w:tc>
        <w:tc>
          <w:tcPr>
            <w:tcW w:w="146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99"/>
              </w:rPr>
              <w:t>49</w:t>
            </w:r>
          </w:p>
        </w:tc>
        <w:tc>
          <w:tcPr>
            <w:tcW w:w="5400" w:type="dxa"/>
            <w:vAlign w:val="bottom"/>
            <w:tcBorders>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rPr>
              <w:t>Chief Executive Officer</w:t>
            </w:r>
          </w:p>
        </w:tc>
      </w:tr>
      <w:tr>
        <w:trPr>
          <w:trHeight w:val="229"/>
        </w:trPr>
        <w:tc>
          <w:tcPr>
            <w:tcW w:w="44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Patti Kangwangkij</w:t>
            </w:r>
          </w:p>
        </w:tc>
        <w:tc>
          <w:tcPr>
            <w:tcW w:w="1460" w:type="dxa"/>
            <w:vAlign w:val="bottom"/>
          </w:tcPr>
          <w:p>
            <w:pPr>
              <w:jc w:val="center"/>
              <w:ind w:left="290"/>
              <w:spacing w:after="0"/>
              <w:rPr>
                <w:sz w:val="20"/>
                <w:szCs w:val="20"/>
                <w:color w:val="auto"/>
              </w:rPr>
            </w:pPr>
            <w:r>
              <w:rPr>
                <w:rFonts w:ascii="Arial" w:cs="Arial" w:eastAsia="Arial" w:hAnsi="Arial"/>
                <w:sz w:val="18"/>
                <w:szCs w:val="18"/>
                <w:color w:val="auto"/>
                <w:w w:val="99"/>
              </w:rPr>
              <w:t>42</w:t>
            </w:r>
          </w:p>
        </w:tc>
        <w:tc>
          <w:tcPr>
            <w:tcW w:w="54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Chief Financial Officer</w:t>
            </w:r>
          </w:p>
        </w:tc>
      </w:tr>
      <w:tr>
        <w:trPr>
          <w:trHeight w:val="243"/>
        </w:trPr>
        <w:tc>
          <w:tcPr>
            <w:tcW w:w="4400" w:type="dxa"/>
            <w:vAlign w:val="bottom"/>
            <w:tcBorders>
              <w:lef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Todd Pollak</w:t>
            </w:r>
          </w:p>
        </w:tc>
        <w:tc>
          <w:tcPr>
            <w:tcW w:w="146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99"/>
              </w:rPr>
              <w:t>51</w:t>
            </w:r>
          </w:p>
        </w:tc>
        <w:tc>
          <w:tcPr>
            <w:tcW w:w="5400" w:type="dxa"/>
            <w:vAlign w:val="bottom"/>
            <w:tcBorders>
              <w:right w:val="single" w:sz="8" w:color="auto"/>
            </w:tcBorders>
            <w:shd w:val="clear" w:color="auto" w:fill="DBDBDB"/>
          </w:tcPr>
          <w:p>
            <w:pPr>
              <w:ind w:left="400"/>
              <w:spacing w:after="0"/>
              <w:rPr>
                <w:sz w:val="20"/>
                <w:szCs w:val="20"/>
                <w:color w:val="auto"/>
              </w:rPr>
            </w:pPr>
            <w:r>
              <w:rPr>
                <w:rFonts w:ascii="Arial" w:cs="Arial" w:eastAsia="Arial" w:hAnsi="Arial"/>
                <w:sz w:val="18"/>
                <w:szCs w:val="18"/>
                <w:color w:val="auto"/>
              </w:rPr>
              <w:t>Chief Revenue Officer</w:t>
            </w:r>
          </w:p>
        </w:tc>
      </w:tr>
      <w:tr>
        <w:trPr>
          <w:trHeight w:val="229"/>
        </w:trPr>
        <w:tc>
          <w:tcPr>
            <w:tcW w:w="44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Crystal Sumner</w:t>
            </w:r>
          </w:p>
        </w:tc>
        <w:tc>
          <w:tcPr>
            <w:tcW w:w="14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42</w:t>
            </w:r>
          </w:p>
        </w:tc>
        <w:tc>
          <w:tcPr>
            <w:tcW w:w="54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Chief Administrative Officer and Corporate Secretary</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Mr. Milotich’s biography, see “Board of Directors and Corporate Governance.”</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color w:val="auto"/>
        </w:rPr>
        <w:t xml:space="preserve">Patti Kangwankij. </w:t>
      </w:r>
      <w:r>
        <w:rPr>
          <w:rFonts w:ascii="Arial" w:cs="Arial" w:eastAsia="Arial" w:hAnsi="Arial"/>
          <w:sz w:val="18"/>
          <w:szCs w:val="18"/>
          <w:color w:val="auto"/>
        </w:rPr>
        <w:t>Ms. Kangwankij has served as our Chief Financial Officer since February 2026. Prior to joining Marqeta, Ms. Kangwankij</w:t>
      </w:r>
      <w:r>
        <w:rPr>
          <w:rFonts w:ascii="Arial" w:cs="Arial" w:eastAsia="Arial" w:hAnsi="Arial"/>
          <w:sz w:val="18"/>
          <w:szCs w:val="18"/>
          <w:b w:val="1"/>
          <w:bCs w:val="1"/>
          <w:color w:val="auto"/>
        </w:rPr>
        <w:t xml:space="preserve"> </w:t>
      </w:r>
      <w:r>
        <w:rPr>
          <w:rFonts w:ascii="Arial" w:cs="Arial" w:eastAsia="Arial" w:hAnsi="Arial"/>
          <w:sz w:val="18"/>
          <w:szCs w:val="18"/>
          <w:color w:val="auto"/>
        </w:rPr>
        <w:t>was the Chief Financial Officer at Roofstock, a private real estate technology company, from January 2025 to January 2026. From October 2018 to May 2023, she served in various senior Finance and Strategy roles, most recently as Head of Payments Finance and Strategy, at Stripe, a financial technology company. Prior to Stripe, Ms. Kangwankij spent over 14 years at JPMorgan Chase &amp; Co. from June 2004 to September 2018, starting in investment banking and going on to serve as Managing Director and Chief Financial Officer for the Co-Branded Credit Card and Merchant Services businesses. She holds a Master of Business Administration degree from Columbia Business School and a Bachelor of Science degree in Economics from The Wharton School at the University of Pennsylvania.</w:t>
      </w:r>
    </w:p>
    <w:p>
      <w:pPr>
        <w:spacing w:after="0" w:line="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Todd Pollak. </w:t>
      </w:r>
      <w:r>
        <w:rPr>
          <w:rFonts w:ascii="Arial" w:cs="Arial" w:eastAsia="Arial" w:hAnsi="Arial"/>
          <w:sz w:val="18"/>
          <w:szCs w:val="18"/>
          <w:color w:val="auto"/>
        </w:rPr>
        <w:t>Mr. Pollak has served as our Chief Revenue Officer since January 2023. Prior to joining Marqeta, Mr. Pollak was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at Ancestry, Inc., an online family history resource, since January 2019. Prior to Ancestry, Mr. Pollak held increasingly senior sales positions at Google since joining the company in 2005. Mr. Pollak graduated from the University of Michigan with a Bachelor of Arts in English and History.</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Crystal Sumner. </w:t>
      </w:r>
      <w:r>
        <w:rPr>
          <w:rFonts w:ascii="Arial" w:cs="Arial" w:eastAsia="Arial" w:hAnsi="Arial"/>
          <w:sz w:val="18"/>
          <w:szCs w:val="18"/>
          <w:color w:val="auto"/>
        </w:rPr>
        <w:t>Ms. Sumner has served as our Chief Administrative Officer and Corporate Secretary since February 2024 and was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Legal Officer, General Counsel, and Corporate Secretary from February 2023 to February 2024. Prior to Marqeta, Ms. Sumner worked at Blend Labs, Inc., a publicly traded cloud banking software company, since June 2016 in various roles including most recently as the Head of Legal, Compliance, and Risk, overseeing the legal, compliance, government relations, and information security teams. She holds a Bachelor of Arts from Texas Tech University and a Juris Doctor from UC Berkeley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5" w:right="3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5"/>
          <w:szCs w:val="25"/>
          <w:b w:val="1"/>
          <w:bCs w:val="1"/>
          <w:color w:val="auto"/>
        </w:rPr>
        <w:t>EXECUTIVE COMPENSATION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Executive Compensation section provides information regarding the fiscal year 2025 compensation program for our principal executive officer, our principal financial officer, and up to three of our most highly compensated executive officers (other than our principal executive officer and principal financial officer) who were serving as our executive officers at the end of the last completed fiscal year, based on total compensation as determined under Rule 402 of Regulation S-K. These individuals are our “Named Executive Officers” or “NEOs.” Because we only had two executive officers who met the definition of a Named Executive Officer for fiscal year 2025 in addition to our principal executive officer and principal financial officer, our Named Executive Officers were:</w:t>
      </w:r>
    </w:p>
    <w:p>
      <w:pPr>
        <w:spacing w:after="0" w:line="100"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2680" w:type="dxa"/>
            <w:vAlign w:val="bottom"/>
            <w:tcBorders>
              <w:top w:val="single" w:sz="8" w:color="auto"/>
              <w:left w:val="single" w:sz="8" w:color="auto"/>
              <w:bottom w:val="single" w:sz="8" w:color="auto"/>
            </w:tcBorders>
            <w:shd w:val="clear" w:color="auto" w:fill="929292"/>
          </w:tcPr>
          <w:p>
            <w:pPr>
              <w:ind w:left="1220"/>
              <w:spacing w:after="0"/>
              <w:rPr>
                <w:sz w:val="20"/>
                <w:szCs w:val="20"/>
                <w:color w:val="auto"/>
              </w:rPr>
            </w:pPr>
            <w:r>
              <w:rPr>
                <w:rFonts w:ascii="Arial" w:cs="Arial" w:eastAsia="Arial" w:hAnsi="Arial"/>
                <w:sz w:val="18"/>
                <w:szCs w:val="18"/>
                <w:b w:val="1"/>
                <w:bCs w:val="1"/>
                <w:color w:val="FFFFFF"/>
              </w:rPr>
              <w:t>Executive</w:t>
            </w:r>
          </w:p>
        </w:tc>
        <w:tc>
          <w:tcPr>
            <w:tcW w:w="7760" w:type="dxa"/>
            <w:vAlign w:val="bottom"/>
            <w:tcBorders>
              <w:top w:val="single" w:sz="8" w:color="auto"/>
              <w:bottom w:val="single" w:sz="8" w:color="auto"/>
              <w:right w:val="single" w:sz="8" w:color="auto"/>
            </w:tcBorders>
            <w:shd w:val="clear" w:color="auto" w:fill="929292"/>
          </w:tcPr>
          <w:p>
            <w:pPr>
              <w:ind w:left="3260"/>
              <w:spacing w:after="0"/>
              <w:rPr>
                <w:sz w:val="20"/>
                <w:szCs w:val="20"/>
                <w:color w:val="auto"/>
              </w:rPr>
            </w:pPr>
            <w:r>
              <w:rPr>
                <w:rFonts w:ascii="Arial" w:cs="Arial" w:eastAsia="Arial" w:hAnsi="Arial"/>
                <w:sz w:val="18"/>
                <w:szCs w:val="18"/>
                <w:b w:val="1"/>
                <w:bCs w:val="1"/>
                <w:color w:val="FFFFFF"/>
              </w:rPr>
              <w:t>Fiscal Year 2025 Title</w:t>
            </w:r>
          </w:p>
        </w:tc>
      </w:tr>
      <w:tr>
        <w:trPr>
          <w:trHeight w:val="223"/>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Michael (Mike) Milotich</w:t>
            </w:r>
          </w:p>
        </w:tc>
        <w:tc>
          <w:tcPr>
            <w:tcW w:w="776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Chief Executive Officer and Chief Financial Officer</w:t>
            </w:r>
          </w:p>
        </w:tc>
      </w:tr>
      <w:tr>
        <w:trPr>
          <w:trHeight w:val="230"/>
        </w:trPr>
        <w:tc>
          <w:tcPr>
            <w:tcW w:w="268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Simon Khalaf</w:t>
            </w:r>
          </w:p>
        </w:tc>
        <w:tc>
          <w:tcPr>
            <w:tcW w:w="7760" w:type="dxa"/>
            <w:vAlign w:val="bottom"/>
            <w:tcBorders>
              <w:right w:val="single" w:sz="8" w:color="auto"/>
            </w:tcBorders>
            <w:shd w:val="clear" w:color="auto" w:fill="DBDBDB"/>
          </w:tcPr>
          <w:p>
            <w:pPr>
              <w:ind w:left="620"/>
              <w:spacing w:after="0"/>
              <w:rPr>
                <w:sz w:val="20"/>
                <w:szCs w:val="20"/>
                <w:color w:val="auto"/>
              </w:rPr>
            </w:pPr>
            <w:r>
              <w:rPr>
                <w:rFonts w:ascii="Arial" w:cs="Arial" w:eastAsia="Arial" w:hAnsi="Arial"/>
                <w:sz w:val="18"/>
                <w:szCs w:val="18"/>
                <w:color w:val="auto"/>
              </w:rPr>
              <w:t>Former Chief Executive Officer</w:t>
            </w:r>
          </w:p>
        </w:tc>
      </w:tr>
      <w:tr>
        <w:trPr>
          <w:trHeight w:val="229"/>
        </w:trPr>
        <w:tc>
          <w:tcPr>
            <w:tcW w:w="2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Todd Pollak</w:t>
            </w:r>
          </w:p>
        </w:tc>
        <w:tc>
          <w:tcPr>
            <w:tcW w:w="776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Chief Revenue Officer</w:t>
            </w:r>
          </w:p>
        </w:tc>
      </w:tr>
      <w:tr>
        <w:trPr>
          <w:trHeight w:val="230"/>
        </w:trPr>
        <w:tc>
          <w:tcPr>
            <w:tcW w:w="268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Crystal Sumner</w:t>
            </w:r>
          </w:p>
        </w:tc>
        <w:tc>
          <w:tcPr>
            <w:tcW w:w="7760" w:type="dxa"/>
            <w:vAlign w:val="bottom"/>
            <w:tcBorders>
              <w:bottom w:val="single" w:sz="8" w:color="auto"/>
              <w:right w:val="single" w:sz="8" w:color="auto"/>
            </w:tcBorders>
            <w:shd w:val="clear" w:color="auto" w:fill="DBDBDB"/>
          </w:tcPr>
          <w:p>
            <w:pPr>
              <w:ind w:left="620"/>
              <w:spacing w:after="0"/>
              <w:rPr>
                <w:sz w:val="20"/>
                <w:szCs w:val="20"/>
                <w:color w:val="auto"/>
              </w:rPr>
            </w:pPr>
            <w:r>
              <w:rPr>
                <w:rFonts w:ascii="Arial" w:cs="Arial" w:eastAsia="Arial" w:hAnsi="Arial"/>
                <w:sz w:val="18"/>
                <w:szCs w:val="18"/>
                <w:color w:val="auto"/>
              </w:rPr>
              <w:t>Chief Administrative Officer and Corporate Secretary</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Leadership Transitions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team continued to evolve during fiscal year 2025 with these notable changes:</w:t>
      </w:r>
    </w:p>
    <w:p>
      <w:pPr>
        <w:spacing w:after="0" w:line="239" w:lineRule="exact"/>
        <w:rPr>
          <w:sz w:val="20"/>
          <w:szCs w:val="20"/>
          <w:color w:val="auto"/>
        </w:rPr>
      </w:pPr>
    </w:p>
    <w:p>
      <w:pPr>
        <w:ind w:left="660" w:right="260" w:hanging="328"/>
        <w:spacing w:after="0" w:line="245"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February 26, 2025, Mr. Milotich was named Interim Chief Executive Officer, succeeding Mr. Khalaf, who had departed from his role as Chief Executive Officer and as a member of the Board.</w:t>
      </w:r>
    </w:p>
    <w:p>
      <w:pPr>
        <w:ind w:left="660" w:right="140" w:hanging="328"/>
        <w:spacing w:after="0" w:line="250"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September 8, 2025, Mr. Milotich was appointed Chief Executive Officer and as a member of the Board. Mr. Milotich continued to serve as Chief Financial Officer through February 2026.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 January 2026, we announced that Ms. Patti Kangwangkij had been appointed as Chief Financial Officer, effective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auto"/>
        </w:rPr>
        <w:t>COMPENSATION DISCUSSION &amp; ANALYSIS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&amp; Analysis describes the material elements of our executive compensation program during fiscal year 2025. It</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provides an overview of our executive compensation philosophy, including our principal compensation policies and practices. Finally, it analyzes how and why we arrived at the specific compensation decisions for our Named Executive Officers in fiscal year 2025 and discusses the key factors that were considered in determining their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Marqeta’s modern card issuing platform empowers its customers to create customized and innovative payment cards, giving its customers the ability to build more configurable and flexible payment experiences. Its modern architecture provides instant access to highly scalable, cloud-based payment infrastructure that enables customers to launch and manage their own card programs, issue cards, and authorize and settle payment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Marqeta had a transformative fiscal year 2025</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60" w:lineRule="exact"/>
        <w:rPr>
          <w:sz w:val="20"/>
          <w:szCs w:val="20"/>
          <w:color w:val="auto"/>
        </w:rPr>
      </w:pPr>
    </w:p>
    <w:p>
      <w:pPr>
        <w:ind w:left="660" w:hanging="328"/>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Total Processing Volume (“TPV”) increased by 31% year-over-year, from $291 billion in 2024, to $383 billion in 2025.</w:t>
      </w:r>
    </w:p>
    <w:p>
      <w:pPr>
        <w:spacing w:after="0" w:line="27" w:lineRule="exact"/>
        <w:rPr>
          <w:rFonts w:ascii="Arial" w:cs="Arial" w:eastAsia="Arial" w:hAnsi="Arial"/>
          <w:sz w:val="18"/>
          <w:szCs w:val="18"/>
          <w:color w:val="auto"/>
        </w:rPr>
      </w:pPr>
    </w:p>
    <w:p>
      <w:pPr>
        <w:jc w:val="both"/>
        <w:ind w:left="660" w:hanging="328"/>
        <w:spacing w:after="0" w:line="250" w:lineRule="auto"/>
        <w:tabs>
          <w:tab w:leader="none" w:pos="669" w:val="left"/>
        </w:tabs>
        <w:numPr>
          <w:ilvl w:val="1"/>
          <w:numId w:val="69"/>
        </w:numPr>
        <w:rPr>
          <w:rFonts w:ascii="Arial" w:cs="Arial" w:eastAsia="Arial" w:hAnsi="Arial"/>
          <w:sz w:val="18"/>
          <w:szCs w:val="18"/>
          <w:color w:val="auto"/>
        </w:rPr>
      </w:pPr>
      <w:r>
        <w:rPr>
          <w:rFonts w:ascii="Arial" w:cs="Arial" w:eastAsia="Arial" w:hAnsi="Arial"/>
          <w:sz w:val="18"/>
          <w:szCs w:val="18"/>
          <w:color w:val="auto"/>
        </w:rPr>
        <w:t>Net Revenue of $625 million, increased by $118 million, or 23% year-over-year, primarily driven by increased volumes, partially offset by unfavorable mix due to faster growth of card programs where we provide processing services with minimal or no program management.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9" w:val="left"/>
        </w:tabs>
        <w:numPr>
          <w:ilvl w:val="1"/>
          <w:numId w:val="69"/>
        </w:numPr>
        <w:rPr>
          <w:rFonts w:ascii="Arial" w:cs="Arial" w:eastAsia="Arial" w:hAnsi="Arial"/>
          <w:sz w:val="18"/>
          <w:szCs w:val="18"/>
          <w:color w:val="auto"/>
        </w:rPr>
      </w:pPr>
      <w:r>
        <w:rPr>
          <w:rFonts w:ascii="Arial" w:cs="Arial" w:eastAsia="Arial" w:hAnsi="Arial"/>
          <w:sz w:val="18"/>
          <w:szCs w:val="18"/>
          <w:color w:val="auto"/>
        </w:rPr>
        <w:t>Gross Profit increased by 24% year-over-year to $437 million in 2025, from $352 million in 2024, primarily due to TPV growth. Gross margin was 70% for the year ended December 31, 2025.</w:t>
      </w:r>
    </w:p>
    <w:p>
      <w:pPr>
        <w:jc w:val="both"/>
        <w:ind w:left="660" w:hanging="328"/>
        <w:spacing w:after="0" w:line="250" w:lineRule="auto"/>
        <w:tabs>
          <w:tab w:leader="none" w:pos="669" w:val="left"/>
        </w:tabs>
        <w:numPr>
          <w:ilvl w:val="1"/>
          <w:numId w:val="69"/>
        </w:numPr>
        <w:rPr>
          <w:rFonts w:ascii="Arial" w:cs="Arial" w:eastAsia="Arial" w:hAnsi="Arial"/>
          <w:sz w:val="18"/>
          <w:szCs w:val="18"/>
          <w:color w:val="auto"/>
        </w:rPr>
      </w:pPr>
      <w:r>
        <w:rPr>
          <w:rFonts w:ascii="Arial" w:cs="Arial" w:eastAsia="Arial" w:hAnsi="Arial"/>
          <w:sz w:val="18"/>
          <w:szCs w:val="18"/>
          <w:color w:val="auto"/>
        </w:rPr>
        <w:t>Net Loss of $14 million in 2025 compared to Net Income of $27 million in 2024. The change was primarily driven by the $145 million one-time reversal of share-based compensation recognized in 2024 related to the forfeiture of the Executive Chairman Long-Term Performance Award, as well as increases in gross profit growth and operating efficiency.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Adjusted EBITDA for the year ended December 31, 2025 was $110 million, an $80 million year-over-year improvement.</w:t>
      </w:r>
    </w:p>
    <w:p>
      <w:pPr>
        <w:spacing w:after="0" w:line="54" w:lineRule="exact"/>
        <w:rPr>
          <w:rFonts w:ascii="Arial" w:cs="Arial" w:eastAsia="Arial" w:hAnsi="Arial"/>
          <w:sz w:val="18"/>
          <w:szCs w:val="18"/>
          <w:color w:val="auto"/>
        </w:rPr>
      </w:pPr>
    </w:p>
    <w:p>
      <w:pPr>
        <w:ind w:left="520" w:hanging="35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See reconciliation in Annex I - Key Operating Metric and Non-GAAP Financial Measures.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Executive Compensation Highlights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believes that executive compensation should be strongly linked to Company performance and the creation of long-term value for our stockholders. To incentivize long-term value creation and strong financial performance, our cash and equity incentive compensation plans for fiscal year 2025 incorporated performance metrics that aligned with the key drivers of success and the health of our business. We used the following performance metrics for the performance-based compensation of our NEOs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72390</wp:posOffset>
            </wp:positionV>
            <wp:extent cx="2640330" cy="6089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40330" cy="608965"/>
                    </a:xfrm>
                    <a:prstGeom prst="rect">
                      <a:avLst/>
                    </a:prstGeom>
                    <a:noFill/>
                  </pic:spPr>
                </pic:pic>
              </a:graphicData>
            </a:graphic>
          </wp:anchor>
        </w:drawing>
      </w:r>
    </w:p>
    <w:p>
      <w:pPr>
        <w:spacing w:after="0" w:line="10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FFFFFF"/>
        </w:rPr>
        <w:t>Performance Metrics</w:t>
      </w:r>
    </w:p>
    <w:p>
      <w:pPr>
        <w:spacing w:after="0" w:line="4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Year-Over-Year Revenue Growth</w:t>
      </w:r>
    </w:p>
    <w:p>
      <w:pPr>
        <w:spacing w:after="0" w:line="2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Adjusted EBITDA</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a thorough assessment, we set target compensation for our executives to be market-competitive, supporting our ability to attract and retain best-in-industry executive talent. These compensation decisions were based on the executive’s role with the Company, our operational and financial performance, the analysis from our independent compensation consultant, and other factors described in this Proxy Statement.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fiscal year 2025, the Compensation Committee made the following determinations regarding compensation of our Named Executive Officers:</w:t>
      </w:r>
    </w:p>
    <w:p>
      <w:pPr>
        <w:spacing w:after="0" w:line="200" w:lineRule="exact"/>
        <w:rPr>
          <w:sz w:val="20"/>
          <w:szCs w:val="20"/>
          <w:color w:val="auto"/>
        </w:rPr>
      </w:pPr>
    </w:p>
    <w:p>
      <w:pPr>
        <w:spacing w:after="0" w:line="350"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0" w:name="page41"/>
    <w:bookmarkEnd w:id="40"/>
    <w:p>
      <w:pPr>
        <w:ind w:left="660" w:hanging="328"/>
        <w:spacing w:after="0" w:line="287" w:lineRule="auto"/>
        <w:tabs>
          <w:tab w:leader="none" w:pos="65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Salaries</w:t>
      </w:r>
      <w:r>
        <w:rPr>
          <w:rFonts w:ascii="Arial" w:cs="Arial" w:eastAsia="Arial" w:hAnsi="Arial"/>
          <w:sz w:val="18"/>
          <w:szCs w:val="18"/>
          <w:color w:val="auto"/>
        </w:rPr>
        <w:t>: Adjusted base salaries for our NEOs to align their fixed cash compensation with market pay levels,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philosophy, and each executive’s role within the Company.</w:t>
      </w:r>
    </w:p>
    <w:p>
      <w:pPr>
        <w:spacing w:after="0" w:line="220" w:lineRule="exact"/>
        <w:rPr>
          <w:rFonts w:ascii="Arial" w:cs="Arial" w:eastAsia="Arial" w:hAnsi="Arial"/>
          <w:sz w:val="18"/>
          <w:szCs w:val="18"/>
          <w:b w:val="1"/>
          <w:bCs w:val="1"/>
          <w:color w:val="auto"/>
        </w:rPr>
      </w:pPr>
    </w:p>
    <w:p>
      <w:pPr>
        <w:jc w:val="both"/>
        <w:ind w:left="660" w:hanging="328"/>
        <w:spacing w:after="0" w:line="244" w:lineRule="auto"/>
        <w:tabs>
          <w:tab w:leader="none" w:pos="668" w:val="left"/>
        </w:tabs>
        <w:numPr>
          <w:ilvl w:val="0"/>
          <w:numId w:val="70"/>
        </w:numPr>
        <w:rPr>
          <w:rFonts w:ascii="Arial" w:cs="Arial" w:eastAsia="Arial" w:hAnsi="Arial"/>
          <w:sz w:val="22"/>
          <w:szCs w:val="22"/>
          <w:color w:val="auto"/>
        </w:rPr>
      </w:pPr>
      <w:r>
        <w:rPr>
          <w:rFonts w:ascii="Arial" w:cs="Arial" w:eastAsia="Arial" w:hAnsi="Arial"/>
          <w:sz w:val="18"/>
          <w:szCs w:val="18"/>
          <w:b w:val="1"/>
          <w:bCs w:val="1"/>
          <w:color w:val="auto"/>
        </w:rPr>
        <w:t>Annual Cash Incentives</w:t>
      </w:r>
      <w:r>
        <w:rPr>
          <w:rFonts w:ascii="Arial" w:cs="Arial" w:eastAsia="Arial" w:hAnsi="Arial"/>
          <w:sz w:val="18"/>
          <w:szCs w:val="18"/>
          <w:color w:val="auto"/>
        </w:rPr>
        <w:t>: Target cash bonuses for our NEOs under the Senior Executive Cash Incentive Bonus Plan (the “Bonus</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align their target cash compensation with market pay levels, our compensation philosophy, and their role within the Company. With the exception of the newly appointed Chief Executive Officer, target bonus opportunities for fiscal year 2025 remained at the same level as in the prior year, with no revisions.</w:t>
      </w:r>
    </w:p>
    <w:p>
      <w:pPr>
        <w:spacing w:after="0" w:line="218" w:lineRule="exact"/>
        <w:rPr>
          <w:rFonts w:ascii="Arial" w:cs="Arial" w:eastAsia="Arial" w:hAnsi="Arial"/>
          <w:sz w:val="22"/>
          <w:szCs w:val="22"/>
          <w:color w:val="auto"/>
        </w:rPr>
      </w:pPr>
    </w:p>
    <w:p>
      <w:pPr>
        <w:jc w:val="both"/>
        <w:ind w:left="660"/>
        <w:spacing w:after="0" w:line="256" w:lineRule="auto"/>
        <w:rPr>
          <w:rFonts w:ascii="Arial" w:cs="Arial" w:eastAsia="Arial" w:hAnsi="Arial"/>
          <w:sz w:val="22"/>
          <w:szCs w:val="22"/>
          <w:color w:val="auto"/>
        </w:rPr>
      </w:pPr>
      <w:r>
        <w:rPr>
          <w:rFonts w:ascii="Arial" w:cs="Arial" w:eastAsia="Arial" w:hAnsi="Arial"/>
          <w:sz w:val="18"/>
          <w:szCs w:val="18"/>
          <w:color w:val="auto"/>
        </w:rPr>
        <w:t>Under the Bonus Plan, our Named Executive Officers were eligible to earn cash bonus awards based on actual Company performance as measured against three pre-established financial metrics, as well as their individual performance and Compensation Committee discretion. The corporate funding factor for awards under the Bonus Plan in fiscal year 2025, as approved by the Compensation Committee, was 116.1% of target. In determining the final bonus amounts for the NEOs, the Compensation Committee considered each NEO’s individual performance as well as the Company’s transformation efforts and cost reduction measures intended to position the Company for future success. Named Executive Officers earned annual cash bonus awards ranging from 124.8% to 130.4% of target.</w:t>
      </w:r>
    </w:p>
    <w:p>
      <w:pPr>
        <w:spacing w:after="0" w:line="209" w:lineRule="exact"/>
        <w:rPr>
          <w:rFonts w:ascii="Arial" w:cs="Arial" w:eastAsia="Arial" w:hAnsi="Arial"/>
          <w:sz w:val="22"/>
          <w:szCs w:val="22"/>
          <w:color w:val="auto"/>
        </w:rPr>
      </w:pPr>
    </w:p>
    <w:p>
      <w:pPr>
        <w:jc w:val="both"/>
        <w:ind w:left="660"/>
        <w:spacing w:after="0" w:line="268" w:lineRule="auto"/>
        <w:rPr>
          <w:rFonts w:ascii="Arial" w:cs="Arial" w:eastAsia="Arial" w:hAnsi="Arial"/>
          <w:sz w:val="22"/>
          <w:szCs w:val="22"/>
          <w:color w:val="auto"/>
        </w:rPr>
      </w:pPr>
      <w:r>
        <w:rPr>
          <w:rFonts w:ascii="Arial" w:cs="Arial" w:eastAsia="Arial" w:hAnsi="Arial"/>
          <w:sz w:val="18"/>
          <w:szCs w:val="18"/>
          <w:color w:val="auto"/>
        </w:rPr>
        <w:t>Mr. Pollak participated in a commission sales plan (the “CRO Commission Plan”) under the Bonus Plan and received an award at 88.1% of target for fiscal year 2025. In addition, Mr. Pollak received additional bonus payments so that total incentive payment (inclusive of the CRO Commission Plan) for fiscal year 2025 was at 116% of target.</w:t>
      </w:r>
    </w:p>
    <w:p>
      <w:pPr>
        <w:spacing w:after="0" w:line="238" w:lineRule="exact"/>
        <w:rPr>
          <w:rFonts w:ascii="Arial" w:cs="Arial" w:eastAsia="Arial" w:hAnsi="Arial"/>
          <w:sz w:val="22"/>
          <w:szCs w:val="22"/>
          <w:color w:val="auto"/>
        </w:rPr>
      </w:pPr>
    </w:p>
    <w:p>
      <w:pPr>
        <w:jc w:val="both"/>
        <w:ind w:left="660" w:hanging="328"/>
        <w:spacing w:after="0" w:line="244" w:lineRule="auto"/>
        <w:tabs>
          <w:tab w:leader="none" w:pos="668" w:val="left"/>
        </w:tabs>
        <w:numPr>
          <w:ilvl w:val="0"/>
          <w:numId w:val="70"/>
        </w:numPr>
        <w:rPr>
          <w:rFonts w:ascii="Arial" w:cs="Arial" w:eastAsia="Arial" w:hAnsi="Arial"/>
          <w:sz w:val="22"/>
          <w:szCs w:val="22"/>
          <w:color w:val="auto"/>
        </w:rPr>
      </w:pPr>
      <w:r>
        <w:rPr>
          <w:rFonts w:ascii="Arial" w:cs="Arial" w:eastAsia="Arial" w:hAnsi="Arial"/>
          <w:sz w:val="18"/>
          <w:szCs w:val="18"/>
          <w:b w:val="1"/>
          <w:bCs w:val="1"/>
          <w:color w:val="auto"/>
        </w:rPr>
        <w:t>Long-Term Equity Awards</w:t>
      </w:r>
      <w:r>
        <w:rPr>
          <w:rFonts w:ascii="Arial" w:cs="Arial" w:eastAsia="Arial" w:hAnsi="Arial"/>
          <w:sz w:val="18"/>
          <w:szCs w:val="18"/>
          <w:color w:val="auto"/>
        </w:rPr>
        <w:t>: In fiscal year 2025, the Compensation Committee approved long-term equity awards for NEOs in a mix</w:t>
      </w:r>
      <w:r>
        <w:rPr>
          <w:rFonts w:ascii="Arial" w:cs="Arial" w:eastAsia="Arial" w:hAnsi="Arial"/>
          <w:sz w:val="18"/>
          <w:szCs w:val="18"/>
          <w:b w:val="1"/>
          <w:bCs w:val="1"/>
          <w:color w:val="auto"/>
        </w:rPr>
        <w:t xml:space="preserve"> </w:t>
      </w:r>
      <w:r>
        <w:rPr>
          <w:rFonts w:ascii="Arial" w:cs="Arial" w:eastAsia="Arial" w:hAnsi="Arial"/>
          <w:sz w:val="18"/>
          <w:szCs w:val="18"/>
          <w:color w:val="auto"/>
        </w:rPr>
        <w:t>of RSUs and performance stock units (“PSUs”). With respect to the PSUs, which represented 30% of the target value of equity granted to NEOs, a weighted average performance vesting of 136.2% was achieved for fiscal year 2025. Earned PSUs vest one-third at the end of the performance period and in quarterly installments over the following two years.</w:t>
      </w:r>
    </w:p>
    <w:p>
      <w:pPr>
        <w:spacing w:after="0" w:line="218" w:lineRule="exact"/>
        <w:rPr>
          <w:rFonts w:ascii="Arial" w:cs="Arial" w:eastAsia="Arial" w:hAnsi="Arial"/>
          <w:sz w:val="22"/>
          <w:szCs w:val="22"/>
          <w:color w:val="auto"/>
        </w:rPr>
      </w:pPr>
    </w:p>
    <w:p>
      <w:pPr>
        <w:jc w:val="both"/>
        <w:ind w:left="660" w:hanging="328"/>
        <w:spacing w:after="0" w:line="256"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CEO Transition</w:t>
      </w:r>
      <w:r>
        <w:rPr>
          <w:rFonts w:ascii="Arial" w:cs="Arial" w:eastAsia="Arial" w:hAnsi="Arial"/>
          <w:sz w:val="18"/>
          <w:szCs w:val="18"/>
          <w:color w:val="auto"/>
        </w:rPr>
        <w:t>: In connection with Mr. Khalaf’s departure in February 2025, Mr. Milotich was appointed Interim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“Interim CEO Appointment Date”) and retention awards were provided to each NEO. In connection with his service as Interim Chief Executive Officer, Mr. Milotich received, during the period he served as Interim Chief Executive Officer, (i) an annual base salary of $550,000; (ii) a target annual bonus at the rate of 75% of his annual base salary, and (iii) a one-time retention award of $2,000,000, which was paid (a) 50% in cash on the date a CEO was appointed (the “CEO Appointment Date”); and (b) 50% in RSUs, which vested on the date that was six months following the CEO Appointment Date. These RSUs are subject to the terms and conditions of the Marqeta 2021 Stock Option and Incentive Plan (the “2021 Plan”) and the applicable award agreement thereunder.</w:t>
      </w:r>
    </w:p>
    <w:p>
      <w:pPr>
        <w:spacing w:after="0" w:line="209"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In connection with Mr. Milotich’s appointment as CEO in September 2025, the Board considered benchmarked data provided by Compensia, including recent technology CEO promotion packages. Cash compensation was aligned to the levels of the former CEO, at $600,000 base salary and a bonus target of 100% of base salary. Regarding equity compensation, the Board considered ranges based on Mr. Milotich’s fiscal year 2025 compensation in his prior CFO role as well as equity holdings at the time in comparison to peer CEO benchmarks, and approved a one-time promotion grant of $5 million in RSUs which vest quarterly over the next three years in advance of a transition to CEO-level long-term incentives in fiscal year 2026. The Board believes the one-time promotion grant, in combination with existing holdings and anticipated fiscal year 2026 refresh, brings total unvested values in line with the low end of new hire CEO value.</w:t>
      </w:r>
    </w:p>
    <w:p>
      <w:pPr>
        <w:spacing w:after="0" w:line="200" w:lineRule="exact"/>
        <w:rPr>
          <w:sz w:val="20"/>
          <w:szCs w:val="20"/>
          <w:color w:val="auto"/>
        </w:rPr>
      </w:pPr>
    </w:p>
    <w:p>
      <w:pPr>
        <w:spacing w:after="0" w:line="3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both"/>
        <w:ind w:left="660"/>
        <w:spacing w:after="0" w:line="278" w:lineRule="auto"/>
        <w:rPr>
          <w:sz w:val="20"/>
          <w:szCs w:val="20"/>
          <w:color w:val="auto"/>
        </w:rPr>
      </w:pPr>
      <w:r>
        <w:rPr>
          <w:rFonts w:ascii="Arial" w:cs="Arial" w:eastAsia="Arial" w:hAnsi="Arial"/>
          <w:sz w:val="17"/>
          <w:szCs w:val="17"/>
          <w:color w:val="auto"/>
        </w:rPr>
        <w:t>Ms. Sumner and Mr. Pollak each received a one-time retention award of $1,600,000, on the following terms and conditions: $600,000 of each retention award was paid in cash to the respective recipient on the CEO Appointment Date; and $1,000,000 of each retention award was granted in RSUs to the respective recipient which vested on the date that was six months after the CEO Appointment Date, and were subject to the NEO’s continued employment with the Company through such date. The RSUs are subject to the terms and conditions of the Company’s 2021 Stock Option and Incentive Plan and the applicable award agreement thereunder.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on individual and company performance is discussed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Stockholder Say-on-Pay Votes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our stockholders with the annual opportunity to cast an advisory vote on our NEO compensation (a “Say-on-Pay” vote). The Compensation Committee, along with the Board, was pleased to see our Say-on-Pay vote pass with 98% support at the 2025 annual meeting of stockholders, representing a 3% increase in support from the 2024 annual meeting of stockholders and a 13% increase in support from the 2023 annual meeting of stockholders. The Compensation Committee takes the views of our stockholders seriously and views the support for our NEO compensation policies and practices based on the results of our most recent Say-on-Pay proposal at the 2025 annual meeting of stockholders as an indication that the principles of our executive compensation program are strongly supported by our stockholders.</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Compensation Committee will continue to consider the results of future Say-on-Pay votes, including results for the current year when available, as well as feedback from stockholders and updates in best practices when making future compensation decisions for our NEOs.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Consistent with the recommendation of our Board and the approval of our stockholders in connection with the advisory vote on the frequency of future Say-on-Pay votes conducted at our 2023 annual meeting of stockholders, we will continue to provide for annual advisory votes on the compensation of our NEOs. The next advisory vote on the frequency of future Say-on-Pay votes will occur at our 2029 annual meeting of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executive compensation philosophy and objective is to establish a compensation program that attracts and rewards talented individuals who possess the skills necessary to support our business objectives, expand our business, assist in the achievement of our strategic, operational, and financial goals, and create long-term value for our stockholders. In particular, our executive compensation program is designed to:</w:t>
      </w:r>
    </w:p>
    <w:p>
      <w:pPr>
        <w:spacing w:after="0" w:line="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Recruit, reward, and retain highly qualified executive officers who have the skills and leadership necessary to grow our business;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Align the long-term interests of stockholders and executive officers;</w:t>
      </w:r>
    </w:p>
    <w:p>
      <w:pPr>
        <w:spacing w:after="0" w:line="18" w:lineRule="exact"/>
        <w:rPr>
          <w:rFonts w:ascii="Arial" w:cs="Arial" w:eastAsia="Arial" w:hAnsi="Arial"/>
          <w:sz w:val="22"/>
          <w:szCs w:val="22"/>
          <w:color w:val="auto"/>
        </w:rPr>
      </w:pPr>
    </w:p>
    <w:p>
      <w:pPr>
        <w:ind w:left="660" w:hanging="328"/>
        <w:spacing w:after="0" w:line="244" w:lineRule="auto"/>
        <w:tabs>
          <w:tab w:leader="none" w:pos="668" w:val="left"/>
        </w:tabs>
        <w:numPr>
          <w:ilvl w:val="0"/>
          <w:numId w:val="71"/>
        </w:numPr>
        <w:rPr>
          <w:rFonts w:ascii="Arial" w:cs="Arial" w:eastAsia="Arial" w:hAnsi="Arial"/>
          <w:sz w:val="22"/>
          <w:szCs w:val="22"/>
          <w:color w:val="auto"/>
        </w:rPr>
      </w:pPr>
      <w:r>
        <w:rPr>
          <w:rFonts w:ascii="Arial" w:cs="Arial" w:eastAsia="Arial" w:hAnsi="Arial"/>
          <w:sz w:val="18"/>
          <w:szCs w:val="18"/>
          <w:color w:val="auto"/>
        </w:rPr>
        <w:t>Motivate our executive officers by giving them a stake in our growth and prosperity and encouraging their continued service with us; and</w:t>
      </w:r>
    </w:p>
    <w:p>
      <w:pPr>
        <w:spacing w:after="0" w:line="18" w:lineRule="exact"/>
        <w:rPr>
          <w:rFonts w:ascii="Arial" w:cs="Arial" w:eastAsia="Arial" w:hAnsi="Arial"/>
          <w:sz w:val="22"/>
          <w:szCs w:val="22"/>
          <w:color w:val="auto"/>
        </w:rPr>
      </w:pPr>
    </w:p>
    <w:p>
      <w:pPr>
        <w:ind w:left="660" w:hanging="328"/>
        <w:spacing w:after="0" w:line="237" w:lineRule="auto"/>
        <w:tabs>
          <w:tab w:leader="none" w:pos="668" w:val="left"/>
        </w:tabs>
        <w:numPr>
          <w:ilvl w:val="0"/>
          <w:numId w:val="71"/>
        </w:numPr>
        <w:rPr>
          <w:rFonts w:ascii="Arial" w:cs="Arial" w:eastAsia="Arial" w:hAnsi="Arial"/>
          <w:sz w:val="22"/>
          <w:szCs w:val="22"/>
          <w:color w:val="auto"/>
        </w:rPr>
      </w:pPr>
      <w:r>
        <w:rPr>
          <w:rFonts w:ascii="Arial" w:cs="Arial" w:eastAsia="Arial" w:hAnsi="Arial"/>
          <w:sz w:val="18"/>
          <w:szCs w:val="18"/>
          <w:color w:val="auto"/>
        </w:rPr>
        <w:t>Provide compensation packages that are competitive and reasonable relative to peers, the overall market, and individual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Elements of Compensation; Fiscal Year 2025 Pay Mix</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Consistent with our compensation objectives and our pay-for-performance philosophy described above, we compensate our NEOs in the form of base salaries, annual cash incentives, and long-term equity incentives consisting of RSUs and PSUs. The following table describes the principal elements of our executive compensation program for fiscal year 2025:</w:t>
      </w:r>
    </w:p>
    <w:p>
      <w:pPr>
        <w:spacing w:after="0" w:line="200" w:lineRule="exact"/>
        <w:rPr>
          <w:sz w:val="20"/>
          <w:szCs w:val="20"/>
          <w:color w:val="auto"/>
        </w:rPr>
      </w:pPr>
    </w:p>
    <w:p>
      <w:pPr>
        <w:spacing w:after="0" w:line="36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tbl>
      <w:tblPr>
        <w:tblLayout w:type="fixed"/>
        <w:tblInd w:w="170" w:type="dxa"/>
        <w:tblCellMar>
          <w:top w:w="0" w:type="dxa"/>
          <w:left w:w="0" w:type="dxa"/>
          <w:bottom w:w="0" w:type="dxa"/>
          <w:right w:w="0" w:type="dxa"/>
        </w:tblCellMar>
      </w:tblPr>
      <w:tr>
        <w:trPr>
          <w:trHeight w:val="243"/>
        </w:trPr>
        <w:tc>
          <w:tcPr>
            <w:tcW w:w="3260" w:type="dxa"/>
            <w:vAlign w:val="bottom"/>
            <w:tcBorders>
              <w:bottom w:val="single" w:sz="8" w:color="auto"/>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8"/>
              </w:rPr>
              <w:t>Pay Element</w:t>
            </w:r>
          </w:p>
        </w:tc>
        <w:tc>
          <w:tcPr>
            <w:tcW w:w="260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8"/>
              </w:rPr>
              <w:t>Metrics</w:t>
            </w:r>
          </w:p>
        </w:tc>
        <w:tc>
          <w:tcPr>
            <w:tcW w:w="260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rPr>
              <w:t>Rationale</w:t>
            </w:r>
          </w:p>
        </w:tc>
        <w:tc>
          <w:tcPr>
            <w:tcW w:w="0" w:type="dxa"/>
            <w:vAlign w:val="bottom"/>
          </w:tcPr>
          <w:p>
            <w:pPr>
              <w:spacing w:after="0"/>
              <w:rPr>
                <w:sz w:val="1"/>
                <w:szCs w:val="1"/>
                <w:color w:val="auto"/>
              </w:rPr>
            </w:pPr>
          </w:p>
        </w:tc>
      </w:tr>
      <w:tr>
        <w:trPr>
          <w:trHeight w:val="146"/>
        </w:trPr>
        <w:tc>
          <w:tcPr>
            <w:tcW w:w="326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Base Salary</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Cash</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26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Provides a fixed and stable level of</w:t>
            </w: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vMerge w:val="continue"/>
            <w:shd w:val="clear" w:color="auto" w:fill="929292"/>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income for performance of day-to-day</w:t>
            </w:r>
          </w:p>
        </w:tc>
        <w:tc>
          <w:tcPr>
            <w:tcW w:w="0" w:type="dxa"/>
            <w:vAlign w:val="bottom"/>
          </w:tcPr>
          <w:p>
            <w:pPr>
              <w:spacing w:after="0"/>
              <w:rPr>
                <w:sz w:val="1"/>
                <w:szCs w:val="1"/>
                <w:color w:val="auto"/>
              </w:rPr>
            </w:pPr>
          </w:p>
        </w:tc>
      </w:tr>
      <w:tr>
        <w:trPr>
          <w:trHeight w:val="189"/>
        </w:trPr>
        <w:tc>
          <w:tcPr>
            <w:tcW w:w="3260" w:type="dxa"/>
            <w:vAlign w:val="bottom"/>
            <w:tcBorders>
              <w:left w:val="single" w:sz="8" w:color="auto"/>
              <w:bottom w:val="single" w:sz="8" w:color="auto"/>
              <w:right w:val="single" w:sz="8" w:color="auto"/>
            </w:tcBorders>
            <w:shd w:val="clear" w:color="auto" w:fill="929292"/>
          </w:tcPr>
          <w:p>
            <w:pPr>
              <w:spacing w:after="0"/>
              <w:rPr>
                <w:sz w:val="16"/>
                <w:szCs w:val="16"/>
                <w:color w:val="auto"/>
              </w:rPr>
            </w:pPr>
          </w:p>
        </w:tc>
        <w:tc>
          <w:tcPr>
            <w:tcW w:w="248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responsibilities.</w:t>
            </w:r>
          </w:p>
        </w:tc>
        <w:tc>
          <w:tcPr>
            <w:tcW w:w="0" w:type="dxa"/>
            <w:vAlign w:val="bottom"/>
          </w:tcPr>
          <w:p>
            <w:pPr>
              <w:spacing w:after="0"/>
              <w:rPr>
                <w:sz w:val="1"/>
                <w:szCs w:val="1"/>
                <w:color w:val="auto"/>
              </w:rPr>
            </w:pPr>
          </w:p>
        </w:tc>
      </w:tr>
      <w:tr>
        <w:trPr>
          <w:trHeight w:val="146"/>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The Bonus Plan is based on annual net</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revenue growth, gross profit, adjusted</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Performance-based</w:t>
            </w:r>
          </w:p>
        </w:tc>
        <w:tc>
          <w:tcPr>
            <w:tcW w:w="2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EBITDA (as described below) and</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Motivates achievement of key annual</w:t>
            </w:r>
          </w:p>
        </w:tc>
        <w:tc>
          <w:tcPr>
            <w:tcW w:w="0" w:type="dxa"/>
            <w:vAlign w:val="bottom"/>
          </w:tcPr>
          <w:p>
            <w:pPr>
              <w:spacing w:after="0"/>
              <w:rPr>
                <w:sz w:val="1"/>
                <w:szCs w:val="1"/>
                <w:color w:val="auto"/>
              </w:rPr>
            </w:pPr>
          </w:p>
        </w:tc>
      </w:tr>
      <w:tr>
        <w:trPr>
          <w:trHeight w:val="148"/>
        </w:trPr>
        <w:tc>
          <w:tcPr>
            <w:tcW w:w="326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Annual Cash Incentives</w:t>
            </w:r>
          </w:p>
        </w:tc>
        <w:tc>
          <w:tcPr>
            <w:tcW w:w="248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Compensation Committee discretion.</w:t>
            </w:r>
          </w:p>
        </w:tc>
        <w:tc>
          <w:tcPr>
            <w:tcW w:w="2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vMerge w:val="continue"/>
            <w:shd w:val="clear" w:color="auto" w:fill="929292"/>
          </w:tcPr>
          <w:p>
            <w:pPr>
              <w:spacing w:after="0"/>
              <w:rPr>
                <w:sz w:val="12"/>
                <w:szCs w:val="12"/>
                <w:color w:val="auto"/>
              </w:rPr>
            </w:pPr>
          </w:p>
        </w:tc>
        <w:tc>
          <w:tcPr>
            <w:tcW w:w="24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cash incentive</w:t>
            </w: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Payouts can also be adjusted for</w:t>
            </w: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financial and operational goals</w:t>
            </w:r>
          </w:p>
        </w:tc>
        <w:tc>
          <w:tcPr>
            <w:tcW w:w="0" w:type="dxa"/>
            <w:vAlign w:val="bottom"/>
          </w:tcPr>
          <w:p>
            <w:pPr>
              <w:spacing w:after="0"/>
              <w:rPr>
                <w:sz w:val="1"/>
                <w:szCs w:val="1"/>
                <w:color w:val="auto"/>
              </w:rPr>
            </w:pPr>
          </w:p>
        </w:tc>
      </w:tr>
      <w:tr>
        <w:trPr>
          <w:trHeight w:val="139"/>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individual performance. The CRO</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Commission Plan is based on new</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60" w:type="dxa"/>
            <w:vAlign w:val="bottom"/>
            <w:tcBorders>
              <w:left w:val="single" w:sz="8" w:color="auto"/>
              <w:bottom w:val="single" w:sz="8" w:color="auto"/>
              <w:right w:val="single" w:sz="8" w:color="auto"/>
            </w:tcBorders>
            <w:shd w:val="clear" w:color="auto" w:fill="929292"/>
          </w:tcPr>
          <w:p>
            <w:pPr>
              <w:spacing w:after="0"/>
              <w:rPr>
                <w:sz w:val="16"/>
                <w:szCs w:val="16"/>
                <w:color w:val="auto"/>
              </w:rPr>
            </w:pPr>
          </w:p>
        </w:tc>
        <w:tc>
          <w:tcPr>
            <w:tcW w:w="248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bookings and gross profit.</w:t>
            </w:r>
          </w:p>
        </w:tc>
        <w:tc>
          <w:tcPr>
            <w:tcW w:w="2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3260" w:type="dxa"/>
            <w:vAlign w:val="bottom"/>
            <w:tcBorders>
              <w:left w:val="single" w:sz="8" w:color="auto"/>
              <w:right w:val="single" w:sz="8" w:color="auto"/>
            </w:tcBorders>
            <w:shd w:val="clear" w:color="auto" w:fill="929292"/>
          </w:tcPr>
          <w:p>
            <w:pPr>
              <w:spacing w:after="0"/>
              <w:rPr>
                <w:sz w:val="24"/>
                <w:szCs w:val="24"/>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Time-based RSUs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Continued employment</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Establishes alignment between</w:t>
            </w:r>
          </w:p>
        </w:tc>
        <w:tc>
          <w:tcPr>
            <w:tcW w:w="0" w:type="dxa"/>
            <w:vAlign w:val="bottom"/>
          </w:tcPr>
          <w:p>
            <w:pPr>
              <w:spacing w:after="0"/>
              <w:rPr>
                <w:sz w:val="1"/>
                <w:szCs w:val="1"/>
                <w:color w:val="auto"/>
              </w:rPr>
            </w:pPr>
          </w:p>
        </w:tc>
      </w:tr>
      <w:tr>
        <w:trPr>
          <w:trHeight w:val="54"/>
        </w:trPr>
        <w:tc>
          <w:tcPr>
            <w:tcW w:w="3260" w:type="dxa"/>
            <w:vAlign w:val="bottom"/>
            <w:tcBorders>
              <w:left w:val="single" w:sz="8" w:color="auto"/>
              <w:right w:val="single" w:sz="8" w:color="auto"/>
            </w:tcBorders>
            <w:shd w:val="clear" w:color="auto" w:fill="929292"/>
          </w:tcPr>
          <w:p>
            <w:pPr>
              <w:spacing w:after="0"/>
              <w:rPr>
                <w:sz w:val="4"/>
                <w:szCs w:val="4"/>
                <w:color w:val="auto"/>
              </w:rPr>
            </w:pPr>
          </w:p>
        </w:tc>
        <w:tc>
          <w:tcPr>
            <w:tcW w:w="2480" w:type="dxa"/>
            <w:vAlign w:val="bottom"/>
            <w:tcBorders>
              <w:right w:val="single" w:sz="8" w:color="auto"/>
            </w:tcBorders>
            <w:vMerge w:val="continue"/>
          </w:tcPr>
          <w:p>
            <w:pPr>
              <w:spacing w:after="0"/>
              <w:rPr>
                <w:sz w:val="4"/>
                <w:szCs w:val="4"/>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Stock price performance</w:t>
            </w: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interests of executives and</w:t>
            </w:r>
          </w:p>
        </w:tc>
        <w:tc>
          <w:tcPr>
            <w:tcW w:w="0" w:type="dxa"/>
            <w:vAlign w:val="bottom"/>
          </w:tcPr>
          <w:p>
            <w:pPr>
              <w:spacing w:after="0"/>
              <w:rPr>
                <w:sz w:val="1"/>
                <w:szCs w:val="1"/>
                <w:color w:val="auto"/>
              </w:rPr>
            </w:pPr>
          </w:p>
        </w:tc>
      </w:tr>
      <w:tr>
        <w:trPr>
          <w:trHeight w:val="139"/>
        </w:trPr>
        <w:tc>
          <w:tcPr>
            <w:tcW w:w="326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Long-Term Equity Awards</w:t>
            </w:r>
          </w:p>
        </w:tc>
        <w:tc>
          <w:tcPr>
            <w:tcW w:w="248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stockholders. The mix between time-</w:t>
            </w:r>
          </w:p>
        </w:tc>
        <w:tc>
          <w:tcPr>
            <w:tcW w:w="0" w:type="dxa"/>
            <w:vAlign w:val="bottom"/>
          </w:tcPr>
          <w:p>
            <w:pPr>
              <w:spacing w:after="0"/>
              <w:rPr>
                <w:sz w:val="1"/>
                <w:szCs w:val="1"/>
                <w:color w:val="auto"/>
              </w:rPr>
            </w:pPr>
          </w:p>
        </w:tc>
      </w:tr>
      <w:tr>
        <w:trPr>
          <w:trHeight w:val="23"/>
        </w:trPr>
        <w:tc>
          <w:tcPr>
            <w:tcW w:w="3260" w:type="dxa"/>
            <w:vAlign w:val="bottom"/>
            <w:tcBorders>
              <w:left w:val="single" w:sz="8" w:color="auto"/>
              <w:bottom w:val="single" w:sz="8" w:color="929292"/>
              <w:right w:val="single" w:sz="8" w:color="auto"/>
            </w:tcBorders>
            <w:vMerge w:val="continue"/>
            <w:shd w:val="clear" w:color="auto" w:fill="929292"/>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based RSUs and performance-based</w:t>
            </w:r>
          </w:p>
        </w:tc>
        <w:tc>
          <w:tcPr>
            <w:tcW w:w="0" w:type="dxa"/>
            <w:vAlign w:val="bottom"/>
          </w:tcPr>
          <w:p>
            <w:pPr>
              <w:spacing w:after="0"/>
              <w:rPr>
                <w:sz w:val="1"/>
                <w:szCs w:val="1"/>
                <w:color w:val="auto"/>
              </w:rPr>
            </w:pPr>
          </w:p>
        </w:tc>
      </w:tr>
      <w:tr>
        <w:trPr>
          <w:trHeight w:val="106"/>
        </w:trPr>
        <w:tc>
          <w:tcPr>
            <w:tcW w:w="3260" w:type="dxa"/>
            <w:vAlign w:val="bottom"/>
            <w:tcBorders>
              <w:left w:val="single" w:sz="8" w:color="auto"/>
              <w:right w:val="single" w:sz="8" w:color="auto"/>
            </w:tcBorders>
            <w:vMerge w:val="continue"/>
            <w:shd w:val="clear" w:color="auto" w:fill="929292"/>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Gross Profit</w:t>
            </w: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shd w:val="clear" w:color="auto" w:fill="929292"/>
          </w:tcPr>
          <w:p>
            <w:pPr>
              <w:spacing w:after="0"/>
              <w:rPr>
                <w:sz w:val="12"/>
                <w:szCs w:val="12"/>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Performance-based PSUs</w:t>
            </w:r>
          </w:p>
        </w:tc>
        <w:tc>
          <w:tcPr>
            <w:tcW w:w="260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PSUs balances retention and stock</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shd w:val="clear" w:color="auto" w:fill="929292"/>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Adjusted EBITDA</w:t>
            </w:r>
          </w:p>
        </w:tc>
        <w:tc>
          <w:tcPr>
            <w:tcW w:w="2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price growth.</w:t>
            </w:r>
          </w:p>
        </w:tc>
        <w:tc>
          <w:tcPr>
            <w:tcW w:w="0" w:type="dxa"/>
            <w:vAlign w:val="bottom"/>
          </w:tcPr>
          <w:p>
            <w:pPr>
              <w:spacing w:after="0"/>
              <w:rPr>
                <w:sz w:val="1"/>
                <w:szCs w:val="1"/>
                <w:color w:val="auto"/>
              </w:rPr>
            </w:pPr>
          </w:p>
        </w:tc>
      </w:tr>
      <w:tr>
        <w:trPr>
          <w:trHeight w:val="190"/>
        </w:trPr>
        <w:tc>
          <w:tcPr>
            <w:tcW w:w="3260" w:type="dxa"/>
            <w:vAlign w:val="bottom"/>
            <w:tcBorders>
              <w:left w:val="single" w:sz="8" w:color="auto"/>
              <w:right w:val="single" w:sz="8" w:color="auto"/>
            </w:tcBorders>
            <w:shd w:val="clear" w:color="auto" w:fill="929292"/>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 price performance</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260" w:type="dxa"/>
            <w:vAlign w:val="bottom"/>
            <w:tcBorders>
              <w:left w:val="single" w:sz="8" w:color="auto"/>
              <w:bottom w:val="single" w:sz="8" w:color="auto"/>
              <w:right w:val="single" w:sz="8" w:color="auto"/>
            </w:tcBorders>
            <w:shd w:val="clear" w:color="auto" w:fill="929292"/>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688975</wp:posOffset>
            </wp:positionV>
            <wp:extent cx="206565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65655" cy="163195"/>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8"/>
          <w:szCs w:val="18"/>
          <w:color w:val="auto"/>
        </w:rPr>
        <w:t>In fiscal year 2025, (i) 93% of our Chief Executive Officer’s target total direct compensation was performance-based or variable and (ii) on average, 87% of our other NEOs’ target total direct compensation was performance-based or variable.</w:t>
      </w:r>
    </w:p>
    <w:p>
      <w:pPr>
        <w:spacing w:after="0" w:line="76" w:lineRule="exact"/>
        <w:rPr>
          <w:sz w:val="20"/>
          <w:szCs w:val="20"/>
          <w:color w:val="auto"/>
        </w:rPr>
      </w:pPr>
    </w:p>
    <w:p>
      <w:pPr>
        <w:ind w:left="620"/>
        <w:spacing w:after="0"/>
        <w:tabs>
          <w:tab w:leader="none" w:pos="5880" w:val="left"/>
        </w:tabs>
        <w:rPr>
          <w:sz w:val="20"/>
          <w:szCs w:val="20"/>
          <w:color w:val="auto"/>
        </w:rPr>
      </w:pPr>
      <w:r>
        <w:rPr>
          <w:rFonts w:ascii="Arial" w:cs="Arial" w:eastAsia="Arial" w:hAnsi="Arial"/>
          <w:sz w:val="22"/>
          <w:szCs w:val="22"/>
          <w:b w:val="1"/>
          <w:bCs w:val="1"/>
          <w:color w:val="FFFFFF"/>
        </w:rPr>
        <w:t>FY 2025 CEO Target Compensation Mix*</w:t>
      </w:r>
      <w:r>
        <w:rPr>
          <w:sz w:val="20"/>
          <w:szCs w:val="20"/>
          <w:color w:val="auto"/>
        </w:rPr>
        <w:tab/>
      </w:r>
      <w:r>
        <w:rPr>
          <w:rFonts w:ascii="Arial" w:cs="Arial" w:eastAsia="Arial" w:hAnsi="Arial"/>
          <w:sz w:val="21"/>
          <w:szCs w:val="21"/>
          <w:b w:val="1"/>
          <w:bCs w:val="1"/>
          <w:color w:val="FFFFFF"/>
        </w:rPr>
        <w:t>FY 2025 Other NEO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665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*Excludes retention arrangements. May not add to 100%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Compensation Practices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our philosophy and to meet our objectives, we maintain the following compensation practices and policies: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 w:type="dxa"/>
            <w:vAlign w:val="bottom"/>
            <w:tcBorders>
              <w:top w:val="single" w:sz="8" w:color="auto"/>
              <w:left w:val="single" w:sz="8" w:color="auto"/>
              <w:bottom w:val="single" w:sz="8" w:color="auto"/>
            </w:tcBorders>
            <w:shd w:val="clear" w:color="auto" w:fill="929292"/>
          </w:tcPr>
          <w:p>
            <w:pPr>
              <w:spacing w:after="0"/>
              <w:rPr>
                <w:sz w:val="21"/>
                <w:szCs w:val="21"/>
                <w:color w:val="auto"/>
              </w:rPr>
            </w:pPr>
          </w:p>
        </w:tc>
        <w:tc>
          <w:tcPr>
            <w:tcW w:w="840" w:type="dxa"/>
            <w:vAlign w:val="bottom"/>
            <w:tcBorders>
              <w:top w:val="single" w:sz="8" w:color="auto"/>
              <w:bottom w:val="single" w:sz="8" w:color="auto"/>
            </w:tcBorders>
            <w:shd w:val="clear" w:color="auto" w:fill="929292"/>
          </w:tcPr>
          <w:p>
            <w:pPr>
              <w:spacing w:after="0"/>
              <w:rPr>
                <w:sz w:val="21"/>
                <w:szCs w:val="21"/>
                <w:color w:val="auto"/>
              </w:rPr>
            </w:pPr>
          </w:p>
        </w:tc>
        <w:tc>
          <w:tcPr>
            <w:tcW w:w="1200" w:type="dxa"/>
            <w:vAlign w:val="bottom"/>
            <w:tcBorders>
              <w:top w:val="single" w:sz="8" w:color="auto"/>
              <w:bottom w:val="single" w:sz="8" w:color="auto"/>
            </w:tcBorders>
            <w:shd w:val="clear" w:color="auto" w:fill="929292"/>
          </w:tcPr>
          <w:p>
            <w:pPr>
              <w:spacing w:after="0"/>
              <w:rPr>
                <w:sz w:val="21"/>
                <w:szCs w:val="21"/>
                <w:color w:val="auto"/>
              </w:rPr>
            </w:pPr>
          </w:p>
        </w:tc>
        <w:tc>
          <w:tcPr>
            <w:tcW w:w="1500" w:type="dxa"/>
            <w:vAlign w:val="bottom"/>
            <w:tcBorders>
              <w:top w:val="single" w:sz="8" w:color="auto"/>
              <w:bottom w:val="single" w:sz="8" w:color="auto"/>
            </w:tcBorders>
            <w:gridSpan w:val="2"/>
            <w:shd w:val="clear" w:color="auto" w:fill="929292"/>
          </w:tcPr>
          <w:p>
            <w:pPr>
              <w:ind w:left="20"/>
              <w:spacing w:after="0"/>
              <w:rPr>
                <w:sz w:val="20"/>
                <w:szCs w:val="20"/>
                <w:color w:val="auto"/>
              </w:rPr>
            </w:pPr>
            <w:r>
              <w:rPr>
                <w:rFonts w:ascii="Arial" w:cs="Arial" w:eastAsia="Arial" w:hAnsi="Arial"/>
                <w:sz w:val="18"/>
                <w:szCs w:val="18"/>
                <w:b w:val="1"/>
                <w:bCs w:val="1"/>
                <w:color w:val="FFFFFF"/>
              </w:rPr>
              <w:t>What We Do</w:t>
            </w:r>
          </w:p>
        </w:tc>
        <w:tc>
          <w:tcPr>
            <w:tcW w:w="1860" w:type="dxa"/>
            <w:vAlign w:val="bottom"/>
            <w:tcBorders>
              <w:top w:val="single" w:sz="8" w:color="auto"/>
              <w:bottom w:val="single" w:sz="8" w:color="auto"/>
              <w:right w:val="single" w:sz="8" w:color="auto"/>
            </w:tcBorders>
            <w:shd w:val="clear" w:color="auto" w:fill="929292"/>
          </w:tcPr>
          <w:p>
            <w:pPr>
              <w:spacing w:after="0"/>
              <w:rPr>
                <w:sz w:val="21"/>
                <w:szCs w:val="21"/>
                <w:color w:val="auto"/>
              </w:rPr>
            </w:pPr>
          </w:p>
        </w:tc>
        <w:tc>
          <w:tcPr>
            <w:tcW w:w="200" w:type="dxa"/>
            <w:vAlign w:val="bottom"/>
            <w:tcBorders>
              <w:top w:val="single" w:sz="8" w:color="auto"/>
              <w:bottom w:val="single" w:sz="8" w:color="auto"/>
            </w:tcBorders>
            <w:shd w:val="clear" w:color="auto" w:fill="929292"/>
          </w:tcPr>
          <w:p>
            <w:pPr>
              <w:spacing w:after="0"/>
              <w:rPr>
                <w:sz w:val="21"/>
                <w:szCs w:val="21"/>
                <w:color w:val="auto"/>
              </w:rPr>
            </w:pPr>
          </w:p>
        </w:tc>
        <w:tc>
          <w:tcPr>
            <w:tcW w:w="5420" w:type="dxa"/>
            <w:vAlign w:val="bottom"/>
            <w:tcBorders>
              <w:top w:val="single" w:sz="8" w:color="auto"/>
              <w:bottom w:val="single" w:sz="8" w:color="auto"/>
              <w:right w:val="single" w:sz="8" w:color="auto"/>
            </w:tcBorders>
            <w:shd w:val="clear" w:color="auto" w:fill="929292"/>
          </w:tcPr>
          <w:p>
            <w:pPr>
              <w:ind w:left="182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218"/>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40"/>
              <w:spacing w:after="0"/>
              <w:rPr>
                <w:sz w:val="20"/>
                <w:szCs w:val="20"/>
                <w:color w:val="auto"/>
              </w:rPr>
            </w:pPr>
            <w:r>
              <w:rPr>
                <w:rFonts w:ascii="Arial" w:cs="Arial" w:eastAsia="Arial" w:hAnsi="Arial"/>
                <w:sz w:val="18"/>
                <w:szCs w:val="18"/>
                <w:color w:val="auto"/>
              </w:rPr>
              <w:t>Align pay with performance</w:t>
            </w: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Do not permit any of our employees or directors to engage in</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gridSpan w:val="6"/>
          </w:tcPr>
          <w:p>
            <w:pPr>
              <w:ind w:left="40"/>
              <w:spacing w:after="0"/>
              <w:rPr>
                <w:sz w:val="20"/>
                <w:szCs w:val="20"/>
                <w:color w:val="auto"/>
              </w:rPr>
            </w:pPr>
            <w:r>
              <w:rPr>
                <w:rFonts w:ascii="Arial" w:cs="Arial" w:eastAsia="Arial" w:hAnsi="Arial"/>
                <w:sz w:val="18"/>
                <w:szCs w:val="18"/>
                <w:color w:val="auto"/>
              </w:rPr>
              <w:t>•   Set target compensation at reasonable, market-competitive levels</w:t>
            </w:r>
          </w:p>
        </w:tc>
        <w:tc>
          <w:tcPr>
            <w:tcW w:w="200" w:type="dxa"/>
            <w:vAlign w:val="bottom"/>
          </w:tcPr>
          <w:p>
            <w:pPr>
              <w:spacing w:after="0"/>
              <w:rPr>
                <w:sz w:val="18"/>
                <w:szCs w:val="18"/>
                <w:color w:val="auto"/>
              </w:rPr>
            </w:pPr>
          </w:p>
        </w:tc>
        <w:tc>
          <w:tcPr>
            <w:tcW w:w="5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short sales, hedging, pledging, or transactions in derivatives of</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   Allocate</w:t>
            </w:r>
          </w:p>
        </w:tc>
        <w:tc>
          <w:tcPr>
            <w:tcW w:w="4560" w:type="dxa"/>
            <w:vAlign w:val="bottom"/>
            <w:gridSpan w:val="4"/>
          </w:tcPr>
          <w:p>
            <w:pPr>
              <w:jc w:val="right"/>
              <w:spacing w:after="0"/>
              <w:rPr>
                <w:sz w:val="20"/>
                <w:szCs w:val="20"/>
                <w:color w:val="auto"/>
              </w:rPr>
            </w:pPr>
            <w:r>
              <w:rPr>
                <w:rFonts w:ascii="Arial" w:cs="Arial" w:eastAsia="Arial" w:hAnsi="Arial"/>
                <w:sz w:val="18"/>
                <w:szCs w:val="18"/>
                <w:color w:val="auto"/>
              </w:rPr>
              <w:t>significant  ratio  of  NEO  compensation  to  equity</w:t>
            </w:r>
          </w:p>
        </w:tc>
        <w:tc>
          <w:tcPr>
            <w:tcW w:w="200" w:type="dxa"/>
            <w:vAlign w:val="bottom"/>
          </w:tcPr>
          <w:p>
            <w:pPr>
              <w:spacing w:after="0"/>
              <w:rPr>
                <w:sz w:val="18"/>
                <w:szCs w:val="18"/>
                <w:color w:val="auto"/>
              </w:rPr>
            </w:pPr>
          </w:p>
        </w:tc>
        <w:tc>
          <w:tcPr>
            <w:tcW w:w="5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our securities</w:t>
            </w: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5400" w:type="dxa"/>
            <w:vAlign w:val="bottom"/>
            <w:gridSpan w:val="5"/>
          </w:tcPr>
          <w:p>
            <w:pPr>
              <w:ind w:left="120"/>
              <w:spacing w:after="0"/>
              <w:rPr>
                <w:sz w:val="20"/>
                <w:szCs w:val="20"/>
                <w:color w:val="auto"/>
              </w:rPr>
            </w:pPr>
            <w:r>
              <w:rPr>
                <w:rFonts w:ascii="Arial" w:cs="Arial" w:eastAsia="Arial" w:hAnsi="Arial"/>
                <w:sz w:val="18"/>
                <w:szCs w:val="18"/>
                <w:color w:val="auto"/>
              </w:rPr>
              <w:t>incentives to foster alignment with stockholder interests</w:t>
            </w: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Do not offer fixed term (vs. “at-will”) employment for our NEOs</w:t>
            </w:r>
          </w:p>
        </w:tc>
        <w:tc>
          <w:tcPr>
            <w:tcW w:w="0" w:type="dxa"/>
            <w:vAlign w:val="bottom"/>
          </w:tcPr>
          <w:p>
            <w:pPr>
              <w:spacing w:after="0"/>
              <w:rPr>
                <w:sz w:val="1"/>
                <w:szCs w:val="1"/>
                <w:color w:val="auto"/>
              </w:rPr>
            </w:pPr>
          </w:p>
        </w:tc>
      </w:tr>
      <w:tr>
        <w:trPr>
          <w:trHeight w:val="77"/>
        </w:trPr>
        <w:tc>
          <w:tcPr>
            <w:tcW w:w="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5400" w:type="dxa"/>
            <w:vAlign w:val="bottom"/>
            <w:gridSpan w:val="5"/>
            <w:vMerge w:val="restart"/>
          </w:tcPr>
          <w:p>
            <w:pPr>
              <w:ind w:left="140"/>
              <w:spacing w:after="0"/>
              <w:rPr>
                <w:sz w:val="20"/>
                <w:szCs w:val="20"/>
                <w:color w:val="auto"/>
              </w:rPr>
            </w:pPr>
            <w:r>
              <w:rPr>
                <w:rFonts w:ascii="Arial" w:cs="Arial" w:eastAsia="Arial" w:hAnsi="Arial"/>
                <w:sz w:val="18"/>
                <w:szCs w:val="18"/>
                <w:color w:val="auto"/>
              </w:rPr>
              <w:t>Utilize rigorous performance metrics that reflect our strategic</w:t>
            </w:r>
          </w:p>
        </w:tc>
        <w:tc>
          <w:tcPr>
            <w:tcW w:w="200" w:type="dxa"/>
            <w:vAlign w:val="bottom"/>
            <w:vMerge w:val="continue"/>
          </w:tcPr>
          <w:p>
            <w:pPr>
              <w:spacing w:after="0"/>
              <w:rPr>
                <w:sz w:val="6"/>
                <w:szCs w:val="6"/>
                <w:color w:val="auto"/>
              </w:rPr>
            </w:pPr>
          </w:p>
        </w:tc>
        <w:tc>
          <w:tcPr>
            <w:tcW w:w="54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0" w:type="dxa"/>
            <w:vAlign w:val="bottom"/>
            <w:tcBorders>
              <w:left w:val="single" w:sz="8" w:color="auto"/>
            </w:tcBorders>
            <w:vMerge w:val="continue"/>
          </w:tcPr>
          <w:p>
            <w:pPr>
              <w:spacing w:after="0"/>
              <w:rPr>
                <w:sz w:val="18"/>
                <w:szCs w:val="18"/>
                <w:color w:val="auto"/>
              </w:rPr>
            </w:pPr>
          </w:p>
        </w:tc>
        <w:tc>
          <w:tcPr>
            <w:tcW w:w="5400" w:type="dxa"/>
            <w:vAlign w:val="bottom"/>
            <w:gridSpan w:val="5"/>
            <w:vMerge w:val="continue"/>
          </w:tcPr>
          <w:p>
            <w:pPr>
              <w:spacing w:after="0"/>
              <w:rPr>
                <w:sz w:val="18"/>
                <w:szCs w:val="18"/>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Do  not  provide  our  NEOs  with  any  enhanced  deferred</w:t>
            </w:r>
          </w:p>
        </w:tc>
        <w:tc>
          <w:tcPr>
            <w:tcW w:w="0" w:type="dxa"/>
            <w:vAlign w:val="bottom"/>
          </w:tcPr>
          <w:p>
            <w:pPr>
              <w:spacing w:after="0"/>
              <w:rPr>
                <w:sz w:val="1"/>
                <w:szCs w:val="1"/>
                <w:color w:val="auto"/>
              </w:rPr>
            </w:pPr>
          </w:p>
        </w:tc>
      </w:tr>
      <w:tr>
        <w:trPr>
          <w:trHeight w:val="143"/>
        </w:trPr>
        <w:tc>
          <w:tcPr>
            <w:tcW w:w="240" w:type="dxa"/>
            <w:vAlign w:val="bottom"/>
            <w:tcBorders>
              <w:left w:val="single" w:sz="8" w:color="auto"/>
            </w:tcBorders>
          </w:tcPr>
          <w:p>
            <w:pPr>
              <w:spacing w:after="0"/>
              <w:rPr>
                <w:sz w:val="12"/>
                <w:szCs w:val="12"/>
                <w:color w:val="auto"/>
              </w:rPr>
            </w:pPr>
          </w:p>
        </w:tc>
        <w:tc>
          <w:tcPr>
            <w:tcW w:w="840" w:type="dxa"/>
            <w:vAlign w:val="bottom"/>
          </w:tcPr>
          <w:p>
            <w:pPr>
              <w:ind w:left="120"/>
              <w:spacing w:after="0" w:line="143" w:lineRule="exact"/>
              <w:rPr>
                <w:sz w:val="20"/>
                <w:szCs w:val="20"/>
                <w:color w:val="auto"/>
              </w:rPr>
            </w:pPr>
            <w:r>
              <w:rPr>
                <w:rFonts w:ascii="Arial" w:cs="Arial" w:eastAsia="Arial" w:hAnsi="Arial"/>
                <w:sz w:val="16"/>
                <w:szCs w:val="16"/>
                <w:color w:val="auto"/>
              </w:rPr>
              <w:t>priorities</w:t>
            </w: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compensation, special retirement, or pension plans that are not</w:t>
            </w: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140"/>
              <w:spacing w:after="0"/>
              <w:rPr>
                <w:sz w:val="20"/>
                <w:szCs w:val="20"/>
                <w:color w:val="auto"/>
              </w:rPr>
            </w:pPr>
            <w:r>
              <w:rPr>
                <w:rFonts w:ascii="Arial" w:cs="Arial" w:eastAsia="Arial" w:hAnsi="Arial"/>
                <w:sz w:val="18"/>
                <w:szCs w:val="18"/>
                <w:color w:val="auto"/>
              </w:rPr>
              <w:t>Use  a</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representative</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auto"/>
                <w:w w:val="99"/>
              </w:rPr>
              <w:t>peer</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group  of</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comparable  financial</w:t>
            </w:r>
          </w:p>
        </w:tc>
        <w:tc>
          <w:tcPr>
            <w:tcW w:w="200" w:type="dxa"/>
            <w:vAlign w:val="bottom"/>
          </w:tcPr>
          <w:p>
            <w:pPr>
              <w:spacing w:after="0"/>
              <w:rPr>
                <w:sz w:val="9"/>
                <w:szCs w:val="9"/>
                <w:color w:val="auto"/>
              </w:rPr>
            </w:pPr>
          </w:p>
        </w:tc>
        <w:tc>
          <w:tcPr>
            <w:tcW w:w="5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generally available to all of our employees</w:t>
            </w:r>
          </w:p>
        </w:tc>
        <w:tc>
          <w:tcPr>
            <w:tcW w:w="0" w:type="dxa"/>
            <w:vAlign w:val="bottom"/>
          </w:tcPr>
          <w:p>
            <w:pPr>
              <w:spacing w:after="0"/>
              <w:rPr>
                <w:sz w:val="1"/>
                <w:szCs w:val="1"/>
                <w:color w:val="auto"/>
              </w:rPr>
            </w:pPr>
          </w:p>
        </w:tc>
      </w:tr>
      <w:tr>
        <w:trPr>
          <w:trHeight w:val="131"/>
        </w:trPr>
        <w:tc>
          <w:tcPr>
            <w:tcW w:w="240" w:type="dxa"/>
            <w:vAlign w:val="bottom"/>
            <w:tcBorders>
              <w:left w:val="single" w:sz="8" w:color="auto"/>
            </w:tcBorders>
          </w:tcPr>
          <w:p>
            <w:pPr>
              <w:spacing w:after="0"/>
              <w:rPr>
                <w:sz w:val="11"/>
                <w:szCs w:val="11"/>
                <w:color w:val="auto"/>
              </w:rPr>
            </w:pPr>
          </w:p>
        </w:tc>
        <w:tc>
          <w:tcPr>
            <w:tcW w:w="5400" w:type="dxa"/>
            <w:vAlign w:val="bottom"/>
            <w:gridSpan w:val="5"/>
            <w:vMerge w:val="restart"/>
          </w:tcPr>
          <w:p>
            <w:pPr>
              <w:ind w:left="120"/>
              <w:spacing w:after="0"/>
              <w:rPr>
                <w:sz w:val="20"/>
                <w:szCs w:val="20"/>
                <w:color w:val="auto"/>
              </w:rPr>
            </w:pPr>
            <w:r>
              <w:rPr>
                <w:rFonts w:ascii="Arial" w:cs="Arial" w:eastAsia="Arial" w:hAnsi="Arial"/>
                <w:sz w:val="18"/>
                <w:szCs w:val="18"/>
                <w:color w:val="auto"/>
              </w:rPr>
              <w:t>technology, internet, and software companies, as well as relevant</w:t>
            </w:r>
          </w:p>
        </w:tc>
        <w:tc>
          <w:tcPr>
            <w:tcW w:w="200" w:type="dxa"/>
            <w:vAlign w:val="bottom"/>
          </w:tcPr>
          <w:p>
            <w:pPr>
              <w:spacing w:after="0"/>
              <w:rPr>
                <w:sz w:val="11"/>
                <w:szCs w:val="11"/>
                <w:color w:val="auto"/>
              </w:rPr>
            </w:pPr>
          </w:p>
        </w:tc>
        <w:tc>
          <w:tcPr>
            <w:tcW w:w="5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40" w:type="dxa"/>
            <w:vAlign w:val="bottom"/>
            <w:tcBorders>
              <w:left w:val="single" w:sz="8" w:color="auto"/>
            </w:tcBorders>
          </w:tcPr>
          <w:p>
            <w:pPr>
              <w:spacing w:after="0"/>
              <w:rPr>
                <w:sz w:val="7"/>
                <w:szCs w:val="7"/>
                <w:color w:val="auto"/>
              </w:rPr>
            </w:pPr>
          </w:p>
        </w:tc>
        <w:tc>
          <w:tcPr>
            <w:tcW w:w="5400" w:type="dxa"/>
            <w:vAlign w:val="bottom"/>
            <w:gridSpan w:val="5"/>
            <w:vMerge w:val="continue"/>
          </w:tcPr>
          <w:p>
            <w:pPr>
              <w:spacing w:after="0"/>
              <w:rPr>
                <w:sz w:val="7"/>
                <w:szCs w:val="7"/>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No tax gross-ups on executive change-in-control payments</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5400" w:type="dxa"/>
            <w:vAlign w:val="bottom"/>
            <w:gridSpan w:val="5"/>
          </w:tcPr>
          <w:p>
            <w:pPr>
              <w:ind w:left="120"/>
              <w:spacing w:after="0"/>
              <w:rPr>
                <w:sz w:val="20"/>
                <w:szCs w:val="20"/>
                <w:color w:val="auto"/>
              </w:rPr>
            </w:pPr>
            <w:r>
              <w:rPr>
                <w:rFonts w:ascii="Arial" w:cs="Arial" w:eastAsia="Arial" w:hAnsi="Arial"/>
                <w:sz w:val="18"/>
                <w:szCs w:val="18"/>
                <w:color w:val="auto"/>
              </w:rPr>
              <w:t>compensation survey data, when setting executive compensation</w:t>
            </w:r>
          </w:p>
        </w:tc>
        <w:tc>
          <w:tcPr>
            <w:tcW w:w="200" w:type="dxa"/>
            <w:vAlign w:val="bottom"/>
            <w:vMerge w:val="continue"/>
          </w:tcPr>
          <w:p>
            <w:pPr>
              <w:spacing w:after="0"/>
              <w:rPr>
                <w:sz w:val="18"/>
                <w:szCs w:val="18"/>
                <w:color w:val="auto"/>
              </w:rPr>
            </w:pPr>
          </w:p>
        </w:tc>
        <w:tc>
          <w:tcPr>
            <w:tcW w:w="5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ind w:left="140"/>
              <w:spacing w:after="0"/>
              <w:rPr>
                <w:sz w:val="20"/>
                <w:szCs w:val="20"/>
                <w:color w:val="auto"/>
              </w:rPr>
            </w:pPr>
            <w:r>
              <w:rPr>
                <w:rFonts w:ascii="Arial" w:cs="Arial" w:eastAsia="Arial" w:hAnsi="Arial"/>
                <w:sz w:val="18"/>
                <w:szCs w:val="18"/>
                <w:color w:val="auto"/>
              </w:rPr>
              <w:t>Perform</w:t>
            </w:r>
          </w:p>
        </w:tc>
        <w:tc>
          <w:tcPr>
            <w:tcW w:w="1200" w:type="dxa"/>
            <w:vAlign w:val="bottom"/>
          </w:tcPr>
          <w:p>
            <w:pPr>
              <w:jc w:val="center"/>
              <w:spacing w:after="0"/>
              <w:rPr>
                <w:sz w:val="20"/>
                <w:szCs w:val="20"/>
                <w:color w:val="auto"/>
              </w:rPr>
            </w:pPr>
            <w:r>
              <w:rPr>
                <w:rFonts w:ascii="Arial" w:cs="Arial" w:eastAsia="Arial" w:hAnsi="Arial"/>
                <w:sz w:val="18"/>
                <w:szCs w:val="18"/>
                <w:color w:val="auto"/>
              </w:rPr>
              <w:t>an  annual</w:t>
            </w:r>
          </w:p>
        </w:tc>
        <w:tc>
          <w:tcPr>
            <w:tcW w:w="500" w:type="dxa"/>
            <w:vAlign w:val="bottom"/>
          </w:tcPr>
          <w:p>
            <w:pPr>
              <w:ind w:left="40"/>
              <w:spacing w:after="0"/>
              <w:rPr>
                <w:sz w:val="20"/>
                <w:szCs w:val="20"/>
                <w:color w:val="auto"/>
              </w:rPr>
            </w:pPr>
            <w:r>
              <w:rPr>
                <w:rFonts w:ascii="Arial" w:cs="Arial" w:eastAsia="Arial" w:hAnsi="Arial"/>
                <w:sz w:val="18"/>
                <w:szCs w:val="18"/>
                <w:color w:val="auto"/>
              </w:rPr>
              <w:t>risk</w:t>
            </w:r>
          </w:p>
        </w:tc>
        <w:tc>
          <w:tcPr>
            <w:tcW w:w="1000" w:type="dxa"/>
            <w:vAlign w:val="bottom"/>
          </w:tcPr>
          <w:p>
            <w:pPr>
              <w:spacing w:after="0"/>
              <w:rPr>
                <w:sz w:val="20"/>
                <w:szCs w:val="20"/>
                <w:color w:val="auto"/>
              </w:rPr>
            </w:pPr>
            <w:r>
              <w:rPr>
                <w:rFonts w:ascii="Arial" w:cs="Arial" w:eastAsia="Arial" w:hAnsi="Arial"/>
                <w:sz w:val="18"/>
                <w:szCs w:val="18"/>
                <w:color w:val="auto"/>
              </w:rPr>
              <w:t>assessment</w:t>
            </w:r>
          </w:p>
        </w:tc>
        <w:tc>
          <w:tcPr>
            <w:tcW w:w="2060" w:type="dxa"/>
            <w:vAlign w:val="bottom"/>
            <w:gridSpan w:val="2"/>
          </w:tcPr>
          <w:p>
            <w:pPr>
              <w:jc w:val="right"/>
              <w:ind w:right="61"/>
              <w:spacing w:after="0" w:line="221" w:lineRule="exact"/>
              <w:rPr>
                <w:sz w:val="20"/>
                <w:szCs w:val="20"/>
                <w:color w:val="auto"/>
              </w:rPr>
            </w:pPr>
            <w:r>
              <w:rPr>
                <w:rFonts w:ascii="Arial" w:cs="Arial" w:eastAsia="Arial" w:hAnsi="Arial"/>
                <w:sz w:val="14"/>
                <w:szCs w:val="14"/>
                <w:color w:val="auto"/>
              </w:rPr>
              <w:t xml:space="preserve">of  the  Company’s </w:t>
            </w:r>
            <w:r>
              <w:rPr>
                <w:rFonts w:ascii="Arial" w:cs="Arial" w:eastAsia="Arial" w:hAnsi="Arial"/>
                <w:sz w:val="25"/>
                <w:szCs w:val="25"/>
                <w:color w:val="auto"/>
                <w:vertAlign w:val="superscript"/>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special health benefits: NEOs are eligible for the same health</w:t>
            </w:r>
          </w:p>
        </w:tc>
        <w:tc>
          <w:tcPr>
            <w:tcW w:w="0" w:type="dxa"/>
            <w:vAlign w:val="bottom"/>
          </w:tcPr>
          <w:p>
            <w:pPr>
              <w:spacing w:after="0"/>
              <w:rPr>
                <w:sz w:val="1"/>
                <w:szCs w:val="1"/>
                <w:color w:val="auto"/>
              </w:rPr>
            </w:pPr>
          </w:p>
        </w:tc>
      </w:tr>
      <w:tr>
        <w:trPr>
          <w:trHeight w:val="239"/>
        </w:trPr>
        <w:tc>
          <w:tcPr>
            <w:tcW w:w="240" w:type="dxa"/>
            <w:vAlign w:val="bottom"/>
            <w:tcBorders>
              <w:left w:val="single" w:sz="8" w:color="auto"/>
            </w:tcBorders>
          </w:tcPr>
          <w:p>
            <w:pPr>
              <w:spacing w:after="0"/>
              <w:rPr>
                <w:sz w:val="20"/>
                <w:szCs w:val="20"/>
                <w:color w:val="auto"/>
              </w:rPr>
            </w:pPr>
          </w:p>
        </w:tc>
        <w:tc>
          <w:tcPr>
            <w:tcW w:w="5400" w:type="dxa"/>
            <w:vAlign w:val="bottom"/>
            <w:gridSpan w:val="5"/>
          </w:tcPr>
          <w:p>
            <w:pPr>
              <w:ind w:left="120"/>
              <w:spacing w:after="0"/>
              <w:rPr>
                <w:sz w:val="20"/>
                <w:szCs w:val="20"/>
                <w:color w:val="auto"/>
              </w:rPr>
            </w:pPr>
            <w:r>
              <w:rPr>
                <w:rFonts w:ascii="Arial" w:cs="Arial" w:eastAsia="Arial" w:hAnsi="Arial"/>
                <w:sz w:val="18"/>
                <w:szCs w:val="18"/>
                <w:color w:val="auto"/>
              </w:rPr>
              <w:t>compensation program by the Compensation Committee</w:t>
            </w:r>
          </w:p>
        </w:tc>
        <w:tc>
          <w:tcPr>
            <w:tcW w:w="200" w:type="dxa"/>
            <w:vAlign w:val="bottom"/>
          </w:tcPr>
          <w:p>
            <w:pPr>
              <w:spacing w:after="0"/>
              <w:rPr>
                <w:sz w:val="20"/>
                <w:szCs w:val="20"/>
                <w:color w:val="auto"/>
              </w:rPr>
            </w:pPr>
          </w:p>
        </w:tc>
        <w:tc>
          <w:tcPr>
            <w:tcW w:w="5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benefits as other employees</w:t>
            </w:r>
          </w:p>
        </w:tc>
        <w:tc>
          <w:tcPr>
            <w:tcW w:w="0" w:type="dxa"/>
            <w:vAlign w:val="bottom"/>
          </w:tcPr>
          <w:p>
            <w:pPr>
              <w:spacing w:after="0"/>
              <w:rPr>
                <w:sz w:val="1"/>
                <w:szCs w:val="1"/>
                <w:color w:val="auto"/>
              </w:rPr>
            </w:pPr>
          </w:p>
        </w:tc>
      </w:tr>
      <w:tr>
        <w:trPr>
          <w:trHeight w:val="265"/>
        </w:trPr>
        <w:tc>
          <w:tcPr>
            <w:tcW w:w="240" w:type="dxa"/>
            <w:vAlign w:val="bottom"/>
            <w:tcBorders>
              <w:lef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significant perquisites to NEOs</w:t>
            </w:r>
          </w:p>
        </w:tc>
        <w:tc>
          <w:tcPr>
            <w:tcW w:w="0" w:type="dxa"/>
            <w:vAlign w:val="bottom"/>
          </w:tcPr>
          <w:p>
            <w:pPr>
              <w:spacing w:after="0"/>
              <w:rPr>
                <w:sz w:val="1"/>
                <w:szCs w:val="1"/>
                <w:color w:val="auto"/>
              </w:rPr>
            </w:pPr>
          </w:p>
        </w:tc>
      </w:tr>
      <w:tr>
        <w:trPr>
          <w:trHeight w:val="247"/>
        </w:trPr>
        <w:tc>
          <w:tcPr>
            <w:tcW w:w="2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severance payments to NEOs who voluntarily terminate their</w:t>
            </w:r>
          </w:p>
        </w:tc>
        <w:tc>
          <w:tcPr>
            <w:tcW w:w="0" w:type="dxa"/>
            <w:vAlign w:val="bottom"/>
          </w:tcPr>
          <w:p>
            <w:pPr>
              <w:spacing w:after="0"/>
              <w:rPr>
                <w:sz w:val="1"/>
                <w:szCs w:val="1"/>
                <w:color w:val="auto"/>
              </w:rPr>
            </w:pPr>
          </w:p>
        </w:tc>
      </w:tr>
      <w:tr>
        <w:trPr>
          <w:trHeight w:val="239"/>
        </w:trPr>
        <w:tc>
          <w:tcPr>
            <w:tcW w:w="2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employment</w:t>
            </w:r>
          </w:p>
        </w:tc>
        <w:tc>
          <w:tcPr>
            <w:tcW w:w="0" w:type="dxa"/>
            <w:vAlign w:val="bottom"/>
          </w:tcPr>
          <w:p>
            <w:pPr>
              <w:spacing w:after="0"/>
              <w:rPr>
                <w:sz w:val="1"/>
                <w:szCs w:val="1"/>
                <w:color w:val="auto"/>
              </w:rPr>
            </w:pPr>
          </w:p>
        </w:tc>
      </w:tr>
      <w:tr>
        <w:trPr>
          <w:trHeight w:val="247"/>
        </w:trPr>
        <w:tc>
          <w:tcPr>
            <w:tcW w:w="2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0"/>
              </w:rPr>
              <w:t>•</w:t>
            </w:r>
          </w:p>
        </w:tc>
        <w:tc>
          <w:tcPr>
            <w:tcW w:w="5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Do not time equity award grants to the release of material non-</w:t>
            </w:r>
          </w:p>
        </w:tc>
        <w:tc>
          <w:tcPr>
            <w:tcW w:w="0" w:type="dxa"/>
            <w:vAlign w:val="bottom"/>
          </w:tcPr>
          <w:p>
            <w:pPr>
              <w:spacing w:after="0"/>
              <w:rPr>
                <w:sz w:val="1"/>
                <w:szCs w:val="1"/>
                <w:color w:val="auto"/>
              </w:rPr>
            </w:pPr>
          </w:p>
        </w:tc>
      </w:tr>
      <w:tr>
        <w:trPr>
          <w:trHeight w:val="239"/>
        </w:trPr>
        <w:tc>
          <w:tcPr>
            <w:tcW w:w="2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information</w:t>
            </w:r>
          </w:p>
        </w:tc>
        <w:tc>
          <w:tcPr>
            <w:tcW w:w="0" w:type="dxa"/>
            <w:vAlign w:val="bottom"/>
          </w:tcPr>
          <w:p>
            <w:pPr>
              <w:spacing w:after="0"/>
              <w:rPr>
                <w:sz w:val="1"/>
                <w:szCs w:val="1"/>
                <w:color w:val="auto"/>
              </w:rPr>
            </w:pPr>
          </w:p>
        </w:tc>
      </w:tr>
      <w:tr>
        <w:trPr>
          <w:trHeight w:val="77"/>
        </w:trPr>
        <w:tc>
          <w:tcPr>
            <w:tcW w:w="240" w:type="dxa"/>
            <w:vAlign w:val="bottom"/>
            <w:tcBorders>
              <w:left w:val="single" w:sz="8" w:color="auto"/>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Compensation-Setting Process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Our Compensation Committee</w:t>
      </w:r>
    </w:p>
    <w:p>
      <w:pPr>
        <w:spacing w:after="0" w:line="1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Compensation Committee has primary responsibility for setting the compensation of our NEOs. This includes determining each element of NEO compensation and the dollar amounts or target amounts for those elements, as well as selecting the metrics and approving any related target, threshold, and maximum levels for performance-based compensation and determining the level of actual achievement of the metrics. The Compensation Committee is also responsible for determining our peer group of companies for the purpose of comparing market levels of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Our Management Team</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making its decisions, the Compensation Committee also relies on input from management, including the Chief Executive Officer. Members of our management team provide the Compensation Committee with perspectives and advice on selecting performance metrics and related target levels and on the composition of our compensation peer group. The Chief Executive Officer also provides the Compensation Committee with compensation recommendations based on the individual performance of each NEO and, with the assistance of benchmarked data provided by the independent compensation consultant, on market levels of compensation for each NEO given his or her functional role and scope of authority. No member of management, including the Chief Executive Officer, participates in discussions about his or her own performance or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Our Independent Compensation Consultant</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Pursuant to its charter, the Compensation Committee has the authority to engage its own legal counsel and other advisors, including compensation consultants, as determined in its sole discretion, to assist in carrying out its responsibilities. The Compensation Committee has the authority to make all determinations regarding the engagement, fees, and services of these advisors, and any such advisor reports directly to the Compensation Committee. For fiscal year</w:t>
      </w:r>
    </w:p>
    <w:p>
      <w:pPr>
        <w:spacing w:after="0" w:line="330"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41"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2025, the Compensation Committee engaged Compensia, Inc. as its independent compensation consultant to:</w:t>
      </w:r>
    </w:p>
    <w:p>
      <w:pPr>
        <w:spacing w:after="0" w:line="117" w:lineRule="exact"/>
        <w:rPr>
          <w:sz w:val="20"/>
          <w:szCs w:val="20"/>
          <w:color w:val="auto"/>
        </w:rPr>
      </w:pPr>
    </w:p>
    <w:p>
      <w:pPr>
        <w:ind w:left="660" w:hanging="328"/>
        <w:spacing w:after="0" w:line="260"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Advise the Compensation Committee on a competitive compensation framework relevant to a public company at our stage of development;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Advise the Compensation Committee on the composition of our compensation peer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market analyses of the compensation of our directors and executives;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input on the implementation of our annual cash incentive plan and equity plan;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compensation market analyses and advise the Compensation Committee on compensation decisions related to executive hiring and certain terminations;</w:t>
      </w: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Advise the Compensation Committee on public disclosures relating to our executive compensation program;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Assist the Compensation Committee in assessing the risks under our compensation programs.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Compensia representatives attended Compensation Committee meetings and periodically met with members of our management team in the course of carrying out its advisory work. The Compensation Committee has evaluated Compensia’s independence pursuant to Nasdaq listing standards and the relevant SEC rules and determined that no conflict of interest has arisen as a result of the work performed by Compensia.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Compensation Peer Group</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setting NEO compensation for fiscal year 2025, the Compensation Committee, with the assistance of its independent compensation consultant, reviewed compensation data from a group of public companies which we believe are comparable in size and industry to us. This peer group consisted of publicly-traded companies headquartered in the U.S. with the following characteristics:</w:t>
      </w:r>
    </w:p>
    <w:p>
      <w:pPr>
        <w:spacing w:after="0" w:line="63"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Generally, companies in financial technology, internet, or software industries with a preference for cloud-based companies.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Companies with revenues between 0.5x and 2.5x of Marqeta’s and a market capitalization between 0.3x and 3.0x of Marqeta’s.</w:t>
      </w:r>
    </w:p>
    <w:p>
      <w:pPr>
        <w:spacing w:after="0" w:line="9" w:lineRule="exact"/>
        <w:rPr>
          <w:rFonts w:ascii="Arial" w:cs="Arial" w:eastAsia="Arial" w:hAnsi="Arial"/>
          <w:sz w:val="18"/>
          <w:szCs w:val="18"/>
          <w:color w:val="auto"/>
        </w:rPr>
      </w:pPr>
    </w:p>
    <w:p>
      <w:pPr>
        <w:jc w:val="both"/>
        <w:ind w:left="660" w:right="400" w:hanging="328"/>
        <w:spacing w:after="0" w:line="296" w:lineRule="auto"/>
        <w:tabs>
          <w:tab w:leader="none" w:pos="669"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addition, the Compensation Committee focused on companies with strong year-over-year revenue growth, a comparable time since initial public offering (“IPO”), a B2B business model, and companies that our investors use to benchmark our performance.</w:t>
      </w:r>
    </w:p>
    <w:p>
      <w:pPr>
        <w:spacing w:after="0" w:line="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2024, the Compensation Committee reviewed and approved the following peer group that was used to make fiscal year 2025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57785</wp:posOffset>
            </wp:positionV>
            <wp:extent cx="7089140" cy="986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986155"/>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Fiscal Year 2025 Peer Group</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ACI Worldwide</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BILL Holdings</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PagerDuty</w:t>
            </w: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Remitly Global</w:t>
            </w:r>
          </w:p>
        </w:tc>
      </w:tr>
      <w:tr>
        <w:trPr>
          <w:trHeight w:val="216"/>
        </w:trPr>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Affirm Holdings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Blackline</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Paylocity Holding</w:t>
            </w: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Shift4 Payments</w:t>
            </w:r>
          </w:p>
        </w:tc>
      </w:tr>
      <w:tr>
        <w:trPr>
          <w:trHeight w:val="216"/>
        </w:trPr>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Alkami Technology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Five9</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Paymentus Holding</w:t>
            </w: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Smartsheet</w:t>
            </w:r>
          </w:p>
        </w:tc>
      </w:tr>
      <w:tr>
        <w:trPr>
          <w:trHeight w:val="216"/>
        </w:trPr>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AppFolio</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MeridianLink</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Payoneer Global</w:t>
            </w:r>
          </w:p>
        </w:tc>
        <w:tc>
          <w:tcPr>
            <w:tcW w:w="2800" w:type="dxa"/>
            <w:vAlign w:val="bottom"/>
          </w:tcPr>
          <w:p>
            <w:pPr>
              <w:jc w:val="center"/>
              <w:spacing w:after="0"/>
              <w:rPr>
                <w:sz w:val="20"/>
                <w:szCs w:val="20"/>
                <w:color w:val="auto"/>
              </w:rPr>
            </w:pPr>
            <w:r>
              <w:rPr>
                <w:rFonts w:ascii="Arial" w:cs="Arial" w:eastAsia="Arial" w:hAnsi="Arial"/>
                <w:sz w:val="18"/>
                <w:szCs w:val="18"/>
                <w:color w:val="auto"/>
                <w:w w:val="97"/>
              </w:rPr>
              <w:t>SoFi Technologies</w:t>
            </w:r>
          </w:p>
        </w:tc>
      </w:tr>
      <w:tr>
        <w:trPr>
          <w:trHeight w:val="239"/>
        </w:trPr>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AvidXchange Holdings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nCino</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Q2 Holdings</w:t>
            </w:r>
          </w:p>
        </w:tc>
        <w:tc>
          <w:tcPr>
            <w:tcW w:w="2800" w:type="dxa"/>
            <w:vAlign w:val="bottom"/>
          </w:tcPr>
          <w:p>
            <w:pPr>
              <w:jc w:val="center"/>
              <w:spacing w:after="0"/>
              <w:rPr>
                <w:sz w:val="20"/>
                <w:szCs w:val="20"/>
                <w:color w:val="auto"/>
              </w:rPr>
            </w:pPr>
            <w:r>
              <w:rPr>
                <w:rFonts w:ascii="Arial" w:cs="Arial" w:eastAsia="Arial" w:hAnsi="Arial"/>
                <w:sz w:val="18"/>
                <w:szCs w:val="18"/>
                <w:color w:val="auto"/>
                <w:w w:val="97"/>
              </w:rPr>
              <w:t>Zuora</w:t>
            </w:r>
          </w:p>
        </w:tc>
      </w:tr>
      <w:tr>
        <w:trPr>
          <w:trHeight w:val="104"/>
        </w:trPr>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refers to executive compensation surveys from Radford, an Aon Hewitt company, as needed, covering similarly situated technology companies. These surveys, as well as the peer group information, serve as data points in determining the appropriate components and amount of overall compensation.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setting the elements of compensation for our NEOs, the Compensation Committee reviewed the base salary, annual cash incentives, total target cash compensation, long-term incentives, and total direct compensation of our NEOs compared to those compensation elements for similarly situated executives at the companies in our compensation peer group. The Compensation Committee generally does not target executive compensation to be at a certain percentile relative to peers and takes into consideration the scope, responsibility, and skills required of each NEO’s position, each of our NEOs’ contributions and past performance, achievement of short- and long-term objectives, the competitive market (based on an analysis of compensation peer group and survey data), and internal pay parity.</w:t>
      </w:r>
    </w:p>
    <w:p>
      <w:pPr>
        <w:spacing w:after="0" w:line="200" w:lineRule="exact"/>
        <w:rPr>
          <w:sz w:val="20"/>
          <w:szCs w:val="20"/>
          <w:color w:val="auto"/>
        </w:rPr>
      </w:pP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Compensation Elements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base salaries allow us to attract and retain our NEOs with predictable, fixed annual cash compensation. The Compensation Committee sets base salaries for our NEOs after considering the scope, responsibility, and skills required of each NEO’s position, the competitive market (based on an analysis of compensation peer group and compensation survey data), past performance, and internal pay parity.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determined our NEOs’ base salaries for fiscal year 2025 after considering these factors and the recommendation of the CEO (other than with respect to his own base salary). Based on this consideration, the Compensation Committee approved the adjustments to our NEOs’ base salaries for fiscal year 2025 as noted below in order to provide a competitive overall compensation package aligned with market levels.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approved the following annual base salary adjustments for our NEOs in 2025:</w:t>
      </w:r>
    </w:p>
    <w:p>
      <w:pPr>
        <w:spacing w:after="0" w:line="143" w:lineRule="exact"/>
        <w:rPr>
          <w:sz w:val="20"/>
          <w:szCs w:val="20"/>
          <w:color w:val="auto"/>
        </w:rPr>
      </w:pPr>
    </w:p>
    <w:tbl>
      <w:tblPr>
        <w:tblLayout w:type="fixed"/>
        <w:tblInd w:w="330" w:type="dxa"/>
        <w:tblCellMar>
          <w:top w:w="0" w:type="dxa"/>
          <w:left w:w="0" w:type="dxa"/>
          <w:bottom w:w="0" w:type="dxa"/>
          <w:right w:w="0" w:type="dxa"/>
        </w:tblCellMar>
      </w:tblPr>
      <w:tr>
        <w:trPr>
          <w:trHeight w:val="197"/>
        </w:trPr>
        <w:tc>
          <w:tcPr>
            <w:tcW w:w="1280" w:type="dxa"/>
            <w:vAlign w:val="bottom"/>
            <w:tcBorders>
              <w:top w:val="single" w:sz="8" w:color="auto"/>
              <w:left w:val="single" w:sz="8" w:color="auto"/>
            </w:tcBorders>
            <w:shd w:val="clear" w:color="auto" w:fill="929292"/>
          </w:tcPr>
          <w:p>
            <w:pPr>
              <w:spacing w:after="0"/>
              <w:rPr>
                <w:sz w:val="17"/>
                <w:szCs w:val="17"/>
                <w:color w:val="auto"/>
              </w:rPr>
            </w:pPr>
          </w:p>
        </w:tc>
        <w:tc>
          <w:tcPr>
            <w:tcW w:w="2160" w:type="dxa"/>
            <w:vAlign w:val="bottom"/>
            <w:tcBorders>
              <w:top w:val="single" w:sz="8" w:color="auto"/>
              <w:right w:val="single" w:sz="8" w:color="auto"/>
            </w:tcBorders>
            <w:vMerge w:val="restart"/>
            <w:shd w:val="clear" w:color="auto" w:fill="929292"/>
          </w:tcPr>
          <w:p>
            <w:pPr>
              <w:ind w:left="20"/>
              <w:spacing w:after="0"/>
              <w:rPr>
                <w:sz w:val="20"/>
                <w:szCs w:val="20"/>
                <w:color w:val="auto"/>
              </w:rPr>
            </w:pPr>
            <w:r>
              <w:rPr>
                <w:rFonts w:ascii="Arial" w:cs="Arial" w:eastAsia="Arial" w:hAnsi="Arial"/>
                <w:sz w:val="18"/>
                <w:szCs w:val="18"/>
                <w:b w:val="1"/>
                <w:bCs w:val="1"/>
                <w:color w:val="FFFFFF"/>
              </w:rPr>
              <w:t>Executive</w:t>
            </w:r>
          </w:p>
        </w:tc>
        <w:tc>
          <w:tcPr>
            <w:tcW w:w="2160" w:type="dxa"/>
            <w:vAlign w:val="bottom"/>
            <w:tcBorders>
              <w:top w:val="single" w:sz="8" w:color="auto"/>
              <w:right w:val="single" w:sz="8" w:color="auto"/>
            </w:tcBorders>
            <w:shd w:val="clear" w:color="auto" w:fill="929292"/>
          </w:tcPr>
          <w:p>
            <w:pPr>
              <w:jc w:val="center"/>
              <w:spacing w:after="0" w:line="197" w:lineRule="exact"/>
              <w:rPr>
                <w:sz w:val="20"/>
                <w:szCs w:val="20"/>
                <w:color w:val="auto"/>
              </w:rPr>
            </w:pPr>
            <w:r>
              <w:rPr>
                <w:rFonts w:ascii="Arial" w:cs="Arial" w:eastAsia="Arial" w:hAnsi="Arial"/>
                <w:sz w:val="18"/>
                <w:szCs w:val="18"/>
                <w:b w:val="1"/>
                <w:bCs w:val="1"/>
                <w:color w:val="FFFFFF"/>
                <w:w w:val="99"/>
              </w:rPr>
              <w:t>Fiscal Year 2024 Base</w:t>
            </w:r>
          </w:p>
        </w:tc>
        <w:tc>
          <w:tcPr>
            <w:tcW w:w="2220" w:type="dxa"/>
            <w:vAlign w:val="bottom"/>
            <w:tcBorders>
              <w:top w:val="single" w:sz="8" w:color="auto"/>
              <w:right w:val="single" w:sz="8" w:color="auto"/>
            </w:tcBorders>
            <w:shd w:val="clear" w:color="auto" w:fill="929292"/>
          </w:tcPr>
          <w:p>
            <w:pPr>
              <w:jc w:val="center"/>
              <w:spacing w:after="0" w:line="197" w:lineRule="exact"/>
              <w:rPr>
                <w:sz w:val="20"/>
                <w:szCs w:val="20"/>
                <w:color w:val="auto"/>
              </w:rPr>
            </w:pPr>
            <w:r>
              <w:rPr>
                <w:rFonts w:ascii="Arial" w:cs="Arial" w:eastAsia="Arial" w:hAnsi="Arial"/>
                <w:sz w:val="18"/>
                <w:szCs w:val="18"/>
                <w:b w:val="1"/>
                <w:bCs w:val="1"/>
                <w:color w:val="FFFFFF"/>
                <w:w w:val="99"/>
              </w:rPr>
              <w:t>Fiscal Year 2025 Base</w:t>
            </w:r>
          </w:p>
        </w:tc>
        <w:tc>
          <w:tcPr>
            <w:tcW w:w="2800" w:type="dxa"/>
            <w:vAlign w:val="bottom"/>
            <w:tcBorders>
              <w:top w:val="single" w:sz="8" w:color="auto"/>
              <w:right w:val="single" w:sz="8" w:color="auto"/>
            </w:tcBorders>
            <w:vMerge w:val="restart"/>
            <w:shd w:val="clear" w:color="auto" w:fill="929292"/>
          </w:tcPr>
          <w:p>
            <w:pPr>
              <w:ind w:left="560"/>
              <w:spacing w:after="0"/>
              <w:rPr>
                <w:sz w:val="20"/>
                <w:szCs w:val="20"/>
                <w:color w:val="auto"/>
              </w:rPr>
            </w:pPr>
            <w:r>
              <w:rPr>
                <w:rFonts w:ascii="Arial" w:cs="Arial" w:eastAsia="Arial" w:hAnsi="Arial"/>
                <w:sz w:val="18"/>
                <w:szCs w:val="18"/>
                <w:b w:val="1"/>
                <w:bCs w:val="1"/>
                <w:color w:val="FFFFFF"/>
              </w:rPr>
              <w:t>Percentage Change</w:t>
            </w:r>
          </w:p>
        </w:tc>
        <w:tc>
          <w:tcPr>
            <w:tcW w:w="0" w:type="dxa"/>
            <w:vAlign w:val="bottom"/>
          </w:tcPr>
          <w:p>
            <w:pPr>
              <w:spacing w:after="0"/>
              <w:rPr>
                <w:sz w:val="1"/>
                <w:szCs w:val="1"/>
                <w:color w:val="auto"/>
              </w:rPr>
            </w:pPr>
          </w:p>
        </w:tc>
      </w:tr>
      <w:tr>
        <w:trPr>
          <w:trHeight w:val="152"/>
        </w:trPr>
        <w:tc>
          <w:tcPr>
            <w:tcW w:w="1280" w:type="dxa"/>
            <w:vAlign w:val="bottom"/>
            <w:tcBorders>
              <w:left w:val="single" w:sz="8" w:color="auto"/>
            </w:tcBorders>
            <w:shd w:val="clear" w:color="auto" w:fill="929292"/>
          </w:tcPr>
          <w:p>
            <w:pPr>
              <w:spacing w:after="0"/>
              <w:rPr>
                <w:sz w:val="13"/>
                <w:szCs w:val="13"/>
                <w:color w:val="auto"/>
              </w:rPr>
            </w:pPr>
          </w:p>
        </w:tc>
        <w:tc>
          <w:tcPr>
            <w:tcW w:w="2160" w:type="dxa"/>
            <w:vAlign w:val="bottom"/>
            <w:tcBorders>
              <w:right w:val="single" w:sz="8" w:color="auto"/>
            </w:tcBorders>
            <w:vMerge w:val="continue"/>
            <w:shd w:val="clear" w:color="auto" w:fill="929292"/>
          </w:tcPr>
          <w:p>
            <w:pPr>
              <w:spacing w:after="0"/>
              <w:rPr>
                <w:sz w:val="13"/>
                <w:szCs w:val="13"/>
                <w:color w:val="auto"/>
              </w:rPr>
            </w:pPr>
          </w:p>
        </w:tc>
        <w:tc>
          <w:tcPr>
            <w:tcW w:w="216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Salary</w:t>
            </w:r>
          </w:p>
        </w:tc>
        <w:tc>
          <w:tcPr>
            <w:tcW w:w="22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Salary</w:t>
            </w:r>
          </w:p>
        </w:tc>
        <w:tc>
          <w:tcPr>
            <w:tcW w:w="2800" w:type="dxa"/>
            <w:vAlign w:val="bottom"/>
            <w:tcBorders>
              <w:right w:val="single" w:sz="8" w:color="auto"/>
            </w:tcBorders>
            <w:vMerge w:val="continue"/>
            <w:shd w:val="clear" w:color="auto" w:fill="929292"/>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280" w:type="dxa"/>
            <w:vAlign w:val="bottom"/>
            <w:tcBorders>
              <w:left w:val="single" w:sz="8" w:color="auto"/>
              <w:bottom w:val="single" w:sz="8" w:color="auto"/>
            </w:tcBorders>
            <w:shd w:val="clear" w:color="auto" w:fill="929292"/>
          </w:tcPr>
          <w:p>
            <w:pPr>
              <w:spacing w:after="0"/>
              <w:rPr>
                <w:sz w:val="7"/>
                <w:szCs w:val="7"/>
                <w:color w:val="auto"/>
              </w:rPr>
            </w:pPr>
          </w:p>
        </w:tc>
        <w:tc>
          <w:tcPr>
            <w:tcW w:w="2160" w:type="dxa"/>
            <w:vAlign w:val="bottom"/>
            <w:tcBorders>
              <w:bottom w:val="single" w:sz="8" w:color="auto"/>
              <w:right w:val="single" w:sz="8" w:color="auto"/>
            </w:tcBorders>
            <w:shd w:val="clear" w:color="auto" w:fill="929292"/>
          </w:tcPr>
          <w:p>
            <w:pPr>
              <w:spacing w:after="0"/>
              <w:rPr>
                <w:sz w:val="7"/>
                <w:szCs w:val="7"/>
                <w:color w:val="auto"/>
              </w:rPr>
            </w:pPr>
          </w:p>
        </w:tc>
        <w:tc>
          <w:tcPr>
            <w:tcW w:w="2160" w:type="dxa"/>
            <w:vAlign w:val="bottom"/>
            <w:tcBorders>
              <w:bottom w:val="single" w:sz="8" w:color="auto"/>
              <w:right w:val="single" w:sz="8" w:color="auto"/>
            </w:tcBorders>
            <w:vMerge w:val="continue"/>
            <w:shd w:val="clear" w:color="auto" w:fill="929292"/>
          </w:tcPr>
          <w:p>
            <w:pPr>
              <w:spacing w:after="0"/>
              <w:rPr>
                <w:sz w:val="7"/>
                <w:szCs w:val="7"/>
                <w:color w:val="auto"/>
              </w:rPr>
            </w:pPr>
          </w:p>
        </w:tc>
        <w:tc>
          <w:tcPr>
            <w:tcW w:w="2220" w:type="dxa"/>
            <w:vAlign w:val="bottom"/>
            <w:tcBorders>
              <w:bottom w:val="single" w:sz="8" w:color="auto"/>
              <w:right w:val="single" w:sz="8" w:color="auto"/>
            </w:tcBorders>
            <w:vMerge w:val="continue"/>
            <w:shd w:val="clear" w:color="auto" w:fill="929292"/>
          </w:tcPr>
          <w:p>
            <w:pPr>
              <w:spacing w:after="0"/>
              <w:rPr>
                <w:sz w:val="7"/>
                <w:szCs w:val="7"/>
                <w:color w:val="auto"/>
              </w:rPr>
            </w:pPr>
          </w:p>
        </w:tc>
        <w:tc>
          <w:tcPr>
            <w:tcW w:w="2800" w:type="dxa"/>
            <w:vAlign w:val="bottom"/>
            <w:tcBorders>
              <w:bottom w:val="single" w:sz="8" w:color="auto"/>
              <w:right w:val="single" w:sz="8" w:color="auto"/>
            </w:tcBorders>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w w:val="99"/>
              </w:rPr>
              <w:t>Mike Milotich</w:t>
            </w:r>
            <w:r>
              <w:rPr>
                <w:rFonts w:ascii="Arial" w:cs="Arial" w:eastAsia="Arial" w:hAnsi="Arial"/>
                <w:sz w:val="23"/>
                <w:szCs w:val="23"/>
                <w:color w:val="auto"/>
                <w:w w:val="99"/>
                <w:vertAlign w:val="superscript"/>
              </w:rPr>
              <w:t>(1)</w:t>
            </w: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$490,000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$600,000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22.4%</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Simon Khalaf</w:t>
            </w:r>
          </w:p>
        </w:tc>
        <w:tc>
          <w:tcPr>
            <w:tcW w:w="2160" w:type="dxa"/>
            <w:vAlign w:val="bottom"/>
            <w:tcBorders>
              <w:bottom w:val="single" w:sz="8" w:color="auto"/>
              <w:right w:val="single" w:sz="8" w:color="auto"/>
            </w:tcBorders>
            <w:shd w:val="clear" w:color="auto" w:fill="DBDBDB"/>
          </w:tcPr>
          <w:p>
            <w:pPr>
              <w:spacing w:after="0"/>
              <w:rPr>
                <w:sz w:val="19"/>
                <w:szCs w:val="19"/>
                <w:color w:val="auto"/>
              </w:rPr>
            </w:pPr>
          </w:p>
        </w:tc>
        <w:tc>
          <w:tcPr>
            <w:tcW w:w="2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$575,000</w:t>
            </w:r>
          </w:p>
        </w:tc>
        <w:tc>
          <w:tcPr>
            <w:tcW w:w="22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8"/>
              </w:rPr>
              <w:t>$600,000</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Todd Pollak</w:t>
            </w: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$440,000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$440,000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w w:val="98"/>
              </w:rPr>
              <w:t>Crystal Sumner</w:t>
            </w:r>
          </w:p>
        </w:tc>
        <w:tc>
          <w:tcPr>
            <w:tcW w:w="2160" w:type="dxa"/>
            <w:vAlign w:val="bottom"/>
            <w:tcBorders>
              <w:bottom w:val="single" w:sz="8" w:color="auto"/>
              <w:right w:val="single" w:sz="8" w:color="auto"/>
            </w:tcBorders>
            <w:shd w:val="clear" w:color="auto" w:fill="DBDBDB"/>
          </w:tcPr>
          <w:p>
            <w:pPr>
              <w:spacing w:after="0"/>
              <w:rPr>
                <w:sz w:val="19"/>
                <w:szCs w:val="19"/>
                <w:color w:val="auto"/>
              </w:rPr>
            </w:pPr>
          </w:p>
        </w:tc>
        <w:tc>
          <w:tcPr>
            <w:tcW w:w="2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$460,000</w:t>
            </w:r>
          </w:p>
        </w:tc>
        <w:tc>
          <w:tcPr>
            <w:tcW w:w="22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8"/>
              </w:rPr>
              <w:t>$460,000</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hanging="9"/>
        <w:spacing w:after="0" w:line="305" w:lineRule="auto"/>
        <w:tabs>
          <w:tab w:leader="none" w:pos="488"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Milotich’s salary increased to $550,000 (12.2%) during the February 26, 2025 to September 7, 2025 period that he served as interim CEO, and then increased to $600,000 (9.1%) when he was appointed CEO on September 8, 2025.</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base salary, we provide our NEOs the opportunity to earn cash bonus awards under the Bonus Plan. The Compensation Committee believes that a significant proportion of each NEO’s total compensation should be at-risk and based on performance, including annual progress toward our long-term objectives, which we incentivize with the Bonus Plan. In furtherance of that goal, the Compensation Committee seeks to set rigorous Bonus Plan goals. Our NEOs’ performance against our financial and operational goals is measured against the goals set at the beginning of the fiscal year.</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Pollak, as Chief Revenue Officer, participated in the CRO Commission Plan under the Bonus Plan in fiscal year 2025. For fiscal year 2025, he was paid a quarterly commission based on attainment of goals for new bookings and expansion and in-year customer gross profit. Each measure was weighted 50% in calculating the commission payments.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Bonus Plan Opportunities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NEOs who participate in the Bonus Plan have an established target bonus opportunity, which is equal to a percentage of his or her base salary. The actual payout under the Bonus Plan, if any, is calculated based on the corporate funding factor determined by our Company performance. The Compensation Committee may adjust each NEO’s base cash bonus award down to -20% or up to +20% of the applicable base cash bonus award based upon the executive’s performance.</w:t>
      </w:r>
    </w:p>
    <w:p>
      <w:pPr>
        <w:spacing w:after="0" w:line="1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Compensation Committee increased the target bonus opportunity for Mr. Milotich commensurate with his appointment to Chief Executive Officer. The Committee determined no other changes to NEO target bonus opportunities were warranted for fiscal year 2025 after considering competitive market data from our compensation peer group, with the assistance of its compensation consultant.</w:t>
      </w:r>
    </w:p>
    <w:p>
      <w:pPr>
        <w:spacing w:after="0" w:line="296"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189"/>
        </w:trPr>
        <w:tc>
          <w:tcPr>
            <w:tcW w:w="1380" w:type="dxa"/>
            <w:vAlign w:val="bottom"/>
            <w:tcBorders>
              <w:top w:val="single" w:sz="8" w:color="auto"/>
              <w:left w:val="single" w:sz="8" w:color="auto"/>
            </w:tcBorders>
            <w:shd w:val="clear" w:color="auto" w:fill="929292"/>
          </w:tcPr>
          <w:p>
            <w:pPr>
              <w:spacing w:after="0"/>
              <w:rPr>
                <w:sz w:val="16"/>
                <w:szCs w:val="16"/>
                <w:color w:val="auto"/>
              </w:rPr>
            </w:pPr>
          </w:p>
        </w:tc>
        <w:tc>
          <w:tcPr>
            <w:tcW w:w="2380" w:type="dxa"/>
            <w:vAlign w:val="bottom"/>
            <w:tcBorders>
              <w:top w:val="single" w:sz="8" w:color="auto"/>
              <w:right w:val="single" w:sz="8" w:color="auto"/>
            </w:tcBorders>
            <w:vMerge w:val="restart"/>
            <w:shd w:val="clear" w:color="auto" w:fill="929292"/>
          </w:tcPr>
          <w:p>
            <w:pPr>
              <w:ind w:left="80"/>
              <w:spacing w:after="0"/>
              <w:rPr>
                <w:sz w:val="20"/>
                <w:szCs w:val="20"/>
                <w:color w:val="auto"/>
              </w:rPr>
            </w:pPr>
            <w:r>
              <w:rPr>
                <w:rFonts w:ascii="Arial" w:cs="Arial" w:eastAsia="Arial" w:hAnsi="Arial"/>
                <w:sz w:val="18"/>
                <w:szCs w:val="18"/>
                <w:b w:val="1"/>
                <w:bCs w:val="1"/>
                <w:color w:val="FFFFFF"/>
              </w:rPr>
              <w:t>Executive</w:t>
            </w:r>
          </w:p>
        </w:tc>
        <w:tc>
          <w:tcPr>
            <w:tcW w:w="3740" w:type="dxa"/>
            <w:vAlign w:val="bottom"/>
            <w:tcBorders>
              <w:top w:val="single" w:sz="8" w:color="auto"/>
              <w:right w:val="single" w:sz="8" w:color="auto"/>
            </w:tcBorders>
            <w:shd w:val="clear" w:color="auto" w:fill="929292"/>
          </w:tcPr>
          <w:p>
            <w:pPr>
              <w:jc w:val="center"/>
              <w:spacing w:after="0" w:line="189" w:lineRule="exact"/>
              <w:rPr>
                <w:sz w:val="20"/>
                <w:szCs w:val="20"/>
                <w:color w:val="auto"/>
              </w:rPr>
            </w:pPr>
            <w:r>
              <w:rPr>
                <w:rFonts w:ascii="Arial" w:cs="Arial" w:eastAsia="Arial" w:hAnsi="Arial"/>
                <w:sz w:val="18"/>
                <w:szCs w:val="18"/>
                <w:b w:val="1"/>
                <w:bCs w:val="1"/>
                <w:color w:val="FFFFFF"/>
                <w:w w:val="98"/>
              </w:rPr>
              <w:t>Fiscal Year 2024 Bonus Target</w:t>
            </w:r>
          </w:p>
        </w:tc>
        <w:tc>
          <w:tcPr>
            <w:tcW w:w="3760" w:type="dxa"/>
            <w:vAlign w:val="bottom"/>
            <w:tcBorders>
              <w:top w:val="single" w:sz="8" w:color="auto"/>
              <w:right w:val="single" w:sz="8" w:color="auto"/>
            </w:tcBorders>
            <w:shd w:val="clear" w:color="auto" w:fill="929292"/>
          </w:tcPr>
          <w:p>
            <w:pPr>
              <w:jc w:val="center"/>
              <w:spacing w:after="0" w:line="189" w:lineRule="exact"/>
              <w:rPr>
                <w:sz w:val="20"/>
                <w:szCs w:val="20"/>
                <w:color w:val="auto"/>
              </w:rPr>
            </w:pPr>
            <w:r>
              <w:rPr>
                <w:rFonts w:ascii="Arial" w:cs="Arial" w:eastAsia="Arial" w:hAnsi="Arial"/>
                <w:sz w:val="18"/>
                <w:szCs w:val="18"/>
                <w:b w:val="1"/>
                <w:bCs w:val="1"/>
                <w:color w:val="FFFFFF"/>
                <w:w w:val="98"/>
              </w:rPr>
              <w:t>Fiscal Year 2025 Bonus Target</w:t>
            </w:r>
          </w:p>
        </w:tc>
        <w:tc>
          <w:tcPr>
            <w:tcW w:w="0" w:type="dxa"/>
            <w:vAlign w:val="bottom"/>
          </w:tcPr>
          <w:p>
            <w:pPr>
              <w:spacing w:after="0"/>
              <w:rPr>
                <w:sz w:val="1"/>
                <w:szCs w:val="1"/>
                <w:color w:val="auto"/>
              </w:rPr>
            </w:pPr>
          </w:p>
        </w:tc>
      </w:tr>
      <w:tr>
        <w:trPr>
          <w:trHeight w:val="161"/>
        </w:trPr>
        <w:tc>
          <w:tcPr>
            <w:tcW w:w="1380" w:type="dxa"/>
            <w:vAlign w:val="bottom"/>
            <w:tcBorders>
              <w:left w:val="single" w:sz="8" w:color="auto"/>
            </w:tcBorders>
            <w:shd w:val="clear" w:color="auto" w:fill="929292"/>
          </w:tcPr>
          <w:p>
            <w:pPr>
              <w:spacing w:after="0"/>
              <w:rPr>
                <w:sz w:val="13"/>
                <w:szCs w:val="13"/>
                <w:color w:val="auto"/>
              </w:rPr>
            </w:pPr>
          </w:p>
        </w:tc>
        <w:tc>
          <w:tcPr>
            <w:tcW w:w="2380" w:type="dxa"/>
            <w:vAlign w:val="bottom"/>
            <w:tcBorders>
              <w:right w:val="single" w:sz="8" w:color="auto"/>
            </w:tcBorders>
            <w:vMerge w:val="continue"/>
            <w:shd w:val="clear" w:color="auto" w:fill="929292"/>
          </w:tcPr>
          <w:p>
            <w:pPr>
              <w:spacing w:after="0"/>
              <w:rPr>
                <w:sz w:val="13"/>
                <w:szCs w:val="13"/>
                <w:color w:val="auto"/>
              </w:rPr>
            </w:pPr>
          </w:p>
        </w:tc>
        <w:tc>
          <w:tcPr>
            <w:tcW w:w="37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 of base salary)</w:t>
            </w:r>
          </w:p>
        </w:tc>
        <w:tc>
          <w:tcPr>
            <w:tcW w:w="376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8"/>
                <w:szCs w:val="18"/>
                <w:b w:val="1"/>
                <w:bCs w:val="1"/>
                <w:color w:val="FFFFFF"/>
              </w:rPr>
              <w:t>(% of base salary)</w:t>
            </w:r>
          </w:p>
        </w:tc>
        <w:tc>
          <w:tcPr>
            <w:tcW w:w="0" w:type="dxa"/>
            <w:vAlign w:val="bottom"/>
          </w:tcPr>
          <w:p>
            <w:pPr>
              <w:spacing w:after="0"/>
              <w:rPr>
                <w:sz w:val="1"/>
                <w:szCs w:val="1"/>
                <w:color w:val="auto"/>
              </w:rPr>
            </w:pPr>
          </w:p>
        </w:tc>
      </w:tr>
      <w:tr>
        <w:trPr>
          <w:trHeight w:val="83"/>
        </w:trPr>
        <w:tc>
          <w:tcPr>
            <w:tcW w:w="1380" w:type="dxa"/>
            <w:vAlign w:val="bottom"/>
            <w:tcBorders>
              <w:left w:val="single" w:sz="8" w:color="auto"/>
              <w:bottom w:val="single" w:sz="8" w:color="auto"/>
            </w:tcBorders>
            <w:shd w:val="clear" w:color="auto" w:fill="929292"/>
          </w:tcPr>
          <w:p>
            <w:pPr>
              <w:spacing w:after="0"/>
              <w:rPr>
                <w:sz w:val="7"/>
                <w:szCs w:val="7"/>
                <w:color w:val="auto"/>
              </w:rPr>
            </w:pPr>
          </w:p>
        </w:tc>
        <w:tc>
          <w:tcPr>
            <w:tcW w:w="2380" w:type="dxa"/>
            <w:vAlign w:val="bottom"/>
            <w:tcBorders>
              <w:bottom w:val="single" w:sz="8" w:color="auto"/>
              <w:right w:val="single" w:sz="8" w:color="auto"/>
            </w:tcBorders>
            <w:shd w:val="clear" w:color="auto" w:fill="929292"/>
          </w:tcPr>
          <w:p>
            <w:pPr>
              <w:spacing w:after="0"/>
              <w:rPr>
                <w:sz w:val="7"/>
                <w:szCs w:val="7"/>
                <w:color w:val="auto"/>
              </w:rPr>
            </w:pPr>
          </w:p>
        </w:tc>
        <w:tc>
          <w:tcPr>
            <w:tcW w:w="3740" w:type="dxa"/>
            <w:vAlign w:val="bottom"/>
            <w:tcBorders>
              <w:bottom w:val="single" w:sz="8" w:color="auto"/>
              <w:right w:val="single" w:sz="8" w:color="auto"/>
            </w:tcBorders>
            <w:vMerge w:val="continue"/>
            <w:shd w:val="clear" w:color="auto" w:fill="929292"/>
          </w:tcPr>
          <w:p>
            <w:pPr>
              <w:spacing w:after="0"/>
              <w:rPr>
                <w:sz w:val="7"/>
                <w:szCs w:val="7"/>
                <w:color w:val="auto"/>
              </w:rPr>
            </w:pPr>
          </w:p>
        </w:tc>
        <w:tc>
          <w:tcPr>
            <w:tcW w:w="3760" w:type="dxa"/>
            <w:vAlign w:val="bottom"/>
            <w:tcBorders>
              <w:bottom w:val="single" w:sz="8" w:color="auto"/>
              <w:right w:val="single" w:sz="8" w:color="auto"/>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Mike Milotich</w:t>
            </w:r>
          </w:p>
        </w:tc>
        <w:tc>
          <w:tcPr>
            <w:tcW w:w="23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Simon Khalaf</w:t>
            </w:r>
          </w:p>
        </w:tc>
        <w:tc>
          <w:tcPr>
            <w:tcW w:w="2380" w:type="dxa"/>
            <w:vAlign w:val="bottom"/>
            <w:tcBorders>
              <w:bottom w:val="single" w:sz="8" w:color="auto"/>
              <w:right w:val="single" w:sz="8" w:color="auto"/>
            </w:tcBorders>
            <w:shd w:val="clear" w:color="auto" w:fill="DBDBDB"/>
          </w:tcPr>
          <w:p>
            <w:pPr>
              <w:spacing w:after="0"/>
              <w:rPr>
                <w:sz w:val="19"/>
                <w:szCs w:val="19"/>
                <w:color w:val="auto"/>
              </w:rPr>
            </w:pPr>
          </w:p>
        </w:tc>
        <w:tc>
          <w:tcPr>
            <w:tcW w:w="37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100%</w:t>
            </w:r>
          </w:p>
        </w:tc>
        <w:tc>
          <w:tcPr>
            <w:tcW w:w="37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Todd Pollak</w:t>
            </w:r>
            <w:r>
              <w:rPr>
                <w:rFonts w:ascii="Arial" w:cs="Arial" w:eastAsia="Arial" w:hAnsi="Arial"/>
                <w:sz w:val="23"/>
                <w:szCs w:val="23"/>
                <w:color w:val="auto"/>
                <w:vertAlign w:val="superscript"/>
              </w:rPr>
              <w:t>(1)</w:t>
            </w:r>
          </w:p>
        </w:tc>
        <w:tc>
          <w:tcPr>
            <w:tcW w:w="23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Crystal Sumner</w:t>
            </w:r>
          </w:p>
        </w:tc>
        <w:tc>
          <w:tcPr>
            <w:tcW w:w="2380" w:type="dxa"/>
            <w:vAlign w:val="bottom"/>
            <w:tcBorders>
              <w:bottom w:val="single" w:sz="8" w:color="auto"/>
              <w:right w:val="single" w:sz="8" w:color="auto"/>
            </w:tcBorders>
            <w:shd w:val="clear" w:color="auto" w:fill="DBDBDB"/>
          </w:tcPr>
          <w:p>
            <w:pPr>
              <w:spacing w:after="0"/>
              <w:rPr>
                <w:sz w:val="19"/>
                <w:szCs w:val="19"/>
                <w:color w:val="auto"/>
              </w:rPr>
            </w:pPr>
          </w:p>
        </w:tc>
        <w:tc>
          <w:tcPr>
            <w:tcW w:w="37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75%</w:t>
            </w:r>
          </w:p>
        </w:tc>
        <w:tc>
          <w:tcPr>
            <w:tcW w:w="37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Mr. Pollak does not participate in the Bonus Plan, and instead participates in the CRO Commission Plan under the Bonus Plan.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 Performance Metrics and Targets</w:t>
      </w:r>
    </w:p>
    <w:p>
      <w:pPr>
        <w:spacing w:after="0" w:line="11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For fiscal year 2025, the Compensation Committee selected the following performance metrics for the Bonus Plan to align the target bonus opportunities for our NEOs with the key drivers of our financial and operational success:</w:t>
      </w:r>
    </w:p>
    <w:p>
      <w:pPr>
        <w:spacing w:after="0" w:line="71" w:lineRule="exact"/>
        <w:rPr>
          <w:sz w:val="20"/>
          <w:szCs w:val="20"/>
          <w:color w:val="auto"/>
        </w:rPr>
      </w:pPr>
    </w:p>
    <w:tbl>
      <w:tblPr>
        <w:tblLayout w:type="fixed"/>
        <w:tblInd w:w="90" w:type="dxa"/>
        <w:tblCellMar>
          <w:top w:w="0" w:type="dxa"/>
          <w:left w:w="0" w:type="dxa"/>
          <w:bottom w:w="0" w:type="dxa"/>
          <w:right w:w="0" w:type="dxa"/>
        </w:tblCellMar>
      </w:tblPr>
      <w:tr>
        <w:trPr>
          <w:trHeight w:val="243"/>
        </w:trPr>
        <w:tc>
          <w:tcPr>
            <w:tcW w:w="4120" w:type="dxa"/>
            <w:vAlign w:val="bottom"/>
            <w:tcBorders>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8"/>
              </w:rPr>
              <w:t>Definition</w:t>
            </w:r>
          </w:p>
        </w:tc>
        <w:tc>
          <w:tcPr>
            <w:tcW w:w="326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rPr>
              <w:t>Rationale</w:t>
            </w:r>
          </w:p>
        </w:tc>
        <w:tc>
          <w:tcPr>
            <w:tcW w:w="0" w:type="dxa"/>
            <w:vAlign w:val="bottom"/>
          </w:tcPr>
          <w:p>
            <w:pPr>
              <w:spacing w:after="0"/>
              <w:rPr>
                <w:sz w:val="1"/>
                <w:szCs w:val="1"/>
                <w:color w:val="auto"/>
              </w:rPr>
            </w:pPr>
          </w:p>
        </w:tc>
      </w:tr>
      <w:tr>
        <w:trPr>
          <w:trHeight w:val="155"/>
        </w:trPr>
        <w:tc>
          <w:tcPr>
            <w:tcW w:w="412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Year-Over-Year Revenue Growth</w:t>
            </w:r>
          </w:p>
        </w:tc>
        <w:tc>
          <w:tcPr>
            <w:tcW w:w="37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Revenue as reported in our audited financial</w:t>
            </w:r>
          </w:p>
        </w:tc>
        <w:tc>
          <w:tcPr>
            <w:tcW w:w="32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Primary indicator used by our investors to</w:t>
            </w:r>
          </w:p>
        </w:tc>
        <w:tc>
          <w:tcPr>
            <w:tcW w:w="0" w:type="dxa"/>
            <w:vAlign w:val="bottom"/>
          </w:tcPr>
          <w:p>
            <w:pPr>
              <w:spacing w:after="0"/>
              <w:rPr>
                <w:sz w:val="1"/>
                <w:szCs w:val="1"/>
                <w:color w:val="auto"/>
              </w:rPr>
            </w:pPr>
          </w:p>
        </w:tc>
      </w:tr>
      <w:tr>
        <w:trPr>
          <w:trHeight w:val="147"/>
        </w:trPr>
        <w:tc>
          <w:tcPr>
            <w:tcW w:w="4120" w:type="dxa"/>
            <w:vAlign w:val="bottom"/>
            <w:tcBorders>
              <w:left w:val="single" w:sz="8" w:color="auto"/>
              <w:right w:val="single" w:sz="8" w:color="auto"/>
            </w:tcBorders>
            <w:vMerge w:val="continue"/>
            <w:shd w:val="clear" w:color="auto" w:fill="929292"/>
          </w:tcPr>
          <w:p>
            <w:pPr>
              <w:spacing w:after="0"/>
              <w:rPr>
                <w:sz w:val="12"/>
                <w:szCs w:val="12"/>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statements</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assess our annual growth</w:t>
            </w:r>
          </w:p>
        </w:tc>
        <w:tc>
          <w:tcPr>
            <w:tcW w:w="0" w:type="dxa"/>
            <w:vAlign w:val="bottom"/>
          </w:tcPr>
          <w:p>
            <w:pPr>
              <w:spacing w:after="0"/>
              <w:rPr>
                <w:sz w:val="1"/>
                <w:szCs w:val="1"/>
                <w:color w:val="auto"/>
              </w:rPr>
            </w:pPr>
          </w:p>
        </w:tc>
      </w:tr>
      <w:tr>
        <w:trPr>
          <w:trHeight w:val="68"/>
        </w:trPr>
        <w:tc>
          <w:tcPr>
            <w:tcW w:w="4120" w:type="dxa"/>
            <w:vAlign w:val="bottom"/>
            <w:tcBorders>
              <w:left w:val="single" w:sz="8" w:color="auto"/>
              <w:bottom w:val="single" w:sz="8" w:color="auto"/>
              <w:right w:val="single" w:sz="8" w:color="auto"/>
            </w:tcBorders>
            <w:shd w:val="clear" w:color="auto" w:fill="929292"/>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32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12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Gross Profit</w:t>
            </w:r>
          </w:p>
        </w:tc>
        <w:tc>
          <w:tcPr>
            <w:tcW w:w="3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Gross Profit as reported in our audited financial</w:t>
            </w:r>
          </w:p>
        </w:tc>
        <w:tc>
          <w:tcPr>
            <w:tcW w:w="3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Indicator of our ability to grow profitably and</w:t>
            </w:r>
          </w:p>
        </w:tc>
        <w:tc>
          <w:tcPr>
            <w:tcW w:w="0" w:type="dxa"/>
            <w:vAlign w:val="bottom"/>
          </w:tcPr>
          <w:p>
            <w:pPr>
              <w:spacing w:after="0"/>
              <w:rPr>
                <w:sz w:val="1"/>
                <w:szCs w:val="1"/>
                <w:color w:val="auto"/>
              </w:rPr>
            </w:pPr>
          </w:p>
        </w:tc>
      </w:tr>
      <w:tr>
        <w:trPr>
          <w:trHeight w:val="147"/>
        </w:trPr>
        <w:tc>
          <w:tcPr>
            <w:tcW w:w="4120" w:type="dxa"/>
            <w:vAlign w:val="bottom"/>
            <w:tcBorders>
              <w:left w:val="single" w:sz="8" w:color="auto"/>
              <w:right w:val="single" w:sz="8" w:color="auto"/>
            </w:tcBorders>
            <w:vMerge w:val="continue"/>
            <w:shd w:val="clear" w:color="auto" w:fill="929292"/>
          </w:tcPr>
          <w:p>
            <w:pPr>
              <w:spacing w:after="0"/>
              <w:rPr>
                <w:sz w:val="12"/>
                <w:szCs w:val="12"/>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statements</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efficiency in our cost of revenue</w:t>
            </w:r>
          </w:p>
        </w:tc>
        <w:tc>
          <w:tcPr>
            <w:tcW w:w="0" w:type="dxa"/>
            <w:vAlign w:val="bottom"/>
          </w:tcPr>
          <w:p>
            <w:pPr>
              <w:spacing w:after="0"/>
              <w:rPr>
                <w:sz w:val="1"/>
                <w:szCs w:val="1"/>
                <w:color w:val="auto"/>
              </w:rPr>
            </w:pPr>
          </w:p>
        </w:tc>
      </w:tr>
      <w:tr>
        <w:trPr>
          <w:trHeight w:val="68"/>
        </w:trPr>
        <w:tc>
          <w:tcPr>
            <w:tcW w:w="4120" w:type="dxa"/>
            <w:vAlign w:val="bottom"/>
            <w:tcBorders>
              <w:left w:val="single" w:sz="8" w:color="auto"/>
              <w:bottom w:val="single" w:sz="8" w:color="auto"/>
              <w:right w:val="single" w:sz="8" w:color="auto"/>
            </w:tcBorders>
            <w:shd w:val="clear" w:color="auto" w:fill="929292"/>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32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120" w:type="dxa"/>
            <w:vAlign w:val="bottom"/>
            <w:tcBorders>
              <w:left w:val="single" w:sz="8" w:color="auto"/>
              <w:right w:val="single" w:sz="8" w:color="auto"/>
            </w:tcBorders>
            <w:shd w:val="clear" w:color="auto" w:fill="929292"/>
          </w:tcPr>
          <w:p>
            <w:pPr>
              <w:spacing w:after="0"/>
              <w:rPr>
                <w:sz w:val="13"/>
                <w:szCs w:val="13"/>
                <w:color w:val="auto"/>
              </w:rPr>
            </w:pPr>
          </w:p>
        </w:tc>
        <w:tc>
          <w:tcPr>
            <w:tcW w:w="3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Gross Profit minus adjusted operating expenses,</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Indicator of growth and efficiency in our cost</w:t>
            </w:r>
          </w:p>
        </w:tc>
        <w:tc>
          <w:tcPr>
            <w:tcW w:w="0" w:type="dxa"/>
            <w:vAlign w:val="bottom"/>
          </w:tcPr>
          <w:p>
            <w:pPr>
              <w:spacing w:after="0"/>
              <w:rPr>
                <w:sz w:val="1"/>
                <w:szCs w:val="1"/>
                <w:color w:val="auto"/>
              </w:rPr>
            </w:pPr>
          </w:p>
        </w:tc>
      </w:tr>
      <w:tr>
        <w:trPr>
          <w:trHeight w:val="162"/>
        </w:trPr>
        <w:tc>
          <w:tcPr>
            <w:tcW w:w="412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b w:val="1"/>
                <w:bCs w:val="1"/>
                <w:color w:val="FFFFFF"/>
              </w:rPr>
              <w:t>Adjusted EBITDA</w:t>
            </w:r>
          </w:p>
        </w:tc>
        <w:tc>
          <w:tcPr>
            <w:tcW w:w="37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which excludes stock-based compensation, equity-</w:t>
            </w:r>
          </w:p>
        </w:tc>
        <w:tc>
          <w:tcPr>
            <w:tcW w:w="3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Borders>
              <w:left w:val="single" w:sz="8" w:color="auto"/>
              <w:right w:val="single" w:sz="8" w:color="auto"/>
            </w:tcBorders>
            <w:vMerge w:val="continue"/>
            <w:shd w:val="clear" w:color="auto" w:fill="929292"/>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related taxes, acquisition-related costs,</w:t>
            </w:r>
          </w:p>
        </w:tc>
        <w:tc>
          <w:tcPr>
            <w:tcW w:w="32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of revenue and operating expenses</w:t>
            </w:r>
          </w:p>
        </w:tc>
        <w:tc>
          <w:tcPr>
            <w:tcW w:w="0" w:type="dxa"/>
            <w:vAlign w:val="bottom"/>
          </w:tcPr>
          <w:p>
            <w:pPr>
              <w:spacing w:after="0"/>
              <w:rPr>
                <w:sz w:val="1"/>
                <w:szCs w:val="1"/>
                <w:color w:val="auto"/>
              </w:rPr>
            </w:pPr>
          </w:p>
        </w:tc>
      </w:tr>
      <w:tr>
        <w:trPr>
          <w:trHeight w:val="215"/>
        </w:trPr>
        <w:tc>
          <w:tcPr>
            <w:tcW w:w="4120" w:type="dxa"/>
            <w:vAlign w:val="bottom"/>
            <w:tcBorders>
              <w:left w:val="single" w:sz="8" w:color="auto"/>
              <w:bottom w:val="single" w:sz="8" w:color="auto"/>
              <w:right w:val="single" w:sz="8" w:color="auto"/>
            </w:tcBorders>
            <w:shd w:val="clear" w:color="auto" w:fill="929292"/>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depreciation, amortization, and bonus funding</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Our actual performance in fiscal year 2025 relative to the target levels established for each of the performance metrics described above resulted in the following weighted funding percentages under the Bonus Plan in fiscal year 2025:</w:t>
      </w:r>
    </w:p>
    <w:p>
      <w:pPr>
        <w:spacing w:after="0" w:line="71"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4020" w:type="dxa"/>
            <w:vAlign w:val="bottom"/>
            <w:tcBorders>
              <w:right w:val="single" w:sz="8" w:color="auto"/>
            </w:tcBorders>
          </w:tcPr>
          <w:p>
            <w:pPr>
              <w:spacing w:after="0"/>
              <w:rPr>
                <w:sz w:val="17"/>
                <w:szCs w:val="17"/>
                <w:color w:val="auto"/>
              </w:rPr>
            </w:pPr>
          </w:p>
        </w:tc>
        <w:tc>
          <w:tcPr>
            <w:tcW w:w="1160" w:type="dxa"/>
            <w:vAlign w:val="bottom"/>
            <w:tcBorders>
              <w:top w:val="single" w:sz="8" w:color="auto"/>
              <w:right w:val="single" w:sz="8" w:color="auto"/>
            </w:tcBorders>
            <w:vMerge w:val="restart"/>
            <w:shd w:val="clear" w:color="auto" w:fill="929292"/>
          </w:tcPr>
          <w:p>
            <w:pPr>
              <w:jc w:val="right"/>
              <w:ind w:right="470"/>
              <w:spacing w:after="0"/>
              <w:rPr>
                <w:sz w:val="20"/>
                <w:szCs w:val="20"/>
                <w:color w:val="auto"/>
              </w:rPr>
            </w:pPr>
            <w:r>
              <w:rPr>
                <w:rFonts w:ascii="Arial" w:cs="Arial" w:eastAsia="Arial" w:hAnsi="Arial"/>
                <w:sz w:val="18"/>
                <w:szCs w:val="18"/>
                <w:b w:val="1"/>
                <w:bCs w:val="1"/>
                <w:color w:val="FFFFFF"/>
                <w:w w:val="96"/>
              </w:rPr>
              <w:t>Weight</w:t>
            </w:r>
          </w:p>
        </w:tc>
        <w:tc>
          <w:tcPr>
            <w:tcW w:w="1040" w:type="dxa"/>
            <w:vAlign w:val="bottom"/>
            <w:tcBorders>
              <w:top w:val="single" w:sz="8" w:color="auto"/>
              <w:right w:val="single" w:sz="8" w:color="auto"/>
            </w:tcBorders>
            <w:vMerge w:val="restart"/>
            <w:shd w:val="clear" w:color="auto" w:fill="929292"/>
          </w:tcPr>
          <w:p>
            <w:pPr>
              <w:spacing w:after="0"/>
              <w:rPr>
                <w:sz w:val="20"/>
                <w:szCs w:val="20"/>
                <w:color w:val="auto"/>
              </w:rPr>
            </w:pPr>
            <w:r>
              <w:rPr>
                <w:rFonts w:ascii="Arial" w:cs="Arial" w:eastAsia="Arial" w:hAnsi="Arial"/>
                <w:sz w:val="18"/>
                <w:szCs w:val="18"/>
                <w:b w:val="1"/>
                <w:bCs w:val="1"/>
                <w:color w:val="FFFFFF"/>
              </w:rPr>
              <w:t>Target</w:t>
            </w:r>
          </w:p>
        </w:tc>
        <w:tc>
          <w:tcPr>
            <w:tcW w:w="960" w:type="dxa"/>
            <w:vAlign w:val="bottom"/>
            <w:tcBorders>
              <w:top w:val="single" w:sz="8" w:color="auto"/>
              <w:right w:val="single" w:sz="8" w:color="auto"/>
            </w:tcBorders>
            <w:vMerge w:val="restart"/>
            <w:shd w:val="clear" w:color="auto" w:fill="929292"/>
          </w:tcPr>
          <w:p>
            <w:pPr>
              <w:jc w:val="right"/>
              <w:ind w:right="330"/>
              <w:spacing w:after="0"/>
              <w:rPr>
                <w:sz w:val="20"/>
                <w:szCs w:val="20"/>
                <w:color w:val="auto"/>
              </w:rPr>
            </w:pPr>
            <w:r>
              <w:rPr>
                <w:rFonts w:ascii="Arial" w:cs="Arial" w:eastAsia="Arial" w:hAnsi="Arial"/>
                <w:sz w:val="18"/>
                <w:szCs w:val="18"/>
                <w:b w:val="1"/>
                <w:bCs w:val="1"/>
                <w:color w:val="FFFFFF"/>
                <w:w w:val="94"/>
              </w:rPr>
              <w:t>Actual</w:t>
            </w:r>
          </w:p>
        </w:tc>
        <w:tc>
          <w:tcPr>
            <w:tcW w:w="1680" w:type="dxa"/>
            <w:vAlign w:val="bottom"/>
            <w:tcBorders>
              <w:top w:val="single" w:sz="8" w:color="auto"/>
              <w:right w:val="single" w:sz="8" w:color="auto"/>
            </w:tcBorders>
            <w:vMerge w:val="restart"/>
            <w:shd w:val="clear" w:color="auto" w:fill="929292"/>
          </w:tcPr>
          <w:p>
            <w:pPr>
              <w:jc w:val="right"/>
              <w:ind w:right="650"/>
              <w:spacing w:after="0"/>
              <w:rPr>
                <w:sz w:val="20"/>
                <w:szCs w:val="20"/>
                <w:color w:val="auto"/>
              </w:rPr>
            </w:pPr>
            <w:r>
              <w:rPr>
                <w:rFonts w:ascii="Arial" w:cs="Arial" w:eastAsia="Arial" w:hAnsi="Arial"/>
                <w:sz w:val="18"/>
                <w:szCs w:val="18"/>
                <w:b w:val="1"/>
                <w:bCs w:val="1"/>
                <w:color w:val="FFFFFF"/>
                <w:w w:val="97"/>
              </w:rPr>
              <w:t>Attainment</w:t>
            </w:r>
          </w:p>
        </w:tc>
        <w:tc>
          <w:tcPr>
            <w:tcW w:w="2180" w:type="dxa"/>
            <w:vAlign w:val="bottom"/>
            <w:tcBorders>
              <w:top w:val="single" w:sz="8" w:color="auto"/>
              <w:right w:val="single" w:sz="8" w:color="auto"/>
            </w:tcBorders>
            <w:shd w:val="clear" w:color="auto" w:fill="929292"/>
          </w:tcPr>
          <w:p>
            <w:pPr>
              <w:spacing w:after="0" w:line="197" w:lineRule="exact"/>
              <w:rPr>
                <w:sz w:val="20"/>
                <w:szCs w:val="20"/>
                <w:color w:val="auto"/>
              </w:rPr>
            </w:pPr>
            <w:r>
              <w:rPr>
                <w:rFonts w:ascii="Arial" w:cs="Arial" w:eastAsia="Arial" w:hAnsi="Arial"/>
                <w:sz w:val="18"/>
                <w:szCs w:val="18"/>
                <w:b w:val="1"/>
                <w:bCs w:val="1"/>
                <w:color w:val="FFFFFF"/>
              </w:rPr>
              <w:t>Overall Funding</w:t>
            </w:r>
          </w:p>
        </w:tc>
        <w:tc>
          <w:tcPr>
            <w:tcW w:w="0" w:type="dxa"/>
            <w:vAlign w:val="bottom"/>
          </w:tcPr>
          <w:p>
            <w:pPr>
              <w:spacing w:after="0"/>
              <w:rPr>
                <w:sz w:val="1"/>
                <w:szCs w:val="1"/>
                <w:color w:val="auto"/>
              </w:rPr>
            </w:pPr>
          </w:p>
        </w:tc>
      </w:tr>
      <w:tr>
        <w:trPr>
          <w:trHeight w:val="152"/>
        </w:trPr>
        <w:tc>
          <w:tcPr>
            <w:tcW w:w="40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vMerge w:val="continue"/>
            <w:shd w:val="clear" w:color="auto" w:fill="929292"/>
          </w:tcPr>
          <w:p>
            <w:pPr>
              <w:spacing w:after="0"/>
              <w:rPr>
                <w:sz w:val="13"/>
                <w:szCs w:val="13"/>
                <w:color w:val="auto"/>
              </w:rPr>
            </w:pPr>
          </w:p>
        </w:tc>
        <w:tc>
          <w:tcPr>
            <w:tcW w:w="1040" w:type="dxa"/>
            <w:vAlign w:val="bottom"/>
            <w:tcBorders>
              <w:right w:val="single" w:sz="8" w:color="auto"/>
            </w:tcBorders>
            <w:vMerge w:val="continue"/>
            <w:shd w:val="clear" w:color="auto" w:fill="929292"/>
          </w:tcPr>
          <w:p>
            <w:pPr>
              <w:spacing w:after="0"/>
              <w:rPr>
                <w:sz w:val="13"/>
                <w:szCs w:val="13"/>
                <w:color w:val="auto"/>
              </w:rPr>
            </w:pPr>
          </w:p>
        </w:tc>
        <w:tc>
          <w:tcPr>
            <w:tcW w:w="960" w:type="dxa"/>
            <w:vAlign w:val="bottom"/>
            <w:tcBorders>
              <w:right w:val="single" w:sz="8" w:color="auto"/>
            </w:tcBorders>
            <w:vMerge w:val="continue"/>
            <w:shd w:val="clear" w:color="auto" w:fill="929292"/>
          </w:tcPr>
          <w:p>
            <w:pPr>
              <w:spacing w:after="0"/>
              <w:rPr>
                <w:sz w:val="13"/>
                <w:szCs w:val="13"/>
                <w:color w:val="auto"/>
              </w:rPr>
            </w:pPr>
          </w:p>
        </w:tc>
        <w:tc>
          <w:tcPr>
            <w:tcW w:w="1680" w:type="dxa"/>
            <w:vAlign w:val="bottom"/>
            <w:tcBorders>
              <w:right w:val="single" w:sz="8" w:color="auto"/>
            </w:tcBorders>
            <w:vMerge w:val="continue"/>
            <w:shd w:val="clear" w:color="auto" w:fill="929292"/>
          </w:tcPr>
          <w:p>
            <w:pPr>
              <w:spacing w:after="0"/>
              <w:rPr>
                <w:sz w:val="13"/>
                <w:szCs w:val="13"/>
                <w:color w:val="auto"/>
              </w:rPr>
            </w:pPr>
          </w:p>
        </w:tc>
        <w:tc>
          <w:tcPr>
            <w:tcW w:w="2180" w:type="dxa"/>
            <w:vAlign w:val="bottom"/>
            <w:tcBorders>
              <w:right w:val="single" w:sz="8" w:color="auto"/>
            </w:tcBorders>
            <w:vMerge w:val="restart"/>
            <w:shd w:val="clear" w:color="auto" w:fill="929292"/>
          </w:tcPr>
          <w:p>
            <w:pPr>
              <w:spacing w:after="0"/>
              <w:rPr>
                <w:sz w:val="20"/>
                <w:szCs w:val="20"/>
                <w:color w:val="auto"/>
              </w:rPr>
            </w:pPr>
            <w:r>
              <w:rPr>
                <w:rFonts w:ascii="Arial" w:cs="Arial" w:eastAsia="Arial" w:hAnsi="Arial"/>
                <w:sz w:val="18"/>
                <w:szCs w:val="18"/>
                <w:b w:val="1"/>
                <w:bCs w:val="1"/>
                <w:color w:val="FFFFFF"/>
              </w:rPr>
              <w:t>(as a % of Target)</w:t>
            </w:r>
          </w:p>
        </w:tc>
        <w:tc>
          <w:tcPr>
            <w:tcW w:w="0" w:type="dxa"/>
            <w:vAlign w:val="bottom"/>
          </w:tcPr>
          <w:p>
            <w:pPr>
              <w:spacing w:after="0"/>
              <w:rPr>
                <w:sz w:val="1"/>
                <w:szCs w:val="1"/>
                <w:color w:val="auto"/>
              </w:rPr>
            </w:pPr>
          </w:p>
        </w:tc>
      </w:tr>
      <w:tr>
        <w:trPr>
          <w:trHeight w:val="83"/>
        </w:trPr>
        <w:tc>
          <w:tcPr>
            <w:tcW w:w="40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shd w:val="clear" w:color="auto" w:fill="929292"/>
          </w:tcPr>
          <w:p>
            <w:pPr>
              <w:spacing w:after="0"/>
              <w:rPr>
                <w:sz w:val="7"/>
                <w:szCs w:val="7"/>
                <w:color w:val="auto"/>
              </w:rPr>
            </w:pPr>
          </w:p>
        </w:tc>
        <w:tc>
          <w:tcPr>
            <w:tcW w:w="1040" w:type="dxa"/>
            <w:vAlign w:val="bottom"/>
            <w:tcBorders>
              <w:bottom w:val="single" w:sz="8" w:color="auto"/>
              <w:right w:val="single" w:sz="8" w:color="auto"/>
            </w:tcBorders>
            <w:shd w:val="clear" w:color="auto" w:fill="929292"/>
          </w:tcPr>
          <w:p>
            <w:pPr>
              <w:spacing w:after="0"/>
              <w:rPr>
                <w:sz w:val="7"/>
                <w:szCs w:val="7"/>
                <w:color w:val="auto"/>
              </w:rPr>
            </w:pPr>
          </w:p>
        </w:tc>
        <w:tc>
          <w:tcPr>
            <w:tcW w:w="960" w:type="dxa"/>
            <w:vAlign w:val="bottom"/>
            <w:tcBorders>
              <w:bottom w:val="single" w:sz="8" w:color="auto"/>
              <w:right w:val="single" w:sz="8" w:color="auto"/>
            </w:tcBorders>
            <w:shd w:val="clear" w:color="auto" w:fill="929292"/>
          </w:tcPr>
          <w:p>
            <w:pPr>
              <w:spacing w:after="0"/>
              <w:rPr>
                <w:sz w:val="7"/>
                <w:szCs w:val="7"/>
                <w:color w:val="auto"/>
              </w:rPr>
            </w:pPr>
          </w:p>
        </w:tc>
        <w:tc>
          <w:tcPr>
            <w:tcW w:w="1680" w:type="dxa"/>
            <w:vAlign w:val="bottom"/>
            <w:tcBorders>
              <w:bottom w:val="single" w:sz="8" w:color="auto"/>
              <w:right w:val="single" w:sz="8" w:color="auto"/>
            </w:tcBorders>
            <w:shd w:val="clear" w:color="auto" w:fill="929292"/>
          </w:tcPr>
          <w:p>
            <w:pPr>
              <w:spacing w:after="0"/>
              <w:rPr>
                <w:sz w:val="7"/>
                <w:szCs w:val="7"/>
                <w:color w:val="auto"/>
              </w:rPr>
            </w:pPr>
          </w:p>
        </w:tc>
        <w:tc>
          <w:tcPr>
            <w:tcW w:w="2180" w:type="dxa"/>
            <w:vAlign w:val="bottom"/>
            <w:tcBorders>
              <w:bottom w:val="single" w:sz="8" w:color="auto"/>
              <w:right w:val="single" w:sz="8" w:color="auto"/>
            </w:tcBorders>
            <w:vMerge w:val="continue"/>
            <w:shd w:val="clear" w:color="auto" w:fill="929292"/>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20" w:type="dxa"/>
            <w:vAlign w:val="bottom"/>
            <w:tcBorders>
              <w:left w:val="single" w:sz="8" w:color="auto"/>
              <w:bottom w:val="single" w:sz="8" w:color="auto"/>
              <w:right w:val="single" w:sz="8" w:color="auto"/>
            </w:tcBorders>
            <w:shd w:val="clear" w:color="auto" w:fill="929292"/>
          </w:tcPr>
          <w:p>
            <w:pPr>
              <w:ind w:left="40"/>
              <w:spacing w:after="0"/>
              <w:rPr>
                <w:sz w:val="20"/>
                <w:szCs w:val="20"/>
                <w:color w:val="auto"/>
              </w:rPr>
            </w:pPr>
            <w:r>
              <w:rPr>
                <w:rFonts w:ascii="Arial" w:cs="Arial" w:eastAsia="Arial" w:hAnsi="Arial"/>
                <w:sz w:val="18"/>
                <w:szCs w:val="18"/>
                <w:b w:val="1"/>
                <w:bCs w:val="1"/>
                <w:color w:val="FFFFFF"/>
              </w:rPr>
              <w:t>Year-Over-Year Revenue Growth</w:t>
            </w:r>
          </w:p>
        </w:tc>
        <w:tc>
          <w:tcPr>
            <w:tcW w:w="116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$610.8</w:t>
            </w:r>
          </w:p>
        </w:tc>
        <w:tc>
          <w:tcPr>
            <w:tcW w:w="9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$625.3</w:t>
            </w:r>
          </w:p>
        </w:tc>
        <w:tc>
          <w:tcPr>
            <w:tcW w:w="16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102.4%</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20" w:type="dxa"/>
            <w:vAlign w:val="bottom"/>
            <w:tcBorders>
              <w:left w:val="single" w:sz="8" w:color="auto"/>
              <w:bottom w:val="single" w:sz="8" w:color="auto"/>
              <w:right w:val="single" w:sz="8" w:color="auto"/>
            </w:tcBorders>
            <w:shd w:val="clear" w:color="auto" w:fill="929292"/>
          </w:tcPr>
          <w:p>
            <w:pPr>
              <w:ind w:left="40"/>
              <w:spacing w:after="0"/>
              <w:rPr>
                <w:sz w:val="20"/>
                <w:szCs w:val="20"/>
                <w:color w:val="auto"/>
              </w:rPr>
            </w:pPr>
            <w:r>
              <w:rPr>
                <w:rFonts w:ascii="Arial" w:cs="Arial" w:eastAsia="Arial" w:hAnsi="Arial"/>
                <w:sz w:val="18"/>
                <w:szCs w:val="18"/>
                <w:b w:val="1"/>
                <w:bCs w:val="1"/>
                <w:color w:val="FFFFFF"/>
              </w:rPr>
              <w:t>Gross Profit (in millions)</w:t>
            </w:r>
          </w:p>
        </w:tc>
        <w:tc>
          <w:tcPr>
            <w:tcW w:w="116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$419.1</w:t>
            </w:r>
          </w:p>
        </w:tc>
        <w:tc>
          <w:tcPr>
            <w:tcW w:w="9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$437.7</w:t>
            </w:r>
          </w:p>
        </w:tc>
        <w:tc>
          <w:tcPr>
            <w:tcW w:w="16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104.4%</w:t>
            </w:r>
          </w:p>
        </w:tc>
        <w:tc>
          <w:tcPr>
            <w:tcW w:w="21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116.1%</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bottom w:val="single" w:sz="8" w:color="auto"/>
              <w:right w:val="single" w:sz="8" w:color="auto"/>
            </w:tcBorders>
            <w:shd w:val="clear" w:color="auto" w:fill="929292"/>
          </w:tcPr>
          <w:p>
            <w:pPr>
              <w:ind w:left="40"/>
              <w:spacing w:after="0"/>
              <w:rPr>
                <w:sz w:val="20"/>
                <w:szCs w:val="20"/>
                <w:color w:val="auto"/>
              </w:rPr>
            </w:pPr>
            <w:r>
              <w:rPr>
                <w:rFonts w:ascii="Arial" w:cs="Arial" w:eastAsia="Arial" w:hAnsi="Arial"/>
                <w:sz w:val="18"/>
                <w:szCs w:val="18"/>
                <w:b w:val="1"/>
                <w:bCs w:val="1"/>
                <w:color w:val="FFFFFF"/>
              </w:rPr>
              <w:t>Adjusted EBITDA (in millions)</w:t>
            </w:r>
          </w:p>
        </w:tc>
        <w:tc>
          <w:tcPr>
            <w:tcW w:w="116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$99.3</w:t>
            </w:r>
          </w:p>
        </w:tc>
        <w:tc>
          <w:tcPr>
            <w:tcW w:w="9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$143.8</w:t>
            </w:r>
          </w:p>
        </w:tc>
        <w:tc>
          <w:tcPr>
            <w:tcW w:w="16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144.8%</w:t>
            </w:r>
          </w:p>
        </w:tc>
        <w:tc>
          <w:tcPr>
            <w:tcW w:w="2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fiscal year 2025 annual cash bonus awards, the Compensation Committee reviewed the performance of the Company</w:t>
      </w:r>
    </w:p>
    <w:p>
      <w:pPr>
        <w:spacing w:after="0" w:line="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against the predetermined Bonus Plan targets for fiscal year 2025 to determine the overall funding. The Compensation Committee then determined how each NEO performed, taking into account feedback and recommendations from the CEO (other than with respect to himself), to determine, what, if any, adjustments should be made to the base cash bonus award to arrive at the final payout amount for each executive. The Compensation Committee may adjust the base cash bonus award down to -20% or up to +20% of the applicable base cash bonus award based upon an individual executive’s performance. The Compensation Committee may assess a modifier in excess of that range where it deems warranted by particularly strong individual performance.</w:t>
      </w:r>
    </w:p>
    <w:p>
      <w:pPr>
        <w:spacing w:after="0" w:line="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For Mr. Milotich, the Compensation Committee applied a positive individual performance modifier in recognition of his effective leadership during a period of transition, including his service as both</w:t>
      </w:r>
    </w:p>
    <w:p>
      <w:pPr>
        <w:spacing w:after="0" w:line="200" w:lineRule="exact"/>
        <w:rPr>
          <w:sz w:val="20"/>
          <w:szCs w:val="20"/>
          <w:color w:val="auto"/>
        </w:rPr>
      </w:pPr>
    </w:p>
    <w:p>
      <w:pPr>
        <w:spacing w:after="0" w:line="3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7" w:name="page48"/>
    <w:bookmarkEnd w:id="47"/>
    <w:p>
      <w:pPr>
        <w:jc w:val="both"/>
        <w:ind w:right="20"/>
        <w:spacing w:after="0" w:line="260" w:lineRule="auto"/>
        <w:rPr>
          <w:sz w:val="20"/>
          <w:szCs w:val="20"/>
          <w:color w:val="auto"/>
        </w:rPr>
      </w:pPr>
      <w:r>
        <w:rPr>
          <w:rFonts w:ascii="Arial" w:cs="Arial" w:eastAsia="Arial" w:hAnsi="Arial"/>
          <w:sz w:val="18"/>
          <w:szCs w:val="18"/>
          <w:color w:val="auto"/>
        </w:rPr>
        <w:t>Chief Financial Officer and Interim Chief Executive Officer for a majority of the year, his role in navigating changes in Company leadership, and the Company’s financial performance above plan.</w:t>
      </w:r>
    </w:p>
    <w:p>
      <w:pPr>
        <w:spacing w:after="0" w:line="2"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For Ms. Sumner, Mr. Milotich recommended, and the Compensation Committee approved, a positive individual performance modifier in recognition of her leadership in overseeing several transformation efforts for the Company.</w:t>
      </w:r>
    </w:p>
    <w:p>
      <w:pPr>
        <w:spacing w:after="0" w:line="9"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Mr. Pollak, as Chief Revenue Officer, participated in the CRO Commission Plan under the Bonus Plan in fiscal year 2025. For fiscal year 2025, he was paid a quarterly commission based on attainment of goals for (i) new bookings and expansion and (ii) in-year customer gross</w:t>
      </w:r>
    </w:p>
    <w:p>
      <w:pPr>
        <w:spacing w:after="0" w:line="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profit. Each measure was weighted 50% in calculating the commission payments. His total 2025 cash bonus award under the CRO Commission Plan was 88.1% of target. In addition, Mr. Pollak was provided incremental bonuses as described in the footnotes to the table below.</w:t>
      </w:r>
    </w:p>
    <w:p>
      <w:pPr>
        <w:spacing w:after="0" w:line="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table below shows each eligible NEO’s final calculated annual cash bonus awards under the Bonus Plan, or for Mr. Pollak, the CRO Commission Plan in fiscal year 2025:</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80" w:type="dxa"/>
            <w:vAlign w:val="bottom"/>
            <w:tcBorders>
              <w:top w:val="single" w:sz="8" w:color="auto"/>
              <w:left w:val="single" w:sz="8" w:color="auto"/>
              <w:right w:val="single" w:sz="8" w:color="auto"/>
            </w:tcBorders>
            <w:shd w:val="clear" w:color="auto" w:fill="929292"/>
          </w:tcPr>
          <w:p>
            <w:pPr>
              <w:ind w:left="520"/>
              <w:spacing w:after="0"/>
              <w:rPr>
                <w:sz w:val="20"/>
                <w:szCs w:val="20"/>
                <w:color w:val="auto"/>
              </w:rPr>
            </w:pPr>
            <w:r>
              <w:rPr>
                <w:rFonts w:ascii="Arial" w:cs="Arial" w:eastAsia="Arial" w:hAnsi="Arial"/>
                <w:sz w:val="18"/>
                <w:szCs w:val="18"/>
                <w:b w:val="1"/>
                <w:bCs w:val="1"/>
                <w:color w:val="FFFFFF"/>
              </w:rPr>
              <w:t>Executive</w:t>
            </w:r>
          </w:p>
        </w:tc>
        <w:tc>
          <w:tcPr>
            <w:tcW w:w="1880" w:type="dxa"/>
            <w:vAlign w:val="bottom"/>
            <w:tcBorders>
              <w:top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1880" w:type="dxa"/>
            <w:vAlign w:val="bottom"/>
            <w:tcBorders>
              <w:top w:val="single" w:sz="8" w:color="auto"/>
              <w:right w:val="single" w:sz="8" w:color="auto"/>
            </w:tcBorders>
            <w:shd w:val="clear" w:color="auto" w:fill="929292"/>
          </w:tcPr>
          <w:p>
            <w:pPr>
              <w:ind w:left="240"/>
              <w:spacing w:after="0"/>
              <w:rPr>
                <w:sz w:val="20"/>
                <w:szCs w:val="20"/>
                <w:color w:val="auto"/>
              </w:rPr>
            </w:pPr>
            <w:r>
              <w:rPr>
                <w:rFonts w:ascii="Arial" w:cs="Arial" w:eastAsia="Arial" w:hAnsi="Arial"/>
                <w:sz w:val="18"/>
                <w:szCs w:val="18"/>
                <w:b w:val="1"/>
                <w:bCs w:val="1"/>
                <w:color w:val="FFFFFF"/>
              </w:rPr>
              <w:t>Target Incentive</w:t>
            </w:r>
          </w:p>
        </w:tc>
        <w:tc>
          <w:tcPr>
            <w:tcW w:w="1860" w:type="dxa"/>
            <w:vAlign w:val="bottom"/>
            <w:tcBorders>
              <w:top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8"/>
              </w:rPr>
              <w:t>Bonus Target</w:t>
            </w:r>
          </w:p>
        </w:tc>
        <w:tc>
          <w:tcPr>
            <w:tcW w:w="1880" w:type="dxa"/>
            <w:vAlign w:val="bottom"/>
            <w:tcBorders>
              <w:top w:val="single" w:sz="8" w:color="auto"/>
              <w:right w:val="single" w:sz="8" w:color="auto"/>
            </w:tcBorders>
            <w:shd w:val="clear" w:color="auto" w:fill="929292"/>
          </w:tcPr>
          <w:p>
            <w:pPr>
              <w:ind w:left="100"/>
              <w:spacing w:after="0"/>
              <w:rPr>
                <w:sz w:val="20"/>
                <w:szCs w:val="20"/>
                <w:color w:val="auto"/>
              </w:rPr>
            </w:pPr>
            <w:r>
              <w:rPr>
                <w:rFonts w:ascii="Arial" w:cs="Arial" w:eastAsia="Arial" w:hAnsi="Arial"/>
                <w:sz w:val="18"/>
                <w:szCs w:val="18"/>
                <w:b w:val="1"/>
                <w:bCs w:val="1"/>
                <w:color w:val="FFFFFF"/>
              </w:rPr>
              <w:t>Final Bonus Payout</w:t>
            </w:r>
          </w:p>
        </w:tc>
        <w:tc>
          <w:tcPr>
            <w:tcW w:w="1880" w:type="dxa"/>
            <w:vAlign w:val="bottom"/>
            <w:tcBorders>
              <w:top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Final Bonus Payout</w:t>
            </w:r>
          </w:p>
        </w:tc>
      </w:tr>
      <w:tr>
        <w:trPr>
          <w:trHeight w:val="148"/>
        </w:trPr>
        <w:tc>
          <w:tcPr>
            <w:tcW w:w="1880" w:type="dxa"/>
            <w:vAlign w:val="bottom"/>
            <w:tcBorders>
              <w:left w:val="single" w:sz="8" w:color="auto"/>
              <w:bottom w:val="single" w:sz="8" w:color="auto"/>
              <w:right w:val="single" w:sz="8" w:color="auto"/>
            </w:tcBorders>
            <w:shd w:val="clear" w:color="auto" w:fill="929292"/>
          </w:tcPr>
          <w:p>
            <w:pPr>
              <w:spacing w:after="0"/>
              <w:rPr>
                <w:sz w:val="12"/>
                <w:szCs w:val="12"/>
                <w:color w:val="auto"/>
              </w:rPr>
            </w:pPr>
          </w:p>
        </w:tc>
        <w:tc>
          <w:tcPr>
            <w:tcW w:w="1880" w:type="dxa"/>
            <w:vAlign w:val="bottom"/>
            <w:tcBorders>
              <w:bottom w:val="single" w:sz="8" w:color="auto"/>
              <w:right w:val="single" w:sz="8" w:color="auto"/>
            </w:tcBorders>
            <w:shd w:val="clear" w:color="auto" w:fill="929292"/>
          </w:tcPr>
          <w:p>
            <w:pPr>
              <w:spacing w:after="0"/>
              <w:rPr>
                <w:sz w:val="12"/>
                <w:szCs w:val="12"/>
                <w:color w:val="auto"/>
              </w:rPr>
            </w:pPr>
          </w:p>
        </w:tc>
        <w:tc>
          <w:tcPr>
            <w:tcW w:w="1880" w:type="dxa"/>
            <w:vAlign w:val="bottom"/>
            <w:tcBorders>
              <w:bottom w:val="single" w:sz="8" w:color="auto"/>
              <w:right w:val="single" w:sz="8" w:color="auto"/>
            </w:tcBorders>
            <w:shd w:val="clear" w:color="auto" w:fill="929292"/>
          </w:tcPr>
          <w:p>
            <w:pPr>
              <w:spacing w:after="0"/>
              <w:rPr>
                <w:sz w:val="12"/>
                <w:szCs w:val="12"/>
                <w:color w:val="auto"/>
              </w:rPr>
            </w:pPr>
          </w:p>
        </w:tc>
        <w:tc>
          <w:tcPr>
            <w:tcW w:w="1860" w:type="dxa"/>
            <w:vAlign w:val="bottom"/>
            <w:tcBorders>
              <w:bottom w:val="single" w:sz="8" w:color="auto"/>
              <w:right w:val="single" w:sz="8" w:color="auto"/>
            </w:tcBorders>
            <w:shd w:val="clear" w:color="auto" w:fill="929292"/>
          </w:tcPr>
          <w:p>
            <w:pPr>
              <w:spacing w:after="0"/>
              <w:rPr>
                <w:sz w:val="12"/>
                <w:szCs w:val="12"/>
                <w:color w:val="auto"/>
              </w:rPr>
            </w:pPr>
          </w:p>
        </w:tc>
        <w:tc>
          <w:tcPr>
            <w:tcW w:w="1880" w:type="dxa"/>
            <w:vAlign w:val="bottom"/>
            <w:tcBorders>
              <w:bottom w:val="single" w:sz="8" w:color="auto"/>
              <w:right w:val="single" w:sz="8" w:color="auto"/>
            </w:tcBorders>
            <w:shd w:val="clear" w:color="auto" w:fill="929292"/>
          </w:tcPr>
          <w:p>
            <w:pPr>
              <w:spacing w:after="0"/>
              <w:rPr>
                <w:sz w:val="12"/>
                <w:szCs w:val="12"/>
                <w:color w:val="auto"/>
              </w:rPr>
            </w:pPr>
          </w:p>
        </w:tc>
        <w:tc>
          <w:tcPr>
            <w:tcW w:w="1880" w:type="dxa"/>
            <w:vAlign w:val="bottom"/>
            <w:tcBorders>
              <w:bottom w:val="single" w:sz="8" w:color="auto"/>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7"/>
                <w:szCs w:val="17"/>
                <w:b w:val="1"/>
                <w:bCs w:val="1"/>
                <w:color w:val="FFFFFF"/>
              </w:rPr>
              <w:t>as a % of Target</w:t>
            </w:r>
          </w:p>
        </w:tc>
      </w:tr>
      <w:tr>
        <w:trPr>
          <w:trHeight w:val="22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Mike Milotich</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$748,845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124.8%</w:t>
            </w:r>
          </w:p>
        </w:tc>
      </w:tr>
      <w:tr>
        <w:trPr>
          <w:trHeight w:val="223"/>
        </w:trPr>
        <w:tc>
          <w:tcPr>
            <w:tcW w:w="18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Simon Khalaf</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$600,000</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100%</w:t>
            </w:r>
          </w:p>
        </w:tc>
        <w:tc>
          <w:tcPr>
            <w:tcW w:w="18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$600,000</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188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Arial" w:cs="Arial" w:eastAsia="Arial" w:hAnsi="Arial"/>
                <w:sz w:val="18"/>
                <w:szCs w:val="18"/>
                <w:color w:val="auto"/>
              </w:rPr>
              <w:t>Todd Pollak</w:t>
            </w:r>
            <w:r>
              <w:rPr>
                <w:rFonts w:ascii="Arial" w:cs="Arial" w:eastAsia="Arial" w:hAnsi="Arial"/>
                <w:sz w:val="23"/>
                <w:szCs w:val="23"/>
                <w:color w:val="auto"/>
                <w:vertAlign w:val="superscript"/>
              </w:rPr>
              <w:t>(1)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$387,777</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88.1%</w:t>
            </w:r>
          </w:p>
        </w:tc>
      </w:tr>
      <w:tr>
        <w:trPr>
          <w:trHeight w:val="223"/>
        </w:trPr>
        <w:tc>
          <w:tcPr>
            <w:tcW w:w="18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Crystal Sumner</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$460,000</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75%</w:t>
            </w:r>
          </w:p>
        </w:tc>
        <w:tc>
          <w:tcPr>
            <w:tcW w:w="18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$345,000</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8"/>
              </w:rPr>
              <w:t>$450,000</w:t>
            </w:r>
          </w:p>
        </w:tc>
        <w:tc>
          <w:tcPr>
            <w:tcW w:w="18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130.4%</w:t>
            </w:r>
          </w:p>
        </w:tc>
      </w:tr>
    </w:tbl>
    <w:p>
      <w:pPr>
        <w:spacing w:after="0" w:line="85" w:lineRule="exact"/>
        <w:rPr>
          <w:sz w:val="20"/>
          <w:szCs w:val="20"/>
          <w:color w:val="auto"/>
        </w:rPr>
      </w:pPr>
    </w:p>
    <w:p>
      <w:pPr>
        <w:jc w:val="both"/>
        <w:ind w:right="20" w:firstLine="8"/>
        <w:spacing w:after="0" w:line="269" w:lineRule="auto"/>
        <w:tabs>
          <w:tab w:leader="none" w:pos="234"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Pollak does not participate in the Bonus Plan, and instead participates in the CRO Commission Plan under the Bonus Plan. In addition to participation in the CRO Commission Plan, Mr. Pollak received an additional incremental bonus in Q1 and Q4 of fiscal year 2025 in the aggregate of $122,623 to account for key sales that were not otherwise covered in the plan and to give commission participants benefit for strong company adjusted EBITDA performance that could have negatively impacted the sales function. With the incremental bonus combined with payments under the CRO Commission Plan, Mr. Pollak received aggregate incentive and bonus payments equal to 116.1% of his target.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Equity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2025, the Compensation Committee determined to award a mix of RSUs and PSUs to our NEOs.</w:t>
      </w:r>
    </w:p>
    <w:p>
      <w:pPr>
        <w:spacing w:after="0" w:line="4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Compensation Committee determined that a mix of 70% RSUs and 30% PSUs for our NEOs appropriately balances our goals of stockholder alignment, business execution, long-term share price growth, and NEO retention.</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arriving at the equity values to award to our NEOs for fiscal year 2025, the Compensation Committee considered our performance in fiscal year 2024, competitive market data for each NEO’s position, the value of each NEO’s unvested equity holdings, individual performance, and the recommendations of the Chief Executive Officer (other than with respect to himself).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reviewing these factors, the Compensation Committee approved the following equity awards for our NEOs for fiscal year 2025:</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shd w:val="clear" w:color="auto" w:fill="929292"/>
          </w:tcPr>
          <w:p>
            <w:pPr>
              <w:ind w:left="1000"/>
              <w:spacing w:after="0"/>
              <w:rPr>
                <w:sz w:val="20"/>
                <w:szCs w:val="20"/>
                <w:color w:val="auto"/>
              </w:rPr>
            </w:pPr>
            <w:r>
              <w:rPr>
                <w:rFonts w:ascii="Arial" w:cs="Arial" w:eastAsia="Arial" w:hAnsi="Arial"/>
                <w:sz w:val="18"/>
                <w:szCs w:val="18"/>
                <w:b w:val="1"/>
                <w:bCs w:val="1"/>
                <w:color w:val="FFFFFF"/>
              </w:rPr>
              <w:t>Executive</w:t>
            </w:r>
          </w:p>
        </w:tc>
        <w:tc>
          <w:tcPr>
            <w:tcW w:w="2800" w:type="dxa"/>
            <w:vAlign w:val="bottom"/>
            <w:tcBorders>
              <w:top w:val="single" w:sz="8" w:color="auto"/>
              <w:bottom w:val="single" w:sz="8" w:color="auto"/>
              <w:right w:val="single" w:sz="8" w:color="auto"/>
            </w:tcBorders>
            <w:shd w:val="clear" w:color="auto" w:fill="929292"/>
          </w:tcPr>
          <w:p>
            <w:pPr>
              <w:ind w:left="280"/>
              <w:spacing w:after="0"/>
              <w:rPr>
                <w:sz w:val="20"/>
                <w:szCs w:val="20"/>
                <w:color w:val="auto"/>
              </w:rPr>
            </w:pPr>
            <w:r>
              <w:rPr>
                <w:rFonts w:ascii="Arial" w:cs="Arial" w:eastAsia="Arial" w:hAnsi="Arial"/>
                <w:sz w:val="18"/>
                <w:szCs w:val="18"/>
                <w:b w:val="1"/>
                <w:bCs w:val="1"/>
                <w:color w:val="FFFFFF"/>
              </w:rPr>
              <w:t>Total Target Equity Award</w:t>
            </w:r>
          </w:p>
        </w:tc>
        <w:tc>
          <w:tcPr>
            <w:tcW w:w="2820" w:type="dxa"/>
            <w:vAlign w:val="bottom"/>
            <w:tcBorders>
              <w:top w:val="single" w:sz="8" w:color="auto"/>
              <w:bottom w:val="single" w:sz="8" w:color="auto"/>
              <w:right w:val="single" w:sz="8" w:color="auto"/>
            </w:tcBorders>
            <w:shd w:val="clear" w:color="auto" w:fill="929292"/>
          </w:tcPr>
          <w:p>
            <w:pPr>
              <w:ind w:left="660"/>
              <w:spacing w:after="0"/>
              <w:rPr>
                <w:sz w:val="20"/>
                <w:szCs w:val="20"/>
                <w:color w:val="auto"/>
              </w:rPr>
            </w:pPr>
            <w:r>
              <w:rPr>
                <w:rFonts w:ascii="Arial" w:cs="Arial" w:eastAsia="Arial" w:hAnsi="Arial"/>
                <w:sz w:val="18"/>
                <w:szCs w:val="18"/>
                <w:b w:val="1"/>
                <w:bCs w:val="1"/>
                <w:color w:val="FFFFFF"/>
              </w:rPr>
              <w:t>Target RSU Value</w:t>
            </w:r>
          </w:p>
        </w:tc>
        <w:tc>
          <w:tcPr>
            <w:tcW w:w="2800" w:type="dxa"/>
            <w:vAlign w:val="bottom"/>
            <w:tcBorders>
              <w:top w:val="single" w:sz="8" w:color="auto"/>
              <w:bottom w:val="single" w:sz="8" w:color="auto"/>
              <w:right w:val="single" w:sz="8" w:color="auto"/>
            </w:tcBorders>
            <w:shd w:val="clear" w:color="auto" w:fill="929292"/>
          </w:tcPr>
          <w:p>
            <w:pPr>
              <w:ind w:left="640"/>
              <w:spacing w:after="0"/>
              <w:rPr>
                <w:sz w:val="20"/>
                <w:szCs w:val="20"/>
                <w:color w:val="auto"/>
              </w:rPr>
            </w:pPr>
            <w:r>
              <w:rPr>
                <w:rFonts w:ascii="Arial" w:cs="Arial" w:eastAsia="Arial" w:hAnsi="Arial"/>
                <w:sz w:val="18"/>
                <w:szCs w:val="18"/>
                <w:b w:val="1"/>
                <w:bCs w:val="1"/>
                <w:color w:val="FFFFFF"/>
              </w:rPr>
              <w:t>Target PSU Value</w:t>
            </w:r>
          </w:p>
        </w:tc>
      </w:tr>
      <w:tr>
        <w:trPr>
          <w:trHeight w:val="223"/>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Mike Milotich</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$2,813,000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$1,969,100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$843,900</w:t>
            </w:r>
          </w:p>
        </w:tc>
      </w:tr>
      <w:tr>
        <w:trPr>
          <w:trHeight w:val="223"/>
        </w:trPr>
        <w:tc>
          <w:tcPr>
            <w:tcW w:w="28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Simon Khalaf</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28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Todd Pollak</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$2,363,000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$1,654,100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$708,900</w:t>
            </w:r>
          </w:p>
        </w:tc>
      </w:tr>
      <w:tr>
        <w:trPr>
          <w:trHeight w:val="223"/>
        </w:trPr>
        <w:tc>
          <w:tcPr>
            <w:tcW w:w="28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Crystal Sumner</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$2,625,000</w:t>
            </w:r>
          </w:p>
        </w:tc>
        <w:tc>
          <w:tcPr>
            <w:tcW w:w="28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$1,837,500</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$787,500</w:t>
            </w:r>
          </w:p>
        </w:tc>
      </w:tr>
    </w:tbl>
    <w:p>
      <w:pPr>
        <w:spacing w:after="0" w:line="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All of our NEOs’ equity awards were granted in March 2025 during the regular annual equity grant cycle. Target grant values above differ from values in the Summary Compensation Table due to the average price methodology.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Equity Awards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RSUs granted to NEOs in fiscal 2025 generally vest quarterly over a three-year period subject to the recipient’s continued service with us.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Equity Awards</w:t>
      </w:r>
    </w:p>
    <w:p>
      <w:pPr>
        <w:spacing w:after="0" w:line="390"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48" w:name="page49"/>
    <w:bookmarkEnd w:id="48"/>
    <w:p>
      <w:pPr>
        <w:jc w:val="both"/>
        <w:ind w:right="20"/>
        <w:spacing w:after="0" w:line="257" w:lineRule="auto"/>
        <w:rPr>
          <w:sz w:val="20"/>
          <w:szCs w:val="20"/>
          <w:color w:val="auto"/>
        </w:rPr>
      </w:pPr>
      <w:r>
        <w:rPr>
          <w:rFonts w:ascii="Arial" w:cs="Arial" w:eastAsia="Arial" w:hAnsi="Arial"/>
          <w:sz w:val="18"/>
          <w:szCs w:val="18"/>
          <w:color w:val="auto"/>
        </w:rPr>
        <w:t>PSUs granted in fiscal year 2025 are based on a one-year performance period; at the conclusion of the performance period and following certification of the results, one-third of the earned award vests, with the remaining two-thirds of the earned awards vesting quarterly over the following two years. A one-year performance period limits the risk of unintended consequences, such as a mismatch between pay and performance and longer-term performance targets that do not accurately reflect our business and incentive goals. Over time, we intend to transition the PSU program to a longer-term performance period as the macroeconomic environment becomes less volatile and our ability to forecast reliable long-term performance targets improves, without compromising the rigor and effectiveness of our compensation program.</w:t>
      </w:r>
    </w:p>
    <w:p>
      <w:pPr>
        <w:spacing w:after="0" w:line="20" w:lineRule="exact"/>
        <w:rPr>
          <w:sz w:val="20"/>
          <w:szCs w:val="20"/>
          <w:color w:val="auto"/>
        </w:rPr>
      </w:pPr>
    </w:p>
    <w:p>
      <w:pPr>
        <w:jc w:val="both"/>
        <w:ind w:right="40"/>
        <w:spacing w:after="0" w:line="281" w:lineRule="auto"/>
        <w:rPr>
          <w:sz w:val="20"/>
          <w:szCs w:val="20"/>
          <w:color w:val="auto"/>
        </w:rPr>
      </w:pPr>
      <w:r>
        <w:rPr>
          <w:rFonts w:ascii="Arial" w:cs="Arial" w:eastAsia="Arial" w:hAnsi="Arial"/>
          <w:sz w:val="18"/>
          <w:szCs w:val="18"/>
          <w:color w:val="auto"/>
        </w:rPr>
        <w:t>PSU goals for fiscal year 2025 were measured based on Gross Profit (70% weighting) and Adjusted EBITDA (30% weighting). Each measure had a threshold, target, and maximum goal.</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If the Company achieved less than threshold performance with respect to any financial performance metric, the payout achieved for that metric is 0%.</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Additionally, if the Adjusted EBITDA threshold is not met, Gross Profit payout is capped at target. For performance between threshold and target or between target and maximum, the payout is determined by linear interpolation meaning the relationship between achievement and funding for each of the financial metrics is 1:1 (i.e. a 1% increase/decrease in attainment results in a 1% increase/decrease in funding).</w:t>
      </w:r>
    </w:p>
    <w:p>
      <w:pPr>
        <w:spacing w:after="0" w:line="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Compensation Committee believes Gross Profit and Adjusted EBITDA are the two most critical financial performance measures of the Company’s ability to achieve long-term growth, and thus the same metrics are used for both the short- and long-term incentive plans.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2025 PSU Achievement</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Each year, the Compensation Committee reviews the PSU awards whose performance period ended during the applicable fiscal year to determine whether the applicable performance criteria have been satisfied. With respect to the PSUs, a weighted average performance vesting of 136.2% was achieved for fiscal year 2025. The following table compares the actual results achieved against the target goals for the 2025 performance period.</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920" w:type="dxa"/>
            <w:vAlign w:val="bottom"/>
            <w:tcBorders>
              <w:top w:val="single" w:sz="8" w:color="auto"/>
              <w:left w:val="single" w:sz="8" w:color="auto"/>
              <w:right w:val="single" w:sz="8" w:color="auto"/>
            </w:tcBorders>
            <w:vMerge w:val="restart"/>
            <w:shd w:val="clear" w:color="auto" w:fill="929292"/>
          </w:tcPr>
          <w:p>
            <w:pPr>
              <w:ind w:left="400"/>
              <w:spacing w:after="0"/>
              <w:rPr>
                <w:sz w:val="20"/>
                <w:szCs w:val="20"/>
                <w:color w:val="auto"/>
              </w:rPr>
            </w:pPr>
            <w:r>
              <w:rPr>
                <w:rFonts w:ascii="Arial" w:cs="Arial" w:eastAsia="Arial" w:hAnsi="Arial"/>
                <w:sz w:val="16"/>
                <w:szCs w:val="16"/>
                <w:b w:val="1"/>
                <w:bCs w:val="1"/>
                <w:color w:val="FFFFFF"/>
              </w:rPr>
              <w:t>PSU Measures</w:t>
            </w:r>
          </w:p>
        </w:tc>
        <w:tc>
          <w:tcPr>
            <w:tcW w:w="1340" w:type="dxa"/>
            <w:vAlign w:val="bottom"/>
            <w:tcBorders>
              <w:top w:val="single" w:sz="8" w:color="auto"/>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Weighting</w:t>
            </w:r>
          </w:p>
        </w:tc>
        <w:tc>
          <w:tcPr>
            <w:tcW w:w="1620" w:type="dxa"/>
            <w:vAlign w:val="bottom"/>
            <w:tcBorders>
              <w:top w:val="single" w:sz="8" w:color="auto"/>
              <w:right w:val="single" w:sz="8" w:color="auto"/>
            </w:tcBorders>
            <w:shd w:val="clear" w:color="auto" w:fill="929292"/>
          </w:tcPr>
          <w:p>
            <w:pPr>
              <w:jc w:val="center"/>
              <w:spacing w:after="0" w:line="175" w:lineRule="exact"/>
              <w:rPr>
                <w:sz w:val="20"/>
                <w:szCs w:val="20"/>
                <w:color w:val="auto"/>
              </w:rPr>
            </w:pPr>
            <w:r>
              <w:rPr>
                <w:rFonts w:ascii="Arial" w:cs="Arial" w:eastAsia="Arial" w:hAnsi="Arial"/>
                <w:sz w:val="16"/>
                <w:szCs w:val="16"/>
                <w:b w:val="1"/>
                <w:bCs w:val="1"/>
                <w:color w:val="FFFFFF"/>
              </w:rPr>
              <w:t>Threshold</w:t>
            </w:r>
          </w:p>
        </w:tc>
        <w:tc>
          <w:tcPr>
            <w:tcW w:w="1700" w:type="dxa"/>
            <w:vAlign w:val="bottom"/>
            <w:tcBorders>
              <w:top w:val="single" w:sz="8" w:color="auto"/>
              <w:right w:val="single" w:sz="8" w:color="auto"/>
            </w:tcBorders>
            <w:shd w:val="clear" w:color="auto" w:fill="929292"/>
          </w:tcPr>
          <w:p>
            <w:pPr>
              <w:jc w:val="center"/>
              <w:spacing w:after="0" w:line="175" w:lineRule="exact"/>
              <w:rPr>
                <w:sz w:val="20"/>
                <w:szCs w:val="20"/>
                <w:color w:val="auto"/>
              </w:rPr>
            </w:pPr>
            <w:r>
              <w:rPr>
                <w:rFonts w:ascii="Arial" w:cs="Arial" w:eastAsia="Arial" w:hAnsi="Arial"/>
                <w:sz w:val="16"/>
                <w:szCs w:val="16"/>
                <w:b w:val="1"/>
                <w:bCs w:val="1"/>
                <w:color w:val="FFFFFF"/>
                <w:w w:val="98"/>
              </w:rPr>
              <w:t>Target</w:t>
            </w:r>
          </w:p>
        </w:tc>
        <w:tc>
          <w:tcPr>
            <w:tcW w:w="1760" w:type="dxa"/>
            <w:vAlign w:val="bottom"/>
            <w:tcBorders>
              <w:top w:val="single" w:sz="8" w:color="auto"/>
              <w:right w:val="single" w:sz="8" w:color="auto"/>
            </w:tcBorders>
            <w:shd w:val="clear" w:color="auto" w:fill="929292"/>
          </w:tcPr>
          <w:p>
            <w:pPr>
              <w:jc w:val="center"/>
              <w:spacing w:after="0" w:line="175" w:lineRule="exact"/>
              <w:rPr>
                <w:sz w:val="20"/>
                <w:szCs w:val="20"/>
                <w:color w:val="auto"/>
              </w:rPr>
            </w:pPr>
            <w:r>
              <w:rPr>
                <w:rFonts w:ascii="Arial" w:cs="Arial" w:eastAsia="Arial" w:hAnsi="Arial"/>
                <w:sz w:val="16"/>
                <w:szCs w:val="16"/>
                <w:b w:val="1"/>
                <w:bCs w:val="1"/>
                <w:color w:val="FFFFFF"/>
              </w:rPr>
              <w:t>Max</w:t>
            </w:r>
          </w:p>
        </w:tc>
        <w:tc>
          <w:tcPr>
            <w:tcW w:w="1220" w:type="dxa"/>
            <w:vAlign w:val="bottom"/>
            <w:tcBorders>
              <w:top w:val="single" w:sz="8" w:color="auto"/>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Actual</w:t>
            </w:r>
          </w:p>
        </w:tc>
        <w:tc>
          <w:tcPr>
            <w:tcW w:w="1660" w:type="dxa"/>
            <w:vAlign w:val="bottom"/>
            <w:tcBorders>
              <w:top w:val="single" w:sz="8" w:color="auto"/>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Achievement</w:t>
            </w:r>
          </w:p>
        </w:tc>
        <w:tc>
          <w:tcPr>
            <w:tcW w:w="0" w:type="dxa"/>
            <w:vAlign w:val="bottom"/>
          </w:tcPr>
          <w:p>
            <w:pPr>
              <w:spacing w:after="0"/>
              <w:rPr>
                <w:sz w:val="1"/>
                <w:szCs w:val="1"/>
                <w:color w:val="auto"/>
              </w:rPr>
            </w:pPr>
          </w:p>
        </w:tc>
      </w:tr>
      <w:tr>
        <w:trPr>
          <w:trHeight w:val="141"/>
        </w:trPr>
        <w:tc>
          <w:tcPr>
            <w:tcW w:w="1920" w:type="dxa"/>
            <w:vAlign w:val="bottom"/>
            <w:tcBorders>
              <w:left w:val="single" w:sz="8" w:color="auto"/>
              <w:right w:val="single" w:sz="8" w:color="auto"/>
            </w:tcBorders>
            <w:vMerge w:val="continue"/>
            <w:shd w:val="clear" w:color="auto" w:fill="929292"/>
          </w:tcPr>
          <w:p>
            <w:pPr>
              <w:spacing w:after="0"/>
              <w:rPr>
                <w:sz w:val="12"/>
                <w:szCs w:val="12"/>
                <w:color w:val="auto"/>
              </w:rPr>
            </w:pPr>
          </w:p>
        </w:tc>
        <w:tc>
          <w:tcPr>
            <w:tcW w:w="134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(50% Payout)</w:t>
            </w:r>
          </w:p>
        </w:tc>
        <w:tc>
          <w:tcPr>
            <w:tcW w:w="170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(100% Payout)</w:t>
            </w:r>
          </w:p>
        </w:tc>
        <w:tc>
          <w:tcPr>
            <w:tcW w:w="176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6"/>
                <w:szCs w:val="16"/>
                <w:b w:val="1"/>
                <w:bCs w:val="1"/>
                <w:color w:val="FFFFFF"/>
              </w:rPr>
              <w:t>(200% Payout)</w:t>
            </w:r>
          </w:p>
        </w:tc>
        <w:tc>
          <w:tcPr>
            <w:tcW w:w="1220" w:type="dxa"/>
            <w:vAlign w:val="bottom"/>
            <w:tcBorders>
              <w:right w:val="single" w:sz="8" w:color="auto"/>
            </w:tcBorders>
            <w:vMerge w:val="continue"/>
            <w:shd w:val="clear" w:color="auto" w:fill="929292"/>
          </w:tcPr>
          <w:p>
            <w:pPr>
              <w:spacing w:after="0"/>
              <w:rPr>
                <w:sz w:val="12"/>
                <w:szCs w:val="12"/>
                <w:color w:val="auto"/>
              </w:rPr>
            </w:pPr>
          </w:p>
        </w:tc>
        <w:tc>
          <w:tcPr>
            <w:tcW w:w="1660" w:type="dxa"/>
            <w:vAlign w:val="bottom"/>
            <w:tcBorders>
              <w:right w:val="single" w:sz="8" w:color="auto"/>
            </w:tcBorders>
            <w:vMerge w:val="continue"/>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tcBorders>
              <w:left w:val="single" w:sz="8" w:color="auto"/>
              <w:bottom w:val="single" w:sz="8" w:color="auto"/>
              <w:right w:val="single" w:sz="8" w:color="auto"/>
            </w:tcBorders>
            <w:shd w:val="clear" w:color="auto" w:fill="929292"/>
          </w:tcPr>
          <w:p>
            <w:pPr>
              <w:spacing w:after="0"/>
              <w:rPr>
                <w:sz w:val="6"/>
                <w:szCs w:val="6"/>
                <w:color w:val="auto"/>
              </w:rPr>
            </w:pPr>
          </w:p>
        </w:tc>
        <w:tc>
          <w:tcPr>
            <w:tcW w:w="1340" w:type="dxa"/>
            <w:vAlign w:val="bottom"/>
            <w:tcBorders>
              <w:bottom w:val="single" w:sz="8" w:color="auto"/>
              <w:right w:val="single" w:sz="8" w:color="auto"/>
            </w:tcBorders>
            <w:shd w:val="clear" w:color="auto" w:fill="929292"/>
          </w:tcPr>
          <w:p>
            <w:pPr>
              <w:spacing w:after="0"/>
              <w:rPr>
                <w:sz w:val="6"/>
                <w:szCs w:val="6"/>
                <w:color w:val="auto"/>
              </w:rPr>
            </w:pPr>
          </w:p>
        </w:tc>
        <w:tc>
          <w:tcPr>
            <w:tcW w:w="1620" w:type="dxa"/>
            <w:vAlign w:val="bottom"/>
            <w:tcBorders>
              <w:bottom w:val="single" w:sz="8" w:color="auto"/>
              <w:right w:val="single" w:sz="8" w:color="auto"/>
            </w:tcBorders>
            <w:vMerge w:val="continue"/>
            <w:shd w:val="clear" w:color="auto" w:fill="929292"/>
          </w:tcPr>
          <w:p>
            <w:pPr>
              <w:spacing w:after="0"/>
              <w:rPr>
                <w:sz w:val="6"/>
                <w:szCs w:val="6"/>
                <w:color w:val="auto"/>
              </w:rPr>
            </w:pPr>
          </w:p>
        </w:tc>
        <w:tc>
          <w:tcPr>
            <w:tcW w:w="1700" w:type="dxa"/>
            <w:vAlign w:val="bottom"/>
            <w:tcBorders>
              <w:bottom w:val="single" w:sz="8" w:color="auto"/>
              <w:right w:val="single" w:sz="8" w:color="auto"/>
            </w:tcBorders>
            <w:vMerge w:val="continue"/>
            <w:shd w:val="clear" w:color="auto" w:fill="929292"/>
          </w:tcPr>
          <w:p>
            <w:pPr>
              <w:spacing w:after="0"/>
              <w:rPr>
                <w:sz w:val="6"/>
                <w:szCs w:val="6"/>
                <w:color w:val="auto"/>
              </w:rPr>
            </w:pPr>
          </w:p>
        </w:tc>
        <w:tc>
          <w:tcPr>
            <w:tcW w:w="1760" w:type="dxa"/>
            <w:vAlign w:val="bottom"/>
            <w:tcBorders>
              <w:bottom w:val="single" w:sz="8" w:color="auto"/>
              <w:right w:val="single" w:sz="8" w:color="auto"/>
            </w:tcBorders>
            <w:vMerge w:val="continue"/>
            <w:shd w:val="clear" w:color="auto" w:fill="929292"/>
          </w:tcPr>
          <w:p>
            <w:pPr>
              <w:spacing w:after="0"/>
              <w:rPr>
                <w:sz w:val="6"/>
                <w:szCs w:val="6"/>
                <w:color w:val="auto"/>
              </w:rPr>
            </w:pPr>
          </w:p>
        </w:tc>
        <w:tc>
          <w:tcPr>
            <w:tcW w:w="1220" w:type="dxa"/>
            <w:vAlign w:val="bottom"/>
            <w:tcBorders>
              <w:bottom w:val="single" w:sz="8" w:color="auto"/>
              <w:right w:val="single" w:sz="8" w:color="auto"/>
            </w:tcBorders>
            <w:shd w:val="clear" w:color="auto" w:fill="929292"/>
          </w:tcPr>
          <w:p>
            <w:pPr>
              <w:spacing w:after="0"/>
              <w:rPr>
                <w:sz w:val="6"/>
                <w:szCs w:val="6"/>
                <w:color w:val="auto"/>
              </w:rPr>
            </w:pPr>
          </w:p>
        </w:tc>
        <w:tc>
          <w:tcPr>
            <w:tcW w:w="1660" w:type="dxa"/>
            <w:vAlign w:val="bottom"/>
            <w:tcBorders>
              <w:bottom w:val="single" w:sz="8" w:color="auto"/>
              <w:right w:val="single" w:sz="8" w:color="auto"/>
            </w:tcBorders>
            <w:shd w:val="clear" w:color="auto" w:fill="929292"/>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92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Gross Profit</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70%</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$314.3M</w:t>
            </w:r>
          </w:p>
        </w:tc>
        <w:tc>
          <w:tcPr>
            <w:tcW w:w="17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$419.1M</w:t>
            </w:r>
          </w:p>
        </w:tc>
        <w:tc>
          <w:tcPr>
            <w:tcW w:w="17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$628.7M</w:t>
            </w:r>
          </w:p>
        </w:tc>
        <w:tc>
          <w:tcPr>
            <w:tcW w:w="12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$437.7M</w:t>
            </w:r>
          </w:p>
        </w:tc>
        <w:tc>
          <w:tcPr>
            <w:tcW w:w="16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108.85%</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Adjusted EBITDA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$51.8M</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$69.0M</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$103.5M</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$110.0M</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bottom w:val="single" w:sz="8" w:color="auto"/>
              <w:right w:val="single" w:sz="8" w:color="DBDBDB"/>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Weighted Average</w:t>
            </w:r>
          </w:p>
        </w:tc>
        <w:tc>
          <w:tcPr>
            <w:tcW w:w="1340" w:type="dxa"/>
            <w:vAlign w:val="bottom"/>
            <w:tcBorders>
              <w:bottom w:val="single" w:sz="8" w:color="auto"/>
              <w:right w:val="single" w:sz="8" w:color="DBDBDB"/>
            </w:tcBorders>
            <w:shd w:val="clear" w:color="auto" w:fill="DBDBDB"/>
          </w:tcPr>
          <w:p>
            <w:pPr>
              <w:spacing w:after="0"/>
              <w:rPr>
                <w:sz w:val="18"/>
                <w:szCs w:val="18"/>
                <w:color w:val="auto"/>
              </w:rPr>
            </w:pPr>
          </w:p>
        </w:tc>
        <w:tc>
          <w:tcPr>
            <w:tcW w:w="1620" w:type="dxa"/>
            <w:vAlign w:val="bottom"/>
            <w:tcBorders>
              <w:bottom w:val="single" w:sz="8" w:color="auto"/>
              <w:right w:val="single" w:sz="8" w:color="DBDBDB"/>
            </w:tcBorders>
            <w:shd w:val="clear" w:color="auto" w:fill="DBDBDB"/>
          </w:tcPr>
          <w:p>
            <w:pPr>
              <w:spacing w:after="0"/>
              <w:rPr>
                <w:sz w:val="18"/>
                <w:szCs w:val="18"/>
                <w:color w:val="auto"/>
              </w:rPr>
            </w:pPr>
          </w:p>
        </w:tc>
        <w:tc>
          <w:tcPr>
            <w:tcW w:w="1700" w:type="dxa"/>
            <w:vAlign w:val="bottom"/>
            <w:tcBorders>
              <w:bottom w:val="single" w:sz="8" w:color="auto"/>
              <w:right w:val="single" w:sz="8" w:color="DBDBDB"/>
            </w:tcBorders>
            <w:shd w:val="clear" w:color="auto" w:fill="DBDBDB"/>
          </w:tcPr>
          <w:p>
            <w:pPr>
              <w:spacing w:after="0"/>
              <w:rPr>
                <w:sz w:val="18"/>
                <w:szCs w:val="18"/>
                <w:color w:val="auto"/>
              </w:rPr>
            </w:pPr>
          </w:p>
        </w:tc>
        <w:tc>
          <w:tcPr>
            <w:tcW w:w="1760" w:type="dxa"/>
            <w:vAlign w:val="bottom"/>
            <w:tcBorders>
              <w:bottom w:val="single" w:sz="8" w:color="auto"/>
              <w:right w:val="single" w:sz="8" w:color="DBDBDB"/>
            </w:tcBorders>
            <w:shd w:val="clear" w:color="auto" w:fill="DBDBDB"/>
          </w:tcPr>
          <w:p>
            <w:pPr>
              <w:spacing w:after="0"/>
              <w:rPr>
                <w:sz w:val="18"/>
                <w:szCs w:val="18"/>
                <w:color w:val="auto"/>
              </w:rPr>
            </w:pPr>
          </w:p>
        </w:tc>
        <w:tc>
          <w:tcPr>
            <w:tcW w:w="1220" w:type="dxa"/>
            <w:vAlign w:val="bottom"/>
            <w:tcBorders>
              <w:bottom w:val="single" w:sz="8" w:color="auto"/>
              <w:right w:val="single" w:sz="8" w:color="auto"/>
            </w:tcBorders>
            <w:shd w:val="clear" w:color="auto" w:fill="DBDBDB"/>
          </w:tcPr>
          <w:p>
            <w:pPr>
              <w:spacing w:after="0"/>
              <w:rPr>
                <w:sz w:val="18"/>
                <w:szCs w:val="18"/>
                <w:color w:val="auto"/>
              </w:rPr>
            </w:pPr>
          </w:p>
        </w:tc>
        <w:tc>
          <w:tcPr>
            <w:tcW w:w="16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136.20%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on the performance in the table above, the PSU awards for fiscal year 2025 were earned as follows: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80" w:type="dxa"/>
            <w:vAlign w:val="bottom"/>
            <w:tcBorders>
              <w:top w:val="single" w:sz="8" w:color="auto"/>
              <w:left w:val="single" w:sz="8" w:color="auto"/>
              <w:right w:val="single" w:sz="8" w:color="auto"/>
            </w:tcBorders>
            <w:vMerge w:val="restart"/>
            <w:shd w:val="clear" w:color="auto" w:fill="929292"/>
          </w:tcPr>
          <w:p>
            <w:pPr>
              <w:ind w:left="780"/>
              <w:spacing w:after="0"/>
              <w:rPr>
                <w:sz w:val="20"/>
                <w:szCs w:val="20"/>
                <w:color w:val="auto"/>
              </w:rPr>
            </w:pPr>
            <w:r>
              <w:rPr>
                <w:rFonts w:ascii="Arial" w:cs="Arial" w:eastAsia="Arial" w:hAnsi="Arial"/>
                <w:sz w:val="18"/>
                <w:szCs w:val="18"/>
                <w:b w:val="1"/>
                <w:bCs w:val="1"/>
                <w:color w:val="FFFFFF"/>
              </w:rPr>
              <w:t>Named Executive Officer</w:t>
            </w:r>
          </w:p>
        </w:tc>
        <w:tc>
          <w:tcPr>
            <w:tcW w:w="3860" w:type="dxa"/>
            <w:vAlign w:val="bottom"/>
            <w:tcBorders>
              <w:top w:val="single" w:sz="8" w:color="auto"/>
              <w:right w:val="single" w:sz="8" w:color="auto"/>
            </w:tcBorders>
            <w:vMerge w:val="restart"/>
            <w:shd w:val="clear" w:color="auto" w:fill="929292"/>
          </w:tcPr>
          <w:p>
            <w:pPr>
              <w:ind w:left="920"/>
              <w:spacing w:after="0"/>
              <w:rPr>
                <w:sz w:val="20"/>
                <w:szCs w:val="20"/>
                <w:color w:val="auto"/>
              </w:rPr>
            </w:pPr>
            <w:r>
              <w:rPr>
                <w:rFonts w:ascii="Arial" w:cs="Arial" w:eastAsia="Arial" w:hAnsi="Arial"/>
                <w:sz w:val="18"/>
                <w:szCs w:val="18"/>
                <w:b w:val="1"/>
                <w:bCs w:val="1"/>
                <w:color w:val="FFFFFF"/>
              </w:rPr>
              <w:t>Target Number of PSUs</w:t>
            </w:r>
          </w:p>
        </w:tc>
        <w:tc>
          <w:tcPr>
            <w:tcW w:w="3720" w:type="dxa"/>
            <w:vAlign w:val="bottom"/>
            <w:tcBorders>
              <w:top w:val="single" w:sz="8" w:color="auto"/>
              <w:right w:val="single" w:sz="8" w:color="auto"/>
            </w:tcBorders>
            <w:shd w:val="clear" w:color="auto" w:fill="929292"/>
          </w:tcPr>
          <w:p>
            <w:pPr>
              <w:jc w:val="center"/>
              <w:spacing w:after="0" w:line="189" w:lineRule="exact"/>
              <w:rPr>
                <w:sz w:val="20"/>
                <w:szCs w:val="20"/>
                <w:color w:val="auto"/>
              </w:rPr>
            </w:pPr>
            <w:r>
              <w:rPr>
                <w:rFonts w:ascii="Arial" w:cs="Arial" w:eastAsia="Arial" w:hAnsi="Arial"/>
                <w:sz w:val="18"/>
                <w:szCs w:val="18"/>
                <w:b w:val="1"/>
                <w:bCs w:val="1"/>
                <w:color w:val="FFFFFF"/>
                <w:w w:val="99"/>
              </w:rPr>
              <w:t>Actual Number of Performance-Vested</w:t>
            </w:r>
          </w:p>
        </w:tc>
        <w:tc>
          <w:tcPr>
            <w:tcW w:w="0" w:type="dxa"/>
            <w:vAlign w:val="bottom"/>
          </w:tcPr>
          <w:p>
            <w:pPr>
              <w:spacing w:after="0"/>
              <w:rPr>
                <w:sz w:val="1"/>
                <w:szCs w:val="1"/>
                <w:color w:val="auto"/>
              </w:rPr>
            </w:pPr>
          </w:p>
        </w:tc>
      </w:tr>
      <w:tr>
        <w:trPr>
          <w:trHeight w:val="243"/>
        </w:trPr>
        <w:tc>
          <w:tcPr>
            <w:tcW w:w="3680" w:type="dxa"/>
            <w:vAlign w:val="bottom"/>
            <w:tcBorders>
              <w:left w:val="single" w:sz="8" w:color="auto"/>
              <w:bottom w:val="single" w:sz="8" w:color="auto"/>
              <w:right w:val="single" w:sz="8" w:color="auto"/>
            </w:tcBorders>
            <w:vMerge w:val="continue"/>
            <w:shd w:val="clear" w:color="auto" w:fill="929292"/>
          </w:tcPr>
          <w:p>
            <w:pPr>
              <w:spacing w:after="0"/>
              <w:rPr>
                <w:sz w:val="21"/>
                <w:szCs w:val="21"/>
                <w:color w:val="auto"/>
              </w:rPr>
            </w:pPr>
          </w:p>
        </w:tc>
        <w:tc>
          <w:tcPr>
            <w:tcW w:w="3860" w:type="dxa"/>
            <w:vAlign w:val="bottom"/>
            <w:tcBorders>
              <w:bottom w:val="single" w:sz="8" w:color="auto"/>
              <w:right w:val="single" w:sz="8" w:color="auto"/>
            </w:tcBorders>
            <w:vMerge w:val="continue"/>
            <w:shd w:val="clear" w:color="auto" w:fill="929292"/>
          </w:tcPr>
          <w:p>
            <w:pPr>
              <w:spacing w:after="0"/>
              <w:rPr>
                <w:sz w:val="21"/>
                <w:szCs w:val="21"/>
                <w:color w:val="auto"/>
              </w:rPr>
            </w:pPr>
          </w:p>
        </w:tc>
        <w:tc>
          <w:tcPr>
            <w:tcW w:w="37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7"/>
              </w:rPr>
              <w:t>PSUs</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Mike Milotich</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215,159</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293,035</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Simon Khalaf</w:t>
            </w:r>
          </w:p>
        </w:tc>
        <w:tc>
          <w:tcPr>
            <w:tcW w:w="38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0</w:t>
            </w:r>
          </w:p>
        </w:tc>
        <w:tc>
          <w:tcPr>
            <w:tcW w:w="37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Todd Pollak</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180,740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246,158</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Crystal Sumner</w:t>
            </w:r>
          </w:p>
        </w:tc>
        <w:tc>
          <w:tcPr>
            <w:tcW w:w="38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8"/>
              </w:rPr>
              <w:t>200,780</w:t>
            </w:r>
          </w:p>
        </w:tc>
        <w:tc>
          <w:tcPr>
            <w:tcW w:w="37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273,452</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Retention Awards &amp; CEO Promotion Compensation</w:t>
      </w:r>
    </w:p>
    <w:p>
      <w:pPr>
        <w:spacing w:after="0" w:line="1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Mr. Khalaf’s departure in February 2025, Mr. Milotich was appointed Interim Chief Executive Officer and retention awards were provided to each NEO. In connection with his service as Interim Chief Executive Officer, Mr. Milotich received, during the period he served as Interim Chief Executive Officer, (i) an annual base salary of $550,000; (ii) a target annual bonus at the rate of 75% of his annual base salary, and (iii) a one-time retention award of $2,000,000, which was paid (a) 50% in cash on the CEO Appointment Date; and (b) 50% in RSUs, which vested on the date that was six months following the CEO Appointment Date. These RSUs are subject to the</w:t>
      </w:r>
    </w:p>
    <w:p>
      <w:pPr>
        <w:spacing w:after="0" w:line="200" w:lineRule="exact"/>
        <w:rPr>
          <w:sz w:val="20"/>
          <w:szCs w:val="20"/>
          <w:color w:val="auto"/>
        </w:rPr>
      </w:pPr>
    </w:p>
    <w:p>
      <w:pPr>
        <w:spacing w:after="0" w:line="3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49" w:name="page50"/>
    <w:bookmarkEnd w:id="49"/>
    <w:p>
      <w:pPr>
        <w:jc w:val="both"/>
        <w:spacing w:after="0" w:line="287" w:lineRule="auto"/>
        <w:rPr>
          <w:sz w:val="20"/>
          <w:szCs w:val="20"/>
          <w:color w:val="auto"/>
        </w:rPr>
      </w:pPr>
      <w:r>
        <w:rPr>
          <w:rFonts w:ascii="Arial" w:cs="Arial" w:eastAsia="Arial" w:hAnsi="Arial"/>
          <w:sz w:val="18"/>
          <w:szCs w:val="18"/>
          <w:color w:val="auto"/>
        </w:rPr>
        <w:t>terms and conditions of the Marqeta 2021 Stock Option and Incentive Plan (the “2021 Plan”) and the applicable award agreement thereunder.</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Mr. Milotich’s appointment as CEO in September 2025, the Board considered benchmarked data provided by Compensia, including recent technology CEO promotion packages. Cash compensation was aligned to the levels of the former CEO, at $ 600,000 base salary and a bonus target of 100% of base salary. Regarding equity compensation, the Board considered ranges based on Mr. Milotich’s fiscal year 2025 compensation in his prior CFO role as well as equity holdings at the time in comparison to peer CEO benchmarks, and approved a one-time promotion grant of $5 million in RSUs which vest quarterly over the next three years in advance of a transition to CEO-level long-term incentives in fiscal year 2026. The Board believes the one-time promotion grant, in combination with existing holdings and anticipated fiscal year 2026 refresh, brings total unvested values in line with the low end of new hire CEO value.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Sumner and Mr. Pollak each received a one-time retention award of $1,600,000, on the following terms and conditions: $600,000 of each retention award was paid in cash to the respective recipient on the CEO Appointment Date; and $1,000,000 of each retention award was granted in RSUs to the respective recipient which vested on the date that was six months after the CEO Appointment Date, and were subject to the NEO’s continued employment with the Company through such date. The RSUs are subject to the terms and conditions of the Company’s 2021 Stock Option and Incentive Plan and the applicable award agreement thereunder.</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Employment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employment offer letters with our NEOs, providing for at-will employment and setting forth initial base salaries, target bonus, and equity information, as well as eligibility to participate in Company benefit plans. Our NEOs are subject to our proprietary information and inventions agreement, and continue to remain subject to certain provisions of the agreement following termination.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Simon Khalaf</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Khalaf entered into a separation agreement with the Company, effective March 1, 2025. The Company determined to treat this as an involuntary separation, and in accordance with the terms of the Executive Severance Plan and his offer letter, Mr. Khalaf received (i) $600,000, representing twelve months of base salary, (ii) $600,000, representing 100% of his annual bonus target, and (iii) twelve months of continued health care coverage under COBRA, with a value of $43,128. This compensation was conditioned upon execution by Mr. Khalaf of a customary general release of claims and confidentiality covenants set forth in the separation agreement. Pursuant to his separation agreement, Mr. Khalaf was not entitled to additional vesting of his equity awards following March 1, 2025.</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Granting Policy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has adopted an Equity Award Granting Policy (the “Equity Policy”), which applies to the Company’s grant of equity-based awards under the Company’s 2021 Plan or any other equity compensation plans as the Company may adopt from time to time. The Equity Policy provides that:</w:t>
      </w:r>
    </w:p>
    <w:p>
      <w:pPr>
        <w:spacing w:after="0" w:line="63" w:lineRule="exact"/>
        <w:rPr>
          <w:sz w:val="20"/>
          <w:szCs w:val="20"/>
          <w:color w:val="auto"/>
        </w:rPr>
      </w:pPr>
    </w:p>
    <w:p>
      <w:pPr>
        <w:jc w:val="both"/>
        <w:ind w:left="660" w:hanging="328"/>
        <w:spacing w:after="0" w:line="262"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RSUs and other full-value equity awards denominated in U.S. dollars will be converted into a number of shares by dividing the dollar value of the award by the average closing market price on Nasdaq (or such other market on which the shares are then principally listed) of one share for the twenty (20) consecutive trading day period ending on the last trading day prior to the grant date, with the result rounded down to the nearest whole share.</w:t>
      </w:r>
    </w:p>
    <w:p>
      <w:pPr>
        <w:spacing w:after="0" w:line="14"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denominated in U.S. dollars will be converted into a number of shares by dividing the dollar value of the award by the fair value on grant date calculated under ASC Topic 718, with the result rounded down to the nearest whole share.</w:t>
      </w:r>
    </w:p>
    <w:p>
      <w:pPr>
        <w:spacing w:after="0" w:line="320"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or prior to the 10th day of each month, management will submit its equity award recommendations.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Only grantees who are in a “Service Relationship” (as defined in the 2021 Plan) on the grant date may be granted equity awards.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RSUs granted to new hires are expected to vest over a three-year period, with one-third of the RSU vesting on the first quarterly vest date that occurs following the one-year anniversary of the vesting commencement date and 1/12th of the RSUs will vest on each quarterly vest date thereafter, subject to the Participant (as defined in the Equity Policy) continuing in a Service Relationship through each applicable vesting date.</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RSUs granted to Participants that are not new hires are expected to vest over a three-year period, with 1/12th of the RSUs vesting on the first quarterly vest date that occurs following the vesting commencement date and 1/12th of the RSUs vesting on each quarterly vest date thereafter, subject to the Participant continuing in a Service Relationship through each applicable vest date.</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Options granted to new hires are expected to vest over a three-year period, with 1/3rd of the options vesting on the one-year anniversary of the Participant’s service start date and 1/36th of the options vesting each month thereafter on the same day of the month as the service start date, subject to the Participant continuing in a Service Relationship through each applicable vest date.</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Options granted to Participants that are not new hires are expected to vest over a three-year period, with 1/36th of the options vesting each month following the grant date on the same day of the month as the grant date (and if there is no corresponding day, the last day of such month), subject to the Participant continuing in a Service Relationship through each applicable vest date.</w:t>
      </w:r>
    </w:p>
    <w:p>
      <w:pPr>
        <w:spacing w:after="0" w:line="9" w:lineRule="exact"/>
        <w:rPr>
          <w:sz w:val="20"/>
          <w:szCs w:val="20"/>
          <w:color w:val="auto"/>
        </w:rPr>
      </w:pPr>
    </w:p>
    <w:p>
      <w:pPr>
        <w:jc w:val="both"/>
        <w:ind w:left="660" w:hanging="323"/>
        <w:spacing w:after="0" w:line="262" w:lineRule="auto"/>
        <w:tabs>
          <w:tab w:leader="none" w:pos="640" w:val="left"/>
        </w:tabs>
        <w:rPr>
          <w:sz w:val="20"/>
          <w:szCs w:val="20"/>
          <w:color w:val="auto"/>
        </w:rPr>
      </w:pPr>
      <w:r>
        <w:rPr>
          <w:rFonts w:ascii="Arial" w:cs="Arial" w:eastAsia="Arial" w:hAnsi="Arial"/>
          <w:sz w:val="18"/>
          <w:szCs w:val="18"/>
          <w:color w:val="auto"/>
        </w:rPr>
        <w:t>•</w:t>
        <w:tab/>
        <w:t>Equity awards may be approved by the Awarding Entity (as defined in the Equity Policy) by written consent, setting forth the name of the Participant, the value (for value-based awards) or the number of shares subject to the equity awards to be granted, grant date and the vesting schedule. Any amendments to outstanding equity awards shall similarly be approved by the Awarding Entity by written consent setting forth the details of the applicable amendment.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following practices regarding equity compensation grants to our executive officers:</w:t>
      </w:r>
    </w:p>
    <w:p>
      <w:pPr>
        <w:spacing w:after="0" w:line="11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Beginning in fiscal year 2024, the Compensation Committee decided that it will no longer grant stock options.</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do not strategically time long-term incentive awards in coordination with the release of material non-public information (“MNPI”). We have not adopted a formal policy related to timing of awards of options in relation to the disclosure of MNPI. As discussed in more detail above, the Compensation Committee has robust policies that dictate the process undertaken to review the Company’s prior results and the Company’s future strategy, and to grant incentive awards to our NEOs according to these predetermined procedures.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not timed the release of MNPI for the purpose of affecting the value of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Broad-Based Benefits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officers, including our NEOs, are eligible to participate in the same employee benefit programs that are generally available to other full-time employees in the U.S., including a 401(k) plan with company sponsored matching contributions; medical, dental, and vision insurance; health savings accounts; life and disability insurance; flexible spending accounts; wellness and commuter benefits; monthly stipend for home office expenses; employee stock purchase plan; and various time off and leave of absence programs. These benefits are offered to all employees, including executive officers, in order to attract and retain employees. We do not offer defined benefit pension or other supplementary retirement benefits to employees.</w:t>
      </w:r>
    </w:p>
    <w:p>
      <w:pPr>
        <w:spacing w:after="0" w:line="200" w:lineRule="exact"/>
        <w:rPr>
          <w:sz w:val="20"/>
          <w:szCs w:val="20"/>
          <w:color w:val="auto"/>
        </w:rPr>
      </w:pP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reward long-standing service to us, to make our executive officers more efficient and effective, and for recruitment and retention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offer letters and Executive Severance Plan provide our executive officers, including NEOs, and certain key employees with certain post-employment payments and benefits in the event of a qualifying termination of employment, including in connection with a change in control of the Company. See the section entitled “Potential Payments on Termination or Change of Control” in “Compensation Tables” for detailed information about these arrangements, including an estimate of the potential payments and benefits payable to our NEOs under these arrangements.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Given the nature and competitiveness of our industry, the Compensation Committee believes the severance and change in control provisions are essential elements of our executive compensation program and assist us in recruiting, retaining and developing key management talent.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 Hedging and Pledging Prohibitions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has adopted an Insider Trading Policy that applies to all our employees, directors, and officers. This policy governs the purchase, sale, and/or other dispositions of our securities by directors, officers and employees, and is reasonably designed to promote compliance with insider trading laws, rules and regulations, and any listing standards applicable to Marqeta. Among other things, it prohibits hedging or monetization transactions with respect to our common stock, including using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was filed as Exhibit 19.1 to our 2025 Annual Report. In addition, with regard to Marqeta’s trading in its own securities, it is our policy to comply with applicable federal securities laws and exchange listing standards.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Plans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directors and executive officers have adopted or may adopt written trading plans, also known as Exchange Act Rule 10b5-1 Plans, that provide for trading in our securities according to parameters established by the director or officer upon first entering into the plan, without subsequent direction or control by the director or officer. In limited circumstances, the director or officer may suspend or terminate his or her Rule 10b5-1 Plan. Rule 10b5-1 Plans adopted by our directors and officers (and any suspension or termination of those plans) must comply with the terms of our Insider Trading Policy.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2023, our Board adopted mandatory stock ownership guidelines for our executive officers and non-employee directors. These guidelines are intended to align the interests of our executive officers and non-employee directors with those of our stockholders by requiring them to acquire and maintain a meaningful equity stake in Marqeta.</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our guidelines, all executive officers are required to hold shares of Marqeta common stock equivalent in value to a multiple of their base salaries as set forth below. The multiples vary based on the executive officer’s role in the Company. The minimum dollar values for executive officers and non-employee directors under our current stock ownership guidelines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4280" w:type="dxa"/>
            <w:vAlign w:val="bottom"/>
            <w:tcBorders>
              <w:top w:val="single" w:sz="8" w:color="auto"/>
              <w:bottom w:val="single" w:sz="8" w:color="auto"/>
            </w:tcBorders>
            <w:shd w:val="clear" w:color="auto" w:fill="929292"/>
          </w:tcPr>
          <w:p>
            <w:pPr>
              <w:jc w:val="center"/>
              <w:ind w:right="510"/>
              <w:spacing w:after="0"/>
              <w:rPr>
                <w:sz w:val="20"/>
                <w:szCs w:val="20"/>
                <w:color w:val="auto"/>
              </w:rPr>
            </w:pPr>
            <w:r>
              <w:rPr>
                <w:rFonts w:ascii="Arial" w:cs="Arial" w:eastAsia="Arial" w:hAnsi="Arial"/>
                <w:sz w:val="18"/>
                <w:szCs w:val="18"/>
                <w:b w:val="1"/>
                <w:bCs w:val="1"/>
                <w:color w:val="FFFFFF"/>
              </w:rPr>
              <w:t>CEO</w:t>
            </w:r>
          </w:p>
        </w:tc>
        <w:tc>
          <w:tcPr>
            <w:tcW w:w="3060" w:type="dxa"/>
            <w:vAlign w:val="bottom"/>
            <w:tcBorders>
              <w:top w:val="single" w:sz="8" w:color="auto"/>
              <w:bottom w:val="single" w:sz="8" w:color="auto"/>
            </w:tcBorders>
            <w:shd w:val="clear" w:color="auto" w:fill="929292"/>
          </w:tcPr>
          <w:p>
            <w:pPr>
              <w:jc w:val="center"/>
              <w:ind w:right="450"/>
              <w:spacing w:after="0"/>
              <w:rPr>
                <w:sz w:val="20"/>
                <w:szCs w:val="20"/>
                <w:color w:val="auto"/>
              </w:rPr>
            </w:pPr>
            <w:r>
              <w:rPr>
                <w:rFonts w:ascii="Arial" w:cs="Arial" w:eastAsia="Arial" w:hAnsi="Arial"/>
                <w:sz w:val="18"/>
                <w:szCs w:val="18"/>
                <w:b w:val="1"/>
                <w:bCs w:val="1"/>
                <w:color w:val="FFFFFF"/>
                <w:w w:val="99"/>
              </w:rPr>
              <w:t>Other Executive Staff*</w:t>
            </w:r>
          </w:p>
        </w:tc>
        <w:tc>
          <w:tcPr>
            <w:tcW w:w="3780" w:type="dxa"/>
            <w:vAlign w:val="bottom"/>
            <w:tcBorders>
              <w:top w:val="single" w:sz="8" w:color="auto"/>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8"/>
                <w:szCs w:val="18"/>
                <w:b w:val="1"/>
                <w:bCs w:val="1"/>
                <w:color w:val="FFFFFF"/>
                <w:w w:val="99"/>
              </w:rPr>
              <w:t>Non-Employee Directors</w:t>
            </w:r>
          </w:p>
        </w:tc>
        <w:tc>
          <w:tcPr>
            <w:tcW w:w="40" w:type="dxa"/>
            <w:vAlign w:val="bottom"/>
          </w:tcPr>
          <w:p>
            <w:pPr>
              <w:spacing w:after="0"/>
              <w:rPr>
                <w:sz w:val="21"/>
                <w:szCs w:val="2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428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9"/>
              </w:rPr>
              <w:t>5.0x Base Salary</w:t>
            </w:r>
          </w:p>
        </w:tc>
        <w:tc>
          <w:tcPr>
            <w:tcW w:w="306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1.5x Base Salary</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5.0x Board Retainer</w:t>
            </w:r>
          </w:p>
        </w:tc>
        <w:tc>
          <w:tcPr>
            <w:tcW w:w="40" w:type="dxa"/>
            <w:vAlign w:val="bottom"/>
          </w:tcPr>
          <w:p>
            <w:pPr>
              <w:spacing w:after="0"/>
              <w:rPr>
                <w:sz w:val="19"/>
                <w:szCs w:val="19"/>
                <w:color w:val="auto"/>
              </w:rPr>
            </w:pPr>
          </w:p>
        </w:tc>
      </w:tr>
      <w:tr>
        <w:trPr>
          <w:trHeight w:val="416"/>
        </w:trPr>
        <w:tc>
          <w:tcPr>
            <w:tcW w:w="4360" w:type="dxa"/>
            <w:vAlign w:val="bottom"/>
            <w:gridSpan w:val="2"/>
          </w:tcPr>
          <w:p>
            <w:pPr>
              <w:spacing w:after="0"/>
              <w:rPr>
                <w:sz w:val="20"/>
                <w:szCs w:val="20"/>
                <w:color w:val="auto"/>
              </w:rPr>
            </w:pPr>
            <w:r>
              <w:rPr>
                <w:rFonts w:ascii="Arial" w:cs="Arial" w:eastAsia="Arial" w:hAnsi="Arial"/>
                <w:sz w:val="18"/>
                <w:szCs w:val="18"/>
                <w:color w:val="auto"/>
              </w:rPr>
              <w:t>*Includes all executive officers other than the CEO.</w:t>
            </w:r>
          </w:p>
        </w:tc>
        <w:tc>
          <w:tcPr>
            <w:tcW w:w="30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10"/>
        </w:trPr>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r>
      <w:tr>
        <w:trPr>
          <w:trHeight w:val="211"/>
        </w:trPr>
        <w:tc>
          <w:tcPr>
            <w:tcW w:w="80" w:type="dxa"/>
            <w:vAlign w:val="bottom"/>
            <w:tcBorders>
              <w:bottom w:val="single" w:sz="8" w:color="9A9A9A"/>
            </w:tcBorders>
          </w:tcPr>
          <w:p>
            <w:pPr>
              <w:spacing w:after="0"/>
              <w:rPr>
                <w:sz w:val="18"/>
                <w:szCs w:val="18"/>
                <w:color w:val="auto"/>
              </w:rPr>
            </w:pPr>
          </w:p>
        </w:tc>
        <w:tc>
          <w:tcPr>
            <w:tcW w:w="4280" w:type="dxa"/>
            <w:vAlign w:val="bottom"/>
            <w:tcBorders>
              <w:bottom w:val="single" w:sz="8" w:color="9A9A9A"/>
            </w:tcBorders>
          </w:tcPr>
          <w:p>
            <w:pPr>
              <w:spacing w:after="0"/>
              <w:rPr>
                <w:sz w:val="18"/>
                <w:szCs w:val="18"/>
                <w:color w:val="auto"/>
              </w:rPr>
            </w:pPr>
          </w:p>
        </w:tc>
        <w:tc>
          <w:tcPr>
            <w:tcW w:w="306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-376555</wp:posOffset>
            </wp:positionV>
            <wp:extent cx="110553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05535" cy="15430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t>Our executive officers must satisfy the required level of stock ownership under the guidelines by the later of (i) February 2028 or (ii) the fifth anniversary of their date of hire (or date of promotion to a position subject to the guidelines, or to a new multiple level within the executive officer guidelines). Our non-employee directors must satisfy the required level of stock ownership under the guidelines by the later of (i) February 2028 or (ii) the fifth anniversary of their joining our Board. For purposes of these guidelines, stock ownership does not include un-exercised stock options nor unvested RSUs or PSUs. If an executive officer, including the CEO, or a non-employee director has not met their required level of stock ownership by the required date, they will be required to hold fifty percent (after tax) of any vesting shares or exercised stock options until the requirement is met.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26, 2022, the SEC adopted its final rules implementing the incentive-based compensation recovery provisions of the Dodd-Frank Wall Street Reform and Consumer Protection Act (the “Dodd-Frank Act”). The final rules direct the stock exchanges to establish listing standards requiring issuers to develop and implement a policy providing for the recovery of erroneously awarded incentive-based compensation received by current or former executive officers and to satisfy related disclosure obligations. Nasdaq’s proposed rules were approved by the SEC in June 2023 with a compliance deadline of December 1, 2023. We adopted our Compensation Recovery Policy in August 2023 in alignment with the requirements of the final rule.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Deductibility of Compensation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162(m) of the Internal Revenue Code (the “Code”) limits the deductibility of compensation in excess of $1 million paid to “covered employees,” which includes our NEOs. The Compensation Committee has historically attempted to structure its compensation arrangements to achieve deductibility under Section 162(m), unless the benefit of such deductibility was considered by the Compensation Committee to be outweighed by the need for flexibility or the attainment of other objectives. The Compensation Committee monitors issues concerning the deductibility of executive compensation. We do not, however, make compensation decisions based solely on the availability of a deduction under Section 162(m). Accordingly, we expect that at least a portion of the compensation paid to our NEOs in excess of $1 million per officer will be non-deductible.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Risk Assessment</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has reviewed our executive and employee compensation programs and does not believe that our compensation policies and practices encourage undue or inappropriate risk taking or create risks that are reasonably likely to have a material adverse effect on us. The reasons for the Compensation Committee’s determination include the following:</w:t>
      </w:r>
    </w:p>
    <w:p>
      <w:pPr>
        <w:spacing w:after="0" w:line="63" w:lineRule="exact"/>
        <w:rPr>
          <w:sz w:val="20"/>
          <w:szCs w:val="20"/>
          <w:color w:val="auto"/>
        </w:rPr>
      </w:pPr>
    </w:p>
    <w:p>
      <w:pPr>
        <w:jc w:val="both"/>
        <w:ind w:left="660" w:hanging="328"/>
        <w:spacing w:after="0" w:line="256" w:lineRule="auto"/>
        <w:tabs>
          <w:tab w:leader="none" w:pos="6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our longer-term success. Our RSUs have time-based vesting and certain of our employees have PSUs that have a performance vesting component and only provide value with financial success.</w:t>
      </w:r>
    </w:p>
    <w:p>
      <w:pPr>
        <w:spacing w:after="0" w:line="74"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maintain internal controls over the measurement and calculation of financial information, which are designed to prevent this information from being manipulated by any employee, including our executive officers.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Incentives are capped, with the exception of sales commission plans which are limited to a percentage of deal value; we do maintain internal controls over the determination of sales incentive awards, which we believe discourages excessive risk-taking.</w:t>
      </w:r>
    </w:p>
    <w:p>
      <w:pPr>
        <w:spacing w:after="0" w:line="44"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employees are required to comply with our Code of Business Conduct and Ethics, which covers, among other things, accuracy in keeping financial and business records.</w:t>
      </w:r>
    </w:p>
    <w:p>
      <w:pPr>
        <w:spacing w:after="0" w:line="200" w:lineRule="exact"/>
        <w:rPr>
          <w:sz w:val="20"/>
          <w:szCs w:val="20"/>
          <w:color w:val="auto"/>
        </w:rPr>
      </w:pPr>
    </w:p>
    <w:p>
      <w:pPr>
        <w:spacing w:after="0" w:line="3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jc w:val="both"/>
        <w:ind w:left="328" w:hanging="328"/>
        <w:spacing w:after="0" w:line="268" w:lineRule="auto"/>
        <w:tabs>
          <w:tab w:leader="none" w:pos="3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Compensation Committee reviews employee equity award guidelines as well as the overall annual equity budget pool. Any recommended equity award outside these guidelines (including grants to all NEOs) requires approval by the Compensation Committee. We believe that this helps ensure we grant equity compensation appropriately and in a sustainable manner.</w:t>
      </w:r>
    </w:p>
    <w:p>
      <w:pPr>
        <w:spacing w:after="0" w:line="62" w:lineRule="exact"/>
        <w:rPr>
          <w:rFonts w:ascii="Arial" w:cs="Arial" w:eastAsia="Arial" w:hAnsi="Arial"/>
          <w:sz w:val="18"/>
          <w:szCs w:val="18"/>
          <w:color w:val="auto"/>
        </w:rPr>
      </w:pPr>
    </w:p>
    <w:p>
      <w:pPr>
        <w:ind w:left="328" w:hanging="328"/>
        <w:spacing w:after="0" w:line="287" w:lineRule="auto"/>
        <w:tabs>
          <w:tab w:leader="none" w:pos="3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significant portion of the compensation paid to our executive officers and the members of our Board is in the form of RSUs to align their interests with the interests of stockholders.</w:t>
      </w:r>
    </w:p>
    <w:p>
      <w:pPr>
        <w:spacing w:after="0" w:line="44" w:lineRule="exact"/>
        <w:rPr>
          <w:rFonts w:ascii="Arial" w:cs="Arial" w:eastAsia="Arial" w:hAnsi="Arial"/>
          <w:sz w:val="18"/>
          <w:szCs w:val="18"/>
          <w:color w:val="auto"/>
        </w:rPr>
      </w:pPr>
    </w:p>
    <w:p>
      <w:pPr>
        <w:jc w:val="both"/>
        <w:ind w:left="328" w:hanging="328"/>
        <w:spacing w:after="0" w:line="268" w:lineRule="auto"/>
        <w:tabs>
          <w:tab w:leader="none" w:pos="3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part of our Insider Trading Policy, we prohibit the trading of derivatives or hedging transactions involving our securities so that our Board, executive officers, and all other employees cannot insulate themselves from the effects of poor stock price performance or engage in trading that is not aligned with value creation for our stockholders.</w:t>
      </w:r>
    </w:p>
    <w:p>
      <w:pPr>
        <w:spacing w:after="0" w:line="324" w:lineRule="exact"/>
        <w:rPr>
          <w:sz w:val="20"/>
          <w:szCs w:val="20"/>
          <w:color w:val="auto"/>
        </w:rPr>
      </w:pPr>
    </w:p>
    <w:p>
      <w:pPr>
        <w:ind w:left="8888"/>
        <w:spacing w:after="0"/>
        <w:rPr>
          <w:sz w:val="20"/>
          <w:szCs w:val="20"/>
          <w:color w:val="auto"/>
        </w:rPr>
      </w:pPr>
      <w:r>
        <w:rPr>
          <w:sz w:val="1"/>
          <w:szCs w:val="1"/>
          <w:color w:val="auto"/>
        </w:rPr>
        <w:drawing>
          <wp:inline distT="0" distB="0" distL="0" distR="0">
            <wp:extent cx="1105535" cy="1543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170180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39"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5"/>
          <w:szCs w:val="25"/>
          <w:b w:val="1"/>
          <w:bCs w:val="1"/>
          <w:color w:val="auto"/>
        </w:rPr>
        <w:t>COMPENSATION COMMITTEE REPORT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 in this Proxy Statement. Based on their review and discussion, the Compensation Committee has recommended to the Board that the Compensation Discussion and Analysis be included in this Proxy Statement and incorporated into the Company’s Annual Report on Form 10-K for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Najuma Atkinson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Alpesh Chokshi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 Linville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Kiran Prasad</w:t>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25"/>
          <w:szCs w:val="25"/>
          <w:b w:val="1"/>
          <w:bCs w:val="1"/>
          <w:color w:val="auto"/>
        </w:rPr>
        <w:t>COMPENSATION TABLES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NEOs during fiscal years 2025, 2024, and 2023.</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500" w:type="dxa"/>
            <w:vAlign w:val="bottom"/>
            <w:tcBorders>
              <w:top w:val="single" w:sz="8" w:color="auto"/>
              <w:left w:val="single" w:sz="8" w:color="auto"/>
            </w:tcBorders>
            <w:shd w:val="clear" w:color="auto" w:fill="929292"/>
          </w:tcPr>
          <w:p>
            <w:pPr>
              <w:spacing w:after="0"/>
              <w:rPr>
                <w:sz w:val="14"/>
                <w:szCs w:val="14"/>
                <w:color w:val="auto"/>
              </w:rPr>
            </w:pPr>
          </w:p>
        </w:tc>
        <w:tc>
          <w:tcPr>
            <w:tcW w:w="800" w:type="dxa"/>
            <w:vAlign w:val="bottom"/>
            <w:tcBorders>
              <w:top w:val="single" w:sz="8" w:color="auto"/>
            </w:tcBorders>
            <w:shd w:val="clear" w:color="auto" w:fill="929292"/>
          </w:tcPr>
          <w:p>
            <w:pPr>
              <w:spacing w:after="0"/>
              <w:rPr>
                <w:sz w:val="14"/>
                <w:szCs w:val="14"/>
                <w:color w:val="auto"/>
              </w:rPr>
            </w:pPr>
          </w:p>
        </w:tc>
        <w:tc>
          <w:tcPr>
            <w:tcW w:w="1080" w:type="dxa"/>
            <w:vAlign w:val="bottom"/>
            <w:tcBorders>
              <w:top w:val="single" w:sz="8" w:color="auto"/>
            </w:tcBorders>
            <w:shd w:val="clear" w:color="auto" w:fill="929292"/>
          </w:tcPr>
          <w:p>
            <w:pPr>
              <w:spacing w:after="0"/>
              <w:rPr>
                <w:sz w:val="14"/>
                <w:szCs w:val="14"/>
                <w:color w:val="auto"/>
              </w:rPr>
            </w:pPr>
          </w:p>
        </w:tc>
        <w:tc>
          <w:tcPr>
            <w:tcW w:w="1080" w:type="dxa"/>
            <w:vAlign w:val="bottom"/>
            <w:tcBorders>
              <w:top w:val="single" w:sz="8" w:color="auto"/>
            </w:tcBorders>
            <w:shd w:val="clear" w:color="auto" w:fill="929292"/>
          </w:tcPr>
          <w:p>
            <w:pPr>
              <w:spacing w:after="0"/>
              <w:rPr>
                <w:sz w:val="14"/>
                <w:szCs w:val="14"/>
                <w:color w:val="auto"/>
              </w:rPr>
            </w:pPr>
          </w:p>
        </w:tc>
        <w:tc>
          <w:tcPr>
            <w:tcW w:w="1200" w:type="dxa"/>
            <w:vAlign w:val="bottom"/>
            <w:tcBorders>
              <w:top w:val="single" w:sz="8" w:color="auto"/>
            </w:tcBorders>
            <w:shd w:val="clear" w:color="auto" w:fill="929292"/>
          </w:tcPr>
          <w:p>
            <w:pPr>
              <w:spacing w:after="0"/>
              <w:rPr>
                <w:sz w:val="14"/>
                <w:szCs w:val="14"/>
                <w:color w:val="auto"/>
              </w:rPr>
            </w:pPr>
          </w:p>
        </w:tc>
        <w:tc>
          <w:tcPr>
            <w:tcW w:w="1040" w:type="dxa"/>
            <w:vAlign w:val="bottom"/>
            <w:tcBorders>
              <w:top w:val="single" w:sz="8" w:color="auto"/>
            </w:tcBorders>
            <w:shd w:val="clear" w:color="auto" w:fill="929292"/>
          </w:tcPr>
          <w:p>
            <w:pPr>
              <w:spacing w:after="0"/>
              <w:rPr>
                <w:sz w:val="14"/>
                <w:szCs w:val="14"/>
                <w:color w:val="auto"/>
              </w:rPr>
            </w:pPr>
          </w:p>
        </w:tc>
        <w:tc>
          <w:tcPr>
            <w:tcW w:w="1780" w:type="dxa"/>
            <w:vAlign w:val="bottom"/>
            <w:tcBorders>
              <w:top w:val="single" w:sz="8" w:color="auto"/>
            </w:tcBorders>
            <w:shd w:val="clear" w:color="auto" w:fill="929292"/>
          </w:tcPr>
          <w:p>
            <w:pPr>
              <w:spacing w:after="0"/>
              <w:rPr>
                <w:sz w:val="14"/>
                <w:szCs w:val="14"/>
                <w:color w:val="auto"/>
              </w:rPr>
            </w:pPr>
          </w:p>
        </w:tc>
        <w:tc>
          <w:tcPr>
            <w:tcW w:w="1680" w:type="dxa"/>
            <w:vAlign w:val="bottom"/>
            <w:tcBorders>
              <w:top w:val="single" w:sz="8" w:color="auto"/>
            </w:tcBorders>
            <w:shd w:val="clear" w:color="auto" w:fill="929292"/>
          </w:tcPr>
          <w:p>
            <w:pPr>
              <w:jc w:val="center"/>
              <w:ind w:right="248"/>
              <w:spacing w:after="0"/>
              <w:rPr>
                <w:sz w:val="20"/>
                <w:szCs w:val="20"/>
                <w:color w:val="auto"/>
              </w:rPr>
            </w:pPr>
            <w:r>
              <w:rPr>
                <w:rFonts w:ascii="Arial" w:cs="Arial" w:eastAsia="Arial" w:hAnsi="Arial"/>
                <w:sz w:val="14"/>
                <w:szCs w:val="14"/>
                <w:b w:val="1"/>
                <w:bCs w:val="1"/>
                <w:color w:val="FFFFFF"/>
              </w:rPr>
              <w:t>All</w:t>
            </w:r>
          </w:p>
        </w:tc>
        <w:tc>
          <w:tcPr>
            <w:tcW w:w="1100" w:type="dxa"/>
            <w:vAlign w:val="bottom"/>
            <w:tcBorders>
              <w:top w:val="single" w:sz="8" w:color="auto"/>
              <w:right w:val="single" w:sz="8" w:color="auto"/>
            </w:tcBorders>
            <w:shd w:val="clear" w:color="auto" w:fill="92929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00" w:type="dxa"/>
            <w:vAlign w:val="bottom"/>
            <w:tcBorders>
              <w:left w:val="single" w:sz="8" w:color="auto"/>
            </w:tcBorders>
            <w:shd w:val="clear" w:color="auto" w:fill="929292"/>
          </w:tcPr>
          <w:p>
            <w:pPr>
              <w:spacing w:after="0"/>
              <w:rPr>
                <w:sz w:val="12"/>
                <w:szCs w:val="12"/>
                <w:color w:val="auto"/>
              </w:rPr>
            </w:pPr>
          </w:p>
        </w:tc>
        <w:tc>
          <w:tcPr>
            <w:tcW w:w="800" w:type="dxa"/>
            <w:vAlign w:val="bottom"/>
            <w:shd w:val="clear" w:color="auto" w:fill="929292"/>
          </w:tcPr>
          <w:p>
            <w:pPr>
              <w:spacing w:after="0"/>
              <w:rPr>
                <w:sz w:val="12"/>
                <w:szCs w:val="12"/>
                <w:color w:val="auto"/>
              </w:rPr>
            </w:pPr>
          </w:p>
        </w:tc>
        <w:tc>
          <w:tcPr>
            <w:tcW w:w="1080" w:type="dxa"/>
            <w:vAlign w:val="bottom"/>
            <w:shd w:val="clear" w:color="auto" w:fill="929292"/>
          </w:tcPr>
          <w:p>
            <w:pPr>
              <w:spacing w:after="0"/>
              <w:rPr>
                <w:sz w:val="12"/>
                <w:szCs w:val="12"/>
                <w:color w:val="auto"/>
              </w:rPr>
            </w:pPr>
          </w:p>
        </w:tc>
        <w:tc>
          <w:tcPr>
            <w:tcW w:w="1080" w:type="dxa"/>
            <w:vAlign w:val="bottom"/>
            <w:shd w:val="clear" w:color="auto" w:fill="929292"/>
          </w:tcPr>
          <w:p>
            <w:pPr>
              <w:spacing w:after="0"/>
              <w:rPr>
                <w:sz w:val="12"/>
                <w:szCs w:val="12"/>
                <w:color w:val="auto"/>
              </w:rPr>
            </w:pPr>
          </w:p>
        </w:tc>
        <w:tc>
          <w:tcPr>
            <w:tcW w:w="1200" w:type="dxa"/>
            <w:vAlign w:val="bottom"/>
            <w:shd w:val="clear" w:color="auto" w:fill="929292"/>
          </w:tcPr>
          <w:p>
            <w:pPr>
              <w:spacing w:after="0"/>
              <w:rPr>
                <w:sz w:val="12"/>
                <w:szCs w:val="12"/>
                <w:color w:val="auto"/>
              </w:rPr>
            </w:pPr>
          </w:p>
        </w:tc>
        <w:tc>
          <w:tcPr>
            <w:tcW w:w="1040" w:type="dxa"/>
            <w:vAlign w:val="bottom"/>
            <w:shd w:val="clear" w:color="auto" w:fill="929292"/>
          </w:tcPr>
          <w:p>
            <w:pPr>
              <w:spacing w:after="0"/>
              <w:rPr>
                <w:sz w:val="12"/>
                <w:szCs w:val="12"/>
                <w:color w:val="auto"/>
              </w:rPr>
            </w:pPr>
          </w:p>
        </w:tc>
        <w:tc>
          <w:tcPr>
            <w:tcW w:w="1780" w:type="dxa"/>
            <w:vAlign w:val="bottom"/>
            <w:vMerge w:val="restart"/>
            <w:shd w:val="clear" w:color="auto" w:fill="929292"/>
          </w:tcPr>
          <w:p>
            <w:pPr>
              <w:jc w:val="center"/>
              <w:ind w:right="90"/>
              <w:spacing w:after="0"/>
              <w:rPr>
                <w:sz w:val="20"/>
                <w:szCs w:val="20"/>
                <w:color w:val="auto"/>
              </w:rPr>
            </w:pPr>
            <w:r>
              <w:rPr>
                <w:rFonts w:ascii="Arial" w:cs="Arial" w:eastAsia="Arial" w:hAnsi="Arial"/>
                <w:sz w:val="14"/>
                <w:szCs w:val="14"/>
                <w:b w:val="1"/>
                <w:bCs w:val="1"/>
                <w:color w:val="FFFFFF"/>
              </w:rPr>
              <w:t>Non-Equity Incentive</w:t>
            </w:r>
          </w:p>
        </w:tc>
        <w:tc>
          <w:tcPr>
            <w:tcW w:w="1680" w:type="dxa"/>
            <w:vAlign w:val="bottom"/>
            <w:shd w:val="clear" w:color="auto" w:fill="929292"/>
          </w:tcPr>
          <w:p>
            <w:pPr>
              <w:jc w:val="center"/>
              <w:ind w:right="248"/>
              <w:spacing w:after="0" w:line="139" w:lineRule="exact"/>
              <w:rPr>
                <w:sz w:val="20"/>
                <w:szCs w:val="20"/>
                <w:color w:val="auto"/>
              </w:rPr>
            </w:pPr>
            <w:r>
              <w:rPr>
                <w:rFonts w:ascii="Arial" w:cs="Arial" w:eastAsia="Arial" w:hAnsi="Arial"/>
                <w:sz w:val="14"/>
                <w:szCs w:val="14"/>
                <w:b w:val="1"/>
                <w:bCs w:val="1"/>
                <w:color w:val="FFFFFF"/>
              </w:rPr>
              <w:t>Other</w:t>
            </w:r>
          </w:p>
        </w:tc>
        <w:tc>
          <w:tcPr>
            <w:tcW w:w="110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500" w:type="dxa"/>
            <w:vAlign w:val="bottom"/>
            <w:tcBorders>
              <w:left w:val="single" w:sz="8" w:color="auto"/>
            </w:tcBorders>
            <w:vMerge w:val="restart"/>
            <w:shd w:val="clear" w:color="auto" w:fill="929292"/>
          </w:tcPr>
          <w:p>
            <w:pPr>
              <w:ind w:left="60"/>
              <w:spacing w:after="0"/>
              <w:rPr>
                <w:sz w:val="20"/>
                <w:szCs w:val="20"/>
                <w:color w:val="auto"/>
              </w:rPr>
            </w:pPr>
            <w:r>
              <w:rPr>
                <w:rFonts w:ascii="Arial" w:cs="Arial" w:eastAsia="Arial" w:hAnsi="Arial"/>
                <w:sz w:val="14"/>
                <w:szCs w:val="14"/>
                <w:b w:val="1"/>
                <w:bCs w:val="1"/>
                <w:color w:val="FFFFFF"/>
              </w:rPr>
              <w:t>Name and</w:t>
            </w:r>
          </w:p>
        </w:tc>
        <w:tc>
          <w:tcPr>
            <w:tcW w:w="800" w:type="dxa"/>
            <w:vAlign w:val="bottom"/>
            <w:shd w:val="clear" w:color="auto" w:fill="929292"/>
          </w:tcPr>
          <w:p>
            <w:pPr>
              <w:spacing w:after="0"/>
              <w:rPr>
                <w:sz w:val="5"/>
                <w:szCs w:val="5"/>
                <w:color w:val="auto"/>
              </w:rPr>
            </w:pPr>
          </w:p>
        </w:tc>
        <w:tc>
          <w:tcPr>
            <w:tcW w:w="1080" w:type="dxa"/>
            <w:vAlign w:val="bottom"/>
            <w:shd w:val="clear" w:color="auto" w:fill="929292"/>
          </w:tcPr>
          <w:p>
            <w:pPr>
              <w:spacing w:after="0"/>
              <w:rPr>
                <w:sz w:val="5"/>
                <w:szCs w:val="5"/>
                <w:color w:val="auto"/>
              </w:rPr>
            </w:pPr>
          </w:p>
        </w:tc>
        <w:tc>
          <w:tcPr>
            <w:tcW w:w="1080" w:type="dxa"/>
            <w:vAlign w:val="bottom"/>
            <w:shd w:val="clear" w:color="auto" w:fill="929292"/>
          </w:tcPr>
          <w:p>
            <w:pPr>
              <w:spacing w:after="0"/>
              <w:rPr>
                <w:sz w:val="5"/>
                <w:szCs w:val="5"/>
                <w:color w:val="auto"/>
              </w:rPr>
            </w:pPr>
          </w:p>
        </w:tc>
        <w:tc>
          <w:tcPr>
            <w:tcW w:w="1200" w:type="dxa"/>
            <w:vAlign w:val="bottom"/>
            <w:vMerge w:val="restart"/>
            <w:shd w:val="clear" w:color="auto" w:fill="929292"/>
          </w:tcPr>
          <w:p>
            <w:pPr>
              <w:jc w:val="right"/>
              <w:ind w:right="408"/>
              <w:spacing w:after="0"/>
              <w:rPr>
                <w:sz w:val="20"/>
                <w:szCs w:val="20"/>
                <w:color w:val="auto"/>
              </w:rPr>
            </w:pPr>
            <w:r>
              <w:rPr>
                <w:rFonts w:ascii="Arial" w:cs="Arial" w:eastAsia="Arial" w:hAnsi="Arial"/>
                <w:sz w:val="14"/>
                <w:szCs w:val="14"/>
                <w:b w:val="1"/>
                <w:bCs w:val="1"/>
                <w:color w:val="FFFFFF"/>
              </w:rPr>
              <w:t>Stock</w:t>
            </w:r>
          </w:p>
        </w:tc>
        <w:tc>
          <w:tcPr>
            <w:tcW w:w="1040" w:type="dxa"/>
            <w:vAlign w:val="bottom"/>
            <w:vMerge w:val="restart"/>
            <w:shd w:val="clear" w:color="auto" w:fill="929292"/>
          </w:tcPr>
          <w:p>
            <w:pPr>
              <w:jc w:val="right"/>
              <w:ind w:right="248"/>
              <w:spacing w:after="0"/>
              <w:rPr>
                <w:sz w:val="20"/>
                <w:szCs w:val="20"/>
                <w:color w:val="auto"/>
              </w:rPr>
            </w:pPr>
            <w:r>
              <w:rPr>
                <w:rFonts w:ascii="Arial" w:cs="Arial" w:eastAsia="Arial" w:hAnsi="Arial"/>
                <w:sz w:val="14"/>
                <w:szCs w:val="14"/>
                <w:b w:val="1"/>
                <w:bCs w:val="1"/>
                <w:color w:val="FFFFFF"/>
              </w:rPr>
              <w:t>Option</w:t>
            </w:r>
          </w:p>
        </w:tc>
        <w:tc>
          <w:tcPr>
            <w:tcW w:w="1780" w:type="dxa"/>
            <w:vAlign w:val="bottom"/>
            <w:vMerge w:val="continue"/>
            <w:shd w:val="clear" w:color="auto" w:fill="929292"/>
          </w:tcPr>
          <w:p>
            <w:pPr>
              <w:spacing w:after="0"/>
              <w:rPr>
                <w:sz w:val="5"/>
                <w:szCs w:val="5"/>
                <w:color w:val="auto"/>
              </w:rPr>
            </w:pPr>
          </w:p>
        </w:tc>
        <w:tc>
          <w:tcPr>
            <w:tcW w:w="1680" w:type="dxa"/>
            <w:vAlign w:val="bottom"/>
            <w:vMerge w:val="restart"/>
            <w:shd w:val="clear" w:color="auto" w:fill="929292"/>
          </w:tcPr>
          <w:p>
            <w:pPr>
              <w:jc w:val="center"/>
              <w:ind w:right="248"/>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tcBorders>
              <w:right w:val="single" w:sz="8" w:color="auto"/>
            </w:tcBorders>
            <w:shd w:val="clear" w:color="auto" w:fill="92929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00" w:type="dxa"/>
            <w:vAlign w:val="bottom"/>
            <w:tcBorders>
              <w:left w:val="single" w:sz="8" w:color="auto"/>
            </w:tcBorders>
            <w:vMerge w:val="continue"/>
            <w:shd w:val="clear" w:color="auto" w:fill="929292"/>
          </w:tcPr>
          <w:p>
            <w:pPr>
              <w:spacing w:after="0"/>
              <w:rPr>
                <w:sz w:val="11"/>
                <w:szCs w:val="11"/>
                <w:color w:val="auto"/>
              </w:rPr>
            </w:pPr>
          </w:p>
        </w:tc>
        <w:tc>
          <w:tcPr>
            <w:tcW w:w="800" w:type="dxa"/>
            <w:vAlign w:val="bottom"/>
            <w:vMerge w:val="restart"/>
            <w:shd w:val="clear" w:color="auto" w:fill="929292"/>
          </w:tcPr>
          <w:p>
            <w:pPr>
              <w:ind w:left="240"/>
              <w:spacing w:after="0"/>
              <w:rPr>
                <w:sz w:val="20"/>
                <w:szCs w:val="20"/>
                <w:color w:val="auto"/>
              </w:rPr>
            </w:pPr>
            <w:r>
              <w:rPr>
                <w:rFonts w:ascii="Arial" w:cs="Arial" w:eastAsia="Arial" w:hAnsi="Arial"/>
                <w:sz w:val="14"/>
                <w:szCs w:val="14"/>
                <w:b w:val="1"/>
                <w:bCs w:val="1"/>
                <w:color w:val="FFFFFF"/>
              </w:rPr>
              <w:t>Year</w:t>
            </w:r>
          </w:p>
        </w:tc>
        <w:tc>
          <w:tcPr>
            <w:tcW w:w="1080" w:type="dxa"/>
            <w:vAlign w:val="bottom"/>
            <w:vMerge w:val="restart"/>
            <w:shd w:val="clear" w:color="auto" w:fill="929292"/>
          </w:tcPr>
          <w:p>
            <w:pPr>
              <w:jc w:val="right"/>
              <w:ind w:right="168"/>
              <w:spacing w:after="0"/>
              <w:rPr>
                <w:sz w:val="20"/>
                <w:szCs w:val="20"/>
                <w:color w:val="auto"/>
              </w:rPr>
            </w:pPr>
            <w:r>
              <w:rPr>
                <w:rFonts w:ascii="Arial" w:cs="Arial" w:eastAsia="Arial" w:hAnsi="Arial"/>
                <w:sz w:val="14"/>
                <w:szCs w:val="14"/>
                <w:b w:val="1"/>
                <w:bCs w:val="1"/>
                <w:color w:val="FFFFFF"/>
              </w:rPr>
              <w:t>Salary ($)</w:t>
            </w:r>
          </w:p>
        </w:tc>
        <w:tc>
          <w:tcPr>
            <w:tcW w:w="1080" w:type="dxa"/>
            <w:vAlign w:val="bottom"/>
            <w:vMerge w:val="restart"/>
            <w:shd w:val="clear" w:color="auto" w:fill="929292"/>
          </w:tcPr>
          <w:p>
            <w:pPr>
              <w:jc w:val="right"/>
              <w:ind w:right="148"/>
              <w:spacing w:after="0"/>
              <w:rPr>
                <w:sz w:val="20"/>
                <w:szCs w:val="20"/>
                <w:color w:val="auto"/>
              </w:rPr>
            </w:pPr>
            <w:r>
              <w:rPr>
                <w:rFonts w:ascii="Arial" w:cs="Arial" w:eastAsia="Arial" w:hAnsi="Arial"/>
                <w:sz w:val="14"/>
                <w:szCs w:val="14"/>
                <w:b w:val="1"/>
                <w:bCs w:val="1"/>
                <w:color w:val="FFFFFF"/>
              </w:rPr>
              <w:t>Bonus ($)</w:t>
            </w:r>
            <w:r>
              <w:rPr>
                <w:rFonts w:ascii="Arial" w:cs="Arial" w:eastAsia="Arial" w:hAnsi="Arial"/>
                <w:sz w:val="18"/>
                <w:szCs w:val="18"/>
                <w:b w:val="1"/>
                <w:bCs w:val="1"/>
                <w:color w:val="FFFFFF"/>
                <w:vertAlign w:val="superscript"/>
              </w:rPr>
              <w:t>(1)</w:t>
            </w:r>
          </w:p>
        </w:tc>
        <w:tc>
          <w:tcPr>
            <w:tcW w:w="1200" w:type="dxa"/>
            <w:vAlign w:val="bottom"/>
            <w:vMerge w:val="continue"/>
            <w:shd w:val="clear" w:color="auto" w:fill="929292"/>
          </w:tcPr>
          <w:p>
            <w:pPr>
              <w:spacing w:after="0"/>
              <w:rPr>
                <w:sz w:val="11"/>
                <w:szCs w:val="11"/>
                <w:color w:val="auto"/>
              </w:rPr>
            </w:pPr>
          </w:p>
        </w:tc>
        <w:tc>
          <w:tcPr>
            <w:tcW w:w="1040" w:type="dxa"/>
            <w:vAlign w:val="bottom"/>
            <w:vMerge w:val="continue"/>
            <w:shd w:val="clear" w:color="auto" w:fill="929292"/>
          </w:tcPr>
          <w:p>
            <w:pPr>
              <w:spacing w:after="0"/>
              <w:rPr>
                <w:sz w:val="11"/>
                <w:szCs w:val="11"/>
                <w:color w:val="auto"/>
              </w:rPr>
            </w:pPr>
          </w:p>
        </w:tc>
        <w:tc>
          <w:tcPr>
            <w:tcW w:w="1780" w:type="dxa"/>
            <w:vAlign w:val="bottom"/>
            <w:shd w:val="clear" w:color="auto" w:fill="929292"/>
          </w:tcPr>
          <w:p>
            <w:pPr>
              <w:jc w:val="center"/>
              <w:ind w:right="110"/>
              <w:spacing w:after="0" w:line="135" w:lineRule="exact"/>
              <w:rPr>
                <w:sz w:val="20"/>
                <w:szCs w:val="20"/>
                <w:color w:val="auto"/>
              </w:rPr>
            </w:pPr>
            <w:r>
              <w:rPr>
                <w:rFonts w:ascii="Arial" w:cs="Arial" w:eastAsia="Arial" w:hAnsi="Arial"/>
                <w:sz w:val="14"/>
                <w:szCs w:val="14"/>
                <w:b w:val="1"/>
                <w:bCs w:val="1"/>
                <w:color w:val="FFFFFF"/>
              </w:rPr>
              <w:t>Plan Compensation ($)</w:t>
            </w:r>
          </w:p>
        </w:tc>
        <w:tc>
          <w:tcPr>
            <w:tcW w:w="1680" w:type="dxa"/>
            <w:vAlign w:val="bottom"/>
            <w:vMerge w:val="continue"/>
            <w:shd w:val="clear" w:color="auto" w:fill="929292"/>
          </w:tcPr>
          <w:p>
            <w:pPr>
              <w:spacing w:after="0"/>
              <w:rPr>
                <w:sz w:val="11"/>
                <w:szCs w:val="11"/>
                <w:color w:val="auto"/>
              </w:rPr>
            </w:pPr>
          </w:p>
        </w:tc>
        <w:tc>
          <w:tcPr>
            <w:tcW w:w="1100" w:type="dxa"/>
            <w:vAlign w:val="bottom"/>
            <w:tcBorders>
              <w:right w:val="single" w:sz="8" w:color="auto"/>
            </w:tcBorders>
            <w:vMerge w:val="restart"/>
            <w:shd w:val="clear" w:color="auto" w:fill="929292"/>
          </w:tcPr>
          <w:p>
            <w:pPr>
              <w:jc w:val="right"/>
              <w:ind w:right="288"/>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tcBorders>
            <w:shd w:val="clear" w:color="auto" w:fill="929292"/>
          </w:tcPr>
          <w:p>
            <w:pPr>
              <w:ind w:left="60"/>
              <w:spacing w:after="0" w:line="149" w:lineRule="exact"/>
              <w:rPr>
                <w:sz w:val="20"/>
                <w:szCs w:val="20"/>
                <w:color w:val="auto"/>
              </w:rPr>
            </w:pPr>
            <w:r>
              <w:rPr>
                <w:rFonts w:ascii="Arial" w:cs="Arial" w:eastAsia="Arial" w:hAnsi="Arial"/>
                <w:sz w:val="14"/>
                <w:szCs w:val="14"/>
                <w:b w:val="1"/>
                <w:bCs w:val="1"/>
                <w:color w:val="FFFFFF"/>
              </w:rPr>
              <w:t>Principal Position</w:t>
            </w:r>
          </w:p>
        </w:tc>
        <w:tc>
          <w:tcPr>
            <w:tcW w:w="800" w:type="dxa"/>
            <w:vAlign w:val="bottom"/>
            <w:vMerge w:val="continue"/>
            <w:shd w:val="clear" w:color="auto" w:fill="929292"/>
          </w:tcPr>
          <w:p>
            <w:pPr>
              <w:spacing w:after="0"/>
              <w:rPr>
                <w:sz w:val="12"/>
                <w:szCs w:val="12"/>
                <w:color w:val="auto"/>
              </w:rPr>
            </w:pPr>
          </w:p>
        </w:tc>
        <w:tc>
          <w:tcPr>
            <w:tcW w:w="1080" w:type="dxa"/>
            <w:vAlign w:val="bottom"/>
            <w:vMerge w:val="continue"/>
            <w:shd w:val="clear" w:color="auto" w:fill="929292"/>
          </w:tcPr>
          <w:p>
            <w:pPr>
              <w:spacing w:after="0"/>
              <w:rPr>
                <w:sz w:val="12"/>
                <w:szCs w:val="12"/>
                <w:color w:val="auto"/>
              </w:rPr>
            </w:pPr>
          </w:p>
        </w:tc>
        <w:tc>
          <w:tcPr>
            <w:tcW w:w="1080" w:type="dxa"/>
            <w:vAlign w:val="bottom"/>
            <w:vMerge w:val="continue"/>
            <w:shd w:val="clear" w:color="auto" w:fill="929292"/>
          </w:tcPr>
          <w:p>
            <w:pPr>
              <w:spacing w:after="0"/>
              <w:rPr>
                <w:sz w:val="12"/>
                <w:szCs w:val="12"/>
                <w:color w:val="auto"/>
              </w:rPr>
            </w:pPr>
          </w:p>
        </w:tc>
        <w:tc>
          <w:tcPr>
            <w:tcW w:w="1200" w:type="dxa"/>
            <w:vAlign w:val="bottom"/>
            <w:shd w:val="clear" w:color="auto" w:fill="929292"/>
          </w:tcPr>
          <w:p>
            <w:pPr>
              <w:jc w:val="right"/>
              <w:ind w:right="168"/>
              <w:spacing w:after="0" w:line="149" w:lineRule="exact"/>
              <w:rPr>
                <w:sz w:val="20"/>
                <w:szCs w:val="20"/>
                <w:color w:val="auto"/>
              </w:rPr>
            </w:pPr>
            <w:r>
              <w:rPr>
                <w:rFonts w:ascii="Arial" w:cs="Arial" w:eastAsia="Arial" w:hAnsi="Arial"/>
                <w:sz w:val="14"/>
                <w:szCs w:val="14"/>
                <w:b w:val="1"/>
                <w:bCs w:val="1"/>
                <w:color w:val="FFFFFF"/>
              </w:rPr>
              <w:t>Awards ($)</w:t>
            </w:r>
            <w:r>
              <w:rPr>
                <w:rFonts w:ascii="Arial" w:cs="Arial" w:eastAsia="Arial" w:hAnsi="Arial"/>
                <w:sz w:val="9"/>
                <w:szCs w:val="9"/>
                <w:b w:val="1"/>
                <w:bCs w:val="1"/>
                <w:color w:val="FFFFFF"/>
              </w:rPr>
              <w:t>(2)</w:t>
            </w:r>
          </w:p>
        </w:tc>
        <w:tc>
          <w:tcPr>
            <w:tcW w:w="1040" w:type="dxa"/>
            <w:vAlign w:val="bottom"/>
            <w:shd w:val="clear" w:color="auto" w:fill="929292"/>
          </w:tcPr>
          <w:p>
            <w:pPr>
              <w:jc w:val="right"/>
              <w:ind w:right="48"/>
              <w:spacing w:after="0" w:line="149" w:lineRule="exact"/>
              <w:rPr>
                <w:sz w:val="20"/>
                <w:szCs w:val="20"/>
                <w:color w:val="auto"/>
              </w:rPr>
            </w:pPr>
            <w:r>
              <w:rPr>
                <w:rFonts w:ascii="Arial" w:cs="Arial" w:eastAsia="Arial" w:hAnsi="Arial"/>
                <w:sz w:val="14"/>
                <w:szCs w:val="14"/>
                <w:b w:val="1"/>
                <w:bCs w:val="1"/>
                <w:color w:val="FFFFFF"/>
              </w:rPr>
              <w:t>Awards ($)</w:t>
            </w:r>
            <w:r>
              <w:rPr>
                <w:rFonts w:ascii="Arial" w:cs="Arial" w:eastAsia="Arial" w:hAnsi="Arial"/>
                <w:sz w:val="9"/>
                <w:szCs w:val="9"/>
                <w:b w:val="1"/>
                <w:bCs w:val="1"/>
                <w:color w:val="FFFFFF"/>
              </w:rPr>
              <w:t>(2)</w:t>
            </w:r>
          </w:p>
        </w:tc>
        <w:tc>
          <w:tcPr>
            <w:tcW w:w="1780" w:type="dxa"/>
            <w:vAlign w:val="bottom"/>
            <w:shd w:val="clear" w:color="auto" w:fill="929292"/>
          </w:tcPr>
          <w:p>
            <w:pPr>
              <w:jc w:val="center"/>
              <w:ind w:right="90"/>
              <w:spacing w:after="0"/>
              <w:rPr>
                <w:sz w:val="20"/>
                <w:szCs w:val="20"/>
                <w:color w:val="auto"/>
              </w:rPr>
            </w:pPr>
            <w:r>
              <w:rPr>
                <w:rFonts w:ascii="Arial" w:cs="Arial" w:eastAsia="Arial" w:hAnsi="Arial"/>
                <w:sz w:val="9"/>
                <w:szCs w:val="9"/>
                <w:b w:val="1"/>
                <w:bCs w:val="1"/>
                <w:color w:val="FFFFFF"/>
                <w:w w:val="90"/>
              </w:rPr>
              <w:t>(3)</w:t>
            </w:r>
          </w:p>
        </w:tc>
        <w:tc>
          <w:tcPr>
            <w:tcW w:w="1680" w:type="dxa"/>
            <w:vAlign w:val="bottom"/>
            <w:shd w:val="clear" w:color="auto" w:fill="929292"/>
          </w:tcPr>
          <w:p>
            <w:pPr>
              <w:jc w:val="center"/>
              <w:ind w:right="248"/>
              <w:spacing w:after="0" w:line="149"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(4)</w:t>
            </w:r>
          </w:p>
        </w:tc>
        <w:tc>
          <w:tcPr>
            <w:tcW w:w="1100" w:type="dxa"/>
            <w:vAlign w:val="bottom"/>
            <w:tcBorders>
              <w:right w:val="single" w:sz="8" w:color="auto"/>
            </w:tcBorders>
            <w:vMerge w:val="continue"/>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Mike Milotich</w:t>
            </w:r>
          </w:p>
        </w:tc>
        <w:tc>
          <w:tcPr>
            <w:tcW w:w="800" w:type="dxa"/>
            <w:vAlign w:val="bottom"/>
            <w:vMerge w:val="restart"/>
          </w:tcPr>
          <w:p>
            <w:pPr>
              <w:jc w:val="center"/>
              <w:ind w:left="288"/>
              <w:spacing w:after="0"/>
              <w:rPr>
                <w:sz w:val="20"/>
                <w:szCs w:val="20"/>
                <w:color w:val="auto"/>
              </w:rPr>
            </w:pPr>
            <w:r>
              <w:rPr>
                <w:rFonts w:ascii="Arial" w:cs="Arial" w:eastAsia="Arial" w:hAnsi="Arial"/>
                <w:sz w:val="14"/>
                <w:szCs w:val="14"/>
                <w:color w:val="auto"/>
              </w:rPr>
              <w:t>2025</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556,470</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1,000,000</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8,725,948</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vMerge w:val="restart"/>
          </w:tcPr>
          <w:p>
            <w:pPr>
              <w:jc w:val="right"/>
              <w:ind w:right="110"/>
              <w:spacing w:after="0"/>
              <w:rPr>
                <w:sz w:val="20"/>
                <w:szCs w:val="20"/>
                <w:color w:val="auto"/>
              </w:rPr>
            </w:pPr>
            <w:r>
              <w:rPr>
                <w:rFonts w:ascii="Arial" w:cs="Arial" w:eastAsia="Arial" w:hAnsi="Arial"/>
                <w:sz w:val="14"/>
                <w:szCs w:val="14"/>
                <w:color w:val="auto"/>
              </w:rPr>
              <w:t>748,845</w:t>
            </w: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color w:val="auto"/>
              </w:rPr>
              <w:t>18,260</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11,049,523</w:t>
            </w:r>
          </w:p>
        </w:tc>
        <w:tc>
          <w:tcPr>
            <w:tcW w:w="0" w:type="dxa"/>
            <w:vAlign w:val="bottom"/>
          </w:tcPr>
          <w:p>
            <w:pPr>
              <w:spacing w:after="0"/>
              <w:rPr>
                <w:sz w:val="1"/>
                <w:szCs w:val="1"/>
                <w:color w:val="auto"/>
              </w:rPr>
            </w:pPr>
          </w:p>
        </w:tc>
      </w:tr>
      <w:tr>
        <w:trPr>
          <w:trHeight w:val="89"/>
        </w:trPr>
        <w:tc>
          <w:tcPr>
            <w:tcW w:w="1500" w:type="dxa"/>
            <w:vAlign w:val="bottom"/>
            <w:tcBorders>
              <w:left w:val="single" w:sz="8" w:color="auto"/>
            </w:tcBorders>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tcBorders>
          </w:tcPr>
          <w:p>
            <w:pPr>
              <w:ind w:left="200"/>
              <w:spacing w:after="0"/>
              <w:rPr>
                <w:sz w:val="20"/>
                <w:szCs w:val="20"/>
                <w:color w:val="auto"/>
              </w:rPr>
            </w:pPr>
            <w:r>
              <w:rPr>
                <w:rFonts w:ascii="Arial" w:cs="Arial" w:eastAsia="Arial" w:hAnsi="Arial"/>
                <w:sz w:val="14"/>
                <w:szCs w:val="14"/>
                <w:i w:val="1"/>
                <w:iCs w:val="1"/>
                <w:color w:val="auto"/>
              </w:rPr>
              <w:t>Chief Executive</w:t>
            </w:r>
          </w:p>
        </w:tc>
        <w:tc>
          <w:tcPr>
            <w:tcW w:w="800" w:type="dxa"/>
            <w:vAlign w:val="bottom"/>
            <w:vMerge w:val="restart"/>
          </w:tcPr>
          <w:p>
            <w:pPr>
              <w:jc w:val="center"/>
              <w:ind w:left="288"/>
              <w:spacing w:after="0"/>
              <w:rPr>
                <w:sz w:val="20"/>
                <w:szCs w:val="20"/>
                <w:color w:val="auto"/>
              </w:rPr>
            </w:pPr>
            <w:r>
              <w:rPr>
                <w:rFonts w:ascii="Arial" w:cs="Arial" w:eastAsia="Arial" w:hAnsi="Arial"/>
                <w:sz w:val="14"/>
                <w:szCs w:val="14"/>
                <w:color w:val="auto"/>
              </w:rPr>
              <w:t>2024</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487,500</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5,066,891</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vMerge w:val="restart"/>
          </w:tcPr>
          <w:p>
            <w:pPr>
              <w:jc w:val="right"/>
              <w:ind w:right="110"/>
              <w:spacing w:after="0"/>
              <w:rPr>
                <w:sz w:val="20"/>
                <w:szCs w:val="20"/>
                <w:color w:val="auto"/>
              </w:rPr>
            </w:pPr>
            <w:r>
              <w:rPr>
                <w:rFonts w:ascii="Arial" w:cs="Arial" w:eastAsia="Arial" w:hAnsi="Arial"/>
                <w:sz w:val="14"/>
                <w:szCs w:val="14"/>
                <w:color w:val="auto"/>
              </w:rPr>
              <w:t>309,068</w:t>
            </w: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color w:val="auto"/>
              </w:rPr>
              <w:t>18,010</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5,881,469</w:t>
            </w:r>
          </w:p>
        </w:tc>
        <w:tc>
          <w:tcPr>
            <w:tcW w:w="0" w:type="dxa"/>
            <w:vAlign w:val="bottom"/>
          </w:tcPr>
          <w:p>
            <w:pPr>
              <w:spacing w:after="0"/>
              <w:rPr>
                <w:sz w:val="1"/>
                <w:szCs w:val="1"/>
                <w:color w:val="auto"/>
              </w:rPr>
            </w:pPr>
          </w:p>
        </w:tc>
      </w:tr>
      <w:tr>
        <w:trPr>
          <w:trHeight w:val="134"/>
        </w:trPr>
        <w:tc>
          <w:tcPr>
            <w:tcW w:w="1500" w:type="dxa"/>
            <w:vAlign w:val="bottom"/>
            <w:tcBorders>
              <w:left w:val="single" w:sz="8" w:color="auto"/>
            </w:tcBorders>
            <w:vMerge w:val="restart"/>
          </w:tcPr>
          <w:p>
            <w:pPr>
              <w:ind w:left="200"/>
              <w:spacing w:after="0"/>
              <w:rPr>
                <w:sz w:val="20"/>
                <w:szCs w:val="20"/>
                <w:color w:val="auto"/>
              </w:rPr>
            </w:pPr>
            <w:r>
              <w:rPr>
                <w:rFonts w:ascii="Arial" w:cs="Arial" w:eastAsia="Arial" w:hAnsi="Arial"/>
                <w:sz w:val="14"/>
                <w:szCs w:val="14"/>
                <w:i w:val="1"/>
                <w:iCs w:val="1"/>
                <w:color w:val="auto"/>
              </w:rPr>
              <w:t>Officer</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Borders>
              <w:left w:val="single" w:sz="8" w:color="auto"/>
            </w:tcBorders>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500" w:type="dxa"/>
            <w:vAlign w:val="bottom"/>
            <w:tcBorders>
              <w:left w:val="single" w:sz="8" w:color="auto"/>
            </w:tcBorders>
          </w:tcPr>
          <w:p>
            <w:pPr>
              <w:spacing w:after="0"/>
              <w:rPr>
                <w:sz w:val="23"/>
                <w:szCs w:val="23"/>
                <w:color w:val="auto"/>
              </w:rPr>
            </w:pPr>
          </w:p>
        </w:tc>
        <w:tc>
          <w:tcPr>
            <w:tcW w:w="80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475,000</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1,160,202</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1,499,101</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428,000</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14,303</w:t>
            </w:r>
          </w:p>
        </w:tc>
        <w:tc>
          <w:tcPr>
            <w:tcW w:w="11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3,576,606</w:t>
            </w:r>
          </w:p>
        </w:tc>
        <w:tc>
          <w:tcPr>
            <w:tcW w:w="0" w:type="dxa"/>
            <w:vAlign w:val="bottom"/>
          </w:tcPr>
          <w:p>
            <w:pPr>
              <w:spacing w:after="0"/>
              <w:rPr>
                <w:sz w:val="1"/>
                <w:szCs w:val="1"/>
                <w:color w:val="auto"/>
              </w:rPr>
            </w:pPr>
          </w:p>
        </w:tc>
      </w:tr>
      <w:tr>
        <w:trPr>
          <w:trHeight w:val="220"/>
        </w:trPr>
        <w:tc>
          <w:tcPr>
            <w:tcW w:w="15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Simon Khalaf</w:t>
            </w:r>
            <w:r>
              <w:rPr>
                <w:rFonts w:ascii="Arial" w:cs="Arial" w:eastAsia="Arial" w:hAnsi="Arial"/>
                <w:sz w:val="18"/>
                <w:szCs w:val="18"/>
                <w:b w:val="1"/>
                <w:bCs w:val="1"/>
                <w:color w:val="auto"/>
                <w:vertAlign w:val="superscript"/>
              </w:rPr>
              <w:t>(5)</w:t>
            </w:r>
          </w:p>
        </w:tc>
        <w:tc>
          <w:tcPr>
            <w:tcW w:w="800" w:type="dxa"/>
            <w:vAlign w:val="bottom"/>
            <w:shd w:val="clear" w:color="auto" w:fill="DBDBDB"/>
          </w:tcPr>
          <w:p>
            <w:pPr>
              <w:jc w:val="center"/>
              <w:ind w:left="288"/>
              <w:spacing w:after="0"/>
              <w:rPr>
                <w:sz w:val="20"/>
                <w:szCs w:val="20"/>
                <w:color w:val="auto"/>
              </w:rPr>
            </w:pPr>
            <w:r>
              <w:rPr>
                <w:rFonts w:ascii="Arial" w:cs="Arial" w:eastAsia="Arial" w:hAnsi="Arial"/>
                <w:sz w:val="14"/>
                <w:szCs w:val="14"/>
                <w:color w:val="auto"/>
              </w:rPr>
              <w:t>2025</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100,000</w:t>
            </w:r>
          </w:p>
        </w:tc>
        <w:tc>
          <w:tcPr>
            <w:tcW w:w="10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w:t>
            </w:r>
          </w:p>
        </w:tc>
        <w:tc>
          <w:tcPr>
            <w:tcW w:w="16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13,546</w:t>
            </w:r>
          </w:p>
        </w:tc>
        <w:tc>
          <w:tcPr>
            <w:tcW w:w="11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113,546</w:t>
            </w:r>
          </w:p>
        </w:tc>
        <w:tc>
          <w:tcPr>
            <w:tcW w:w="0" w:type="dxa"/>
            <w:vAlign w:val="bottom"/>
          </w:tcPr>
          <w:p>
            <w:pPr>
              <w:spacing w:after="0"/>
              <w:rPr>
                <w:sz w:val="1"/>
                <w:szCs w:val="1"/>
                <w:color w:val="auto"/>
              </w:rPr>
            </w:pPr>
          </w:p>
        </w:tc>
      </w:tr>
      <w:tr>
        <w:trPr>
          <w:trHeight w:val="182"/>
        </w:trPr>
        <w:tc>
          <w:tcPr>
            <w:tcW w:w="1500" w:type="dxa"/>
            <w:vAlign w:val="bottom"/>
            <w:tcBorders>
              <w:left w:val="single" w:sz="8" w:color="auto"/>
            </w:tcBorders>
            <w:shd w:val="clear" w:color="auto" w:fill="DBDBDB"/>
          </w:tcPr>
          <w:p>
            <w:pPr>
              <w:ind w:left="200"/>
              <w:spacing w:after="0"/>
              <w:rPr>
                <w:sz w:val="20"/>
                <w:szCs w:val="20"/>
                <w:color w:val="auto"/>
              </w:rPr>
            </w:pPr>
            <w:r>
              <w:rPr>
                <w:rFonts w:ascii="Arial" w:cs="Arial" w:eastAsia="Arial" w:hAnsi="Arial"/>
                <w:sz w:val="14"/>
                <w:szCs w:val="14"/>
                <w:i w:val="1"/>
                <w:iCs w:val="1"/>
                <w:color w:val="auto"/>
              </w:rPr>
              <w:t>Former Chief</w:t>
            </w:r>
          </w:p>
        </w:tc>
        <w:tc>
          <w:tcPr>
            <w:tcW w:w="800" w:type="dxa"/>
            <w:vAlign w:val="bottom"/>
            <w:vMerge w:val="restart"/>
            <w:shd w:val="clear" w:color="auto" w:fill="DBDBDB"/>
          </w:tcPr>
          <w:p>
            <w:pPr>
              <w:jc w:val="center"/>
              <w:ind w:left="288"/>
              <w:spacing w:after="0"/>
              <w:rPr>
                <w:sz w:val="20"/>
                <w:szCs w:val="20"/>
                <w:color w:val="auto"/>
              </w:rPr>
            </w:pPr>
            <w:r>
              <w:rPr>
                <w:rFonts w:ascii="Arial" w:cs="Arial" w:eastAsia="Arial" w:hAnsi="Arial"/>
                <w:sz w:val="14"/>
                <w:szCs w:val="14"/>
                <w:color w:val="auto"/>
              </w:rPr>
              <w:t>2024</w:t>
            </w:r>
          </w:p>
        </w:tc>
        <w:tc>
          <w:tcPr>
            <w:tcW w:w="108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595,833</w:t>
            </w:r>
          </w:p>
        </w:tc>
        <w:tc>
          <w:tcPr>
            <w:tcW w:w="1080" w:type="dxa"/>
            <w:vAlign w:val="bottom"/>
            <w:vMerge w:val="restart"/>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10,321,451</w:t>
            </w:r>
          </w:p>
        </w:tc>
        <w:tc>
          <w:tcPr>
            <w:tcW w:w="104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vMerge w:val="restart"/>
            <w:shd w:val="clear" w:color="auto" w:fill="DBDBDB"/>
          </w:tcPr>
          <w:p>
            <w:pPr>
              <w:jc w:val="right"/>
              <w:ind w:right="150"/>
              <w:spacing w:after="0"/>
              <w:rPr>
                <w:sz w:val="20"/>
                <w:szCs w:val="20"/>
                <w:color w:val="auto"/>
              </w:rPr>
            </w:pPr>
            <w:r>
              <w:rPr>
                <w:rFonts w:ascii="Arial" w:cs="Arial" w:eastAsia="Arial" w:hAnsi="Arial"/>
                <w:sz w:val="14"/>
                <w:szCs w:val="14"/>
                <w:color w:val="auto"/>
              </w:rPr>
              <w:t>504,600</w:t>
            </w:r>
          </w:p>
        </w:tc>
        <w:tc>
          <w:tcPr>
            <w:tcW w:w="16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23,944</w:t>
            </w:r>
          </w:p>
        </w:tc>
        <w:tc>
          <w:tcPr>
            <w:tcW w:w="1100" w:type="dxa"/>
            <w:vAlign w:val="bottom"/>
            <w:tcBorders>
              <w:right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11,445,828</w:t>
            </w:r>
          </w:p>
        </w:tc>
        <w:tc>
          <w:tcPr>
            <w:tcW w:w="0" w:type="dxa"/>
            <w:vAlign w:val="bottom"/>
          </w:tcPr>
          <w:p>
            <w:pPr>
              <w:spacing w:after="0"/>
              <w:rPr>
                <w:sz w:val="1"/>
                <w:szCs w:val="1"/>
                <w:color w:val="auto"/>
              </w:rPr>
            </w:pPr>
          </w:p>
        </w:tc>
      </w:tr>
      <w:tr>
        <w:trPr>
          <w:trHeight w:val="183"/>
        </w:trPr>
        <w:tc>
          <w:tcPr>
            <w:tcW w:w="1500" w:type="dxa"/>
            <w:vAlign w:val="bottom"/>
            <w:tcBorders>
              <w:left w:val="single" w:sz="8" w:color="auto"/>
            </w:tcBorders>
            <w:shd w:val="clear" w:color="auto" w:fill="DBDBDB"/>
          </w:tcPr>
          <w:p>
            <w:pPr>
              <w:ind w:left="200"/>
              <w:spacing w:after="0"/>
              <w:rPr>
                <w:sz w:val="20"/>
                <w:szCs w:val="20"/>
                <w:color w:val="auto"/>
              </w:rPr>
            </w:pPr>
            <w:r>
              <w:rPr>
                <w:rFonts w:ascii="Arial" w:cs="Arial" w:eastAsia="Arial" w:hAnsi="Arial"/>
                <w:sz w:val="14"/>
                <w:szCs w:val="14"/>
                <w:i w:val="1"/>
                <w:iCs w:val="1"/>
                <w:color w:val="auto"/>
              </w:rPr>
              <w:t>Executive Officer</w:t>
            </w:r>
          </w:p>
        </w:tc>
        <w:tc>
          <w:tcPr>
            <w:tcW w:w="800" w:type="dxa"/>
            <w:vAlign w:val="bottom"/>
            <w:vMerge w:val="continue"/>
            <w:shd w:val="clear" w:color="auto" w:fill="DBDBDB"/>
          </w:tcPr>
          <w:p>
            <w:pPr>
              <w:spacing w:after="0"/>
              <w:rPr>
                <w:sz w:val="15"/>
                <w:szCs w:val="15"/>
                <w:color w:val="auto"/>
              </w:rPr>
            </w:pPr>
          </w:p>
        </w:tc>
        <w:tc>
          <w:tcPr>
            <w:tcW w:w="1080" w:type="dxa"/>
            <w:vAlign w:val="bottom"/>
            <w:vMerge w:val="continue"/>
            <w:shd w:val="clear" w:color="auto" w:fill="DBDBDB"/>
          </w:tcPr>
          <w:p>
            <w:pPr>
              <w:spacing w:after="0"/>
              <w:rPr>
                <w:sz w:val="15"/>
                <w:szCs w:val="15"/>
                <w:color w:val="auto"/>
              </w:rPr>
            </w:pPr>
          </w:p>
        </w:tc>
        <w:tc>
          <w:tcPr>
            <w:tcW w:w="1080" w:type="dxa"/>
            <w:vAlign w:val="bottom"/>
            <w:vMerge w:val="continue"/>
            <w:shd w:val="clear" w:color="auto" w:fill="DBDBDB"/>
          </w:tcPr>
          <w:p>
            <w:pPr>
              <w:spacing w:after="0"/>
              <w:rPr>
                <w:sz w:val="15"/>
                <w:szCs w:val="15"/>
                <w:color w:val="auto"/>
              </w:rPr>
            </w:pPr>
          </w:p>
        </w:tc>
        <w:tc>
          <w:tcPr>
            <w:tcW w:w="1200" w:type="dxa"/>
            <w:vAlign w:val="bottom"/>
            <w:vMerge w:val="continue"/>
            <w:shd w:val="clear" w:color="auto" w:fill="DBDBDB"/>
          </w:tcPr>
          <w:p>
            <w:pPr>
              <w:spacing w:after="0"/>
              <w:rPr>
                <w:sz w:val="15"/>
                <w:szCs w:val="15"/>
                <w:color w:val="auto"/>
              </w:rPr>
            </w:pPr>
          </w:p>
        </w:tc>
        <w:tc>
          <w:tcPr>
            <w:tcW w:w="1040" w:type="dxa"/>
            <w:vAlign w:val="bottom"/>
            <w:vMerge w:val="continue"/>
            <w:shd w:val="clear" w:color="auto" w:fill="DBDBDB"/>
          </w:tcPr>
          <w:p>
            <w:pPr>
              <w:spacing w:after="0"/>
              <w:rPr>
                <w:sz w:val="15"/>
                <w:szCs w:val="15"/>
                <w:color w:val="auto"/>
              </w:rPr>
            </w:pPr>
          </w:p>
        </w:tc>
        <w:tc>
          <w:tcPr>
            <w:tcW w:w="1780" w:type="dxa"/>
            <w:vAlign w:val="bottom"/>
            <w:vMerge w:val="continue"/>
            <w:shd w:val="clear" w:color="auto" w:fill="DBDBDB"/>
          </w:tcPr>
          <w:p>
            <w:pPr>
              <w:spacing w:after="0"/>
              <w:rPr>
                <w:sz w:val="15"/>
                <w:szCs w:val="15"/>
                <w:color w:val="auto"/>
              </w:rPr>
            </w:pPr>
          </w:p>
        </w:tc>
        <w:tc>
          <w:tcPr>
            <w:tcW w:w="1680" w:type="dxa"/>
            <w:vAlign w:val="bottom"/>
            <w:vMerge w:val="continue"/>
            <w:shd w:val="clear" w:color="auto" w:fill="DBDBDB"/>
          </w:tcPr>
          <w:p>
            <w:pPr>
              <w:spacing w:after="0"/>
              <w:rPr>
                <w:sz w:val="15"/>
                <w:szCs w:val="15"/>
                <w:color w:val="auto"/>
              </w:rPr>
            </w:pPr>
          </w:p>
        </w:tc>
        <w:tc>
          <w:tcPr>
            <w:tcW w:w="110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1500" w:type="dxa"/>
            <w:vAlign w:val="bottom"/>
            <w:tcBorders>
              <w:left w:val="single" w:sz="8" w:color="auto"/>
            </w:tcBorders>
            <w:shd w:val="clear" w:color="auto" w:fill="DBDBDB"/>
          </w:tcPr>
          <w:p>
            <w:pPr>
              <w:spacing w:after="0"/>
              <w:rPr>
                <w:sz w:val="24"/>
                <w:szCs w:val="24"/>
                <w:color w:val="auto"/>
              </w:rPr>
            </w:pPr>
          </w:p>
        </w:tc>
        <w:tc>
          <w:tcPr>
            <w:tcW w:w="800" w:type="dxa"/>
            <w:vAlign w:val="bottom"/>
            <w:shd w:val="clear" w:color="auto" w:fill="DBDBDB"/>
          </w:tcPr>
          <w:p>
            <w:pPr>
              <w:jc w:val="center"/>
              <w:ind w:left="288"/>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571,458</w:t>
            </w:r>
          </w:p>
        </w:tc>
        <w:tc>
          <w:tcPr>
            <w:tcW w:w="10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7,396,047</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7,620,111</w:t>
            </w:r>
          </w:p>
        </w:tc>
        <w:tc>
          <w:tcPr>
            <w:tcW w:w="178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auto"/>
              </w:rPr>
              <w:t>690,000</w:t>
            </w:r>
          </w:p>
        </w:tc>
        <w:tc>
          <w:tcPr>
            <w:tcW w:w="16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16,697</w:t>
            </w:r>
          </w:p>
        </w:tc>
        <w:tc>
          <w:tcPr>
            <w:tcW w:w="110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16,294,313</w:t>
            </w: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Todd Pollak</w:t>
            </w:r>
          </w:p>
        </w:tc>
        <w:tc>
          <w:tcPr>
            <w:tcW w:w="800" w:type="dxa"/>
            <w:vAlign w:val="bottom"/>
          </w:tcPr>
          <w:p>
            <w:pPr>
              <w:jc w:val="center"/>
              <w:ind w:left="288"/>
              <w:spacing w:after="0"/>
              <w:rPr>
                <w:sz w:val="20"/>
                <w:szCs w:val="20"/>
                <w:color w:val="auto"/>
              </w:rPr>
            </w:pPr>
            <w:r>
              <w:rPr>
                <w:rFonts w:ascii="Arial" w:cs="Arial" w:eastAsia="Arial" w:hAnsi="Arial"/>
                <w:sz w:val="14"/>
                <w:szCs w:val="14"/>
                <w:color w:val="auto"/>
              </w:rPr>
              <w:t>2025</w:t>
            </w:r>
          </w:p>
        </w:tc>
        <w:tc>
          <w:tcPr>
            <w:tcW w:w="1080" w:type="dxa"/>
            <w:vAlign w:val="bottom"/>
          </w:tcPr>
          <w:p>
            <w:pPr>
              <w:jc w:val="right"/>
              <w:spacing w:after="0"/>
              <w:rPr>
                <w:sz w:val="20"/>
                <w:szCs w:val="20"/>
                <w:color w:val="auto"/>
              </w:rPr>
            </w:pPr>
            <w:r>
              <w:rPr>
                <w:rFonts w:ascii="Arial" w:cs="Arial" w:eastAsia="Arial" w:hAnsi="Arial"/>
                <w:sz w:val="14"/>
                <w:szCs w:val="14"/>
                <w:color w:val="auto"/>
              </w:rPr>
              <w:t>440,000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722,623</w:t>
            </w:r>
          </w:p>
        </w:tc>
        <w:tc>
          <w:tcPr>
            <w:tcW w:w="1200" w:type="dxa"/>
            <w:vAlign w:val="bottom"/>
          </w:tcPr>
          <w:p>
            <w:pPr>
              <w:jc w:val="right"/>
              <w:spacing w:after="0"/>
              <w:rPr>
                <w:sz w:val="20"/>
                <w:szCs w:val="20"/>
                <w:color w:val="auto"/>
              </w:rPr>
            </w:pPr>
            <w:r>
              <w:rPr>
                <w:rFonts w:ascii="Arial" w:cs="Arial" w:eastAsia="Arial" w:hAnsi="Arial"/>
                <w:sz w:val="14"/>
                <w:szCs w:val="14"/>
                <w:color w:val="auto"/>
              </w:rPr>
              <w:t>3,515,443</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110"/>
              <w:spacing w:after="0"/>
              <w:rPr>
                <w:sz w:val="20"/>
                <w:szCs w:val="20"/>
                <w:color w:val="auto"/>
              </w:rPr>
            </w:pPr>
            <w:r>
              <w:rPr>
                <w:rFonts w:ascii="Arial" w:cs="Arial" w:eastAsia="Arial" w:hAnsi="Arial"/>
                <w:sz w:val="14"/>
                <w:szCs w:val="14"/>
                <w:color w:val="auto"/>
              </w:rPr>
              <w:t>387,777</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17,634</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5,083,477</w:t>
            </w:r>
          </w:p>
        </w:tc>
        <w:tc>
          <w:tcPr>
            <w:tcW w:w="0" w:type="dxa"/>
            <w:vAlign w:val="bottom"/>
          </w:tcPr>
          <w:p>
            <w:pPr>
              <w:spacing w:after="0"/>
              <w:rPr>
                <w:sz w:val="1"/>
                <w:szCs w:val="1"/>
                <w:color w:val="auto"/>
              </w:rPr>
            </w:pPr>
          </w:p>
        </w:tc>
      </w:tr>
      <w:tr>
        <w:trPr>
          <w:trHeight w:val="151"/>
        </w:trPr>
        <w:tc>
          <w:tcPr>
            <w:tcW w:w="1500" w:type="dxa"/>
            <w:vAlign w:val="bottom"/>
            <w:tcBorders>
              <w:left w:val="single" w:sz="8" w:color="auto"/>
            </w:tcBorders>
          </w:tcPr>
          <w:p>
            <w:pPr>
              <w:ind w:left="200"/>
              <w:spacing w:after="0" w:line="151" w:lineRule="exact"/>
              <w:rPr>
                <w:sz w:val="20"/>
                <w:szCs w:val="20"/>
                <w:color w:val="auto"/>
              </w:rPr>
            </w:pPr>
            <w:r>
              <w:rPr>
                <w:rFonts w:ascii="Arial" w:cs="Arial" w:eastAsia="Arial" w:hAnsi="Arial"/>
                <w:sz w:val="14"/>
                <w:szCs w:val="14"/>
                <w:i w:val="1"/>
                <w:iCs w:val="1"/>
                <w:color w:val="auto"/>
              </w:rPr>
              <w:t>Chief Revenue</w:t>
            </w:r>
          </w:p>
        </w:tc>
        <w:tc>
          <w:tcPr>
            <w:tcW w:w="800" w:type="dxa"/>
            <w:vAlign w:val="bottom"/>
            <w:vMerge w:val="restart"/>
          </w:tcPr>
          <w:p>
            <w:pPr>
              <w:jc w:val="center"/>
              <w:ind w:left="288"/>
              <w:spacing w:after="0"/>
              <w:rPr>
                <w:sz w:val="20"/>
                <w:szCs w:val="20"/>
                <w:color w:val="auto"/>
              </w:rPr>
            </w:pPr>
            <w:r>
              <w:rPr>
                <w:rFonts w:ascii="Arial" w:cs="Arial" w:eastAsia="Arial" w:hAnsi="Arial"/>
                <w:sz w:val="14"/>
                <w:szCs w:val="14"/>
                <w:color w:val="auto"/>
              </w:rPr>
              <w:t>2024</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433,333</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3,284,095</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vMerge w:val="restart"/>
          </w:tcPr>
          <w:p>
            <w:pPr>
              <w:jc w:val="right"/>
              <w:ind w:right="150"/>
              <w:spacing w:after="0"/>
              <w:rPr>
                <w:sz w:val="20"/>
                <w:szCs w:val="20"/>
                <w:color w:val="auto"/>
              </w:rPr>
            </w:pPr>
            <w:r>
              <w:rPr>
                <w:rFonts w:ascii="Arial" w:cs="Arial" w:eastAsia="Arial" w:hAnsi="Arial"/>
                <w:sz w:val="14"/>
                <w:szCs w:val="14"/>
                <w:color w:val="auto"/>
              </w:rPr>
              <w:t>425,000</w:t>
            </w: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color w:val="auto"/>
              </w:rPr>
              <w:t>17,647</w:t>
            </w:r>
          </w:p>
        </w:tc>
        <w:tc>
          <w:tcPr>
            <w:tcW w:w="11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4,160,076</w:t>
            </w:r>
          </w:p>
        </w:tc>
        <w:tc>
          <w:tcPr>
            <w:tcW w:w="0" w:type="dxa"/>
            <w:vAlign w:val="bottom"/>
          </w:tcPr>
          <w:p>
            <w:pPr>
              <w:spacing w:after="0"/>
              <w:rPr>
                <w:sz w:val="1"/>
                <w:szCs w:val="1"/>
                <w:color w:val="auto"/>
              </w:rPr>
            </w:pPr>
          </w:p>
        </w:tc>
      </w:tr>
      <w:tr>
        <w:trPr>
          <w:trHeight w:val="188"/>
        </w:trPr>
        <w:tc>
          <w:tcPr>
            <w:tcW w:w="1500" w:type="dxa"/>
            <w:vAlign w:val="bottom"/>
            <w:tcBorders>
              <w:left w:val="single" w:sz="8" w:color="auto"/>
            </w:tcBorders>
          </w:tcPr>
          <w:p>
            <w:pPr>
              <w:ind w:left="200"/>
              <w:spacing w:after="0"/>
              <w:rPr>
                <w:sz w:val="20"/>
                <w:szCs w:val="20"/>
                <w:color w:val="auto"/>
              </w:rPr>
            </w:pPr>
            <w:r>
              <w:rPr>
                <w:rFonts w:ascii="Arial" w:cs="Arial" w:eastAsia="Arial" w:hAnsi="Arial"/>
                <w:sz w:val="14"/>
                <w:szCs w:val="14"/>
                <w:i w:val="1"/>
                <w:iCs w:val="1"/>
                <w:color w:val="auto"/>
              </w:rPr>
              <w:t>Officer</w:t>
            </w:r>
          </w:p>
        </w:tc>
        <w:tc>
          <w:tcPr>
            <w:tcW w:w="8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1500" w:type="dxa"/>
            <w:vAlign w:val="bottom"/>
            <w:tcBorders>
              <w:left w:val="single" w:sz="8" w:color="auto"/>
            </w:tcBorders>
          </w:tcPr>
          <w:p>
            <w:pPr>
              <w:spacing w:after="0"/>
              <w:rPr>
                <w:sz w:val="24"/>
                <w:szCs w:val="24"/>
                <w:color w:val="auto"/>
              </w:rPr>
            </w:pPr>
          </w:p>
        </w:tc>
        <w:tc>
          <w:tcPr>
            <w:tcW w:w="80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6,523,119</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6,247,232</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400,000</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13,576</w:t>
            </w:r>
          </w:p>
        </w:tc>
        <w:tc>
          <w:tcPr>
            <w:tcW w:w="11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13,583,926</w:t>
            </w:r>
          </w:p>
        </w:tc>
        <w:tc>
          <w:tcPr>
            <w:tcW w:w="0" w:type="dxa"/>
            <w:vAlign w:val="bottom"/>
          </w:tcPr>
          <w:p>
            <w:pPr>
              <w:spacing w:after="0"/>
              <w:rPr>
                <w:sz w:val="1"/>
                <w:szCs w:val="1"/>
                <w:color w:val="auto"/>
              </w:rPr>
            </w:pPr>
          </w:p>
        </w:tc>
      </w:tr>
      <w:tr>
        <w:trPr>
          <w:trHeight w:val="218"/>
        </w:trPr>
        <w:tc>
          <w:tcPr>
            <w:tcW w:w="15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Crystal Sumner</w:t>
            </w:r>
          </w:p>
        </w:tc>
        <w:tc>
          <w:tcPr>
            <w:tcW w:w="800" w:type="dxa"/>
            <w:vAlign w:val="bottom"/>
            <w:shd w:val="clear" w:color="auto" w:fill="DBDBDB"/>
          </w:tcPr>
          <w:p>
            <w:pPr>
              <w:jc w:val="center"/>
              <w:ind w:left="288"/>
              <w:spacing w:after="0"/>
              <w:rPr>
                <w:sz w:val="20"/>
                <w:szCs w:val="20"/>
                <w:color w:val="auto"/>
              </w:rPr>
            </w:pPr>
            <w:r>
              <w:rPr>
                <w:rFonts w:ascii="Arial" w:cs="Arial" w:eastAsia="Arial" w:hAnsi="Arial"/>
                <w:sz w:val="14"/>
                <w:szCs w:val="14"/>
                <w:color w:val="auto"/>
              </w:rPr>
              <w:t>2025</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460,000</w:t>
            </w:r>
          </w:p>
        </w:tc>
        <w:tc>
          <w:tcPr>
            <w:tcW w:w="10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600,000</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3,789,323</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450,000</w:t>
            </w:r>
          </w:p>
        </w:tc>
        <w:tc>
          <w:tcPr>
            <w:tcW w:w="16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17,678</w:t>
            </w:r>
          </w:p>
        </w:tc>
        <w:tc>
          <w:tcPr>
            <w:tcW w:w="11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5,317,000</w:t>
            </w:r>
          </w:p>
        </w:tc>
        <w:tc>
          <w:tcPr>
            <w:tcW w:w="0" w:type="dxa"/>
            <w:vAlign w:val="bottom"/>
          </w:tcPr>
          <w:p>
            <w:pPr>
              <w:spacing w:after="0"/>
              <w:rPr>
                <w:sz w:val="1"/>
                <w:szCs w:val="1"/>
                <w:color w:val="auto"/>
              </w:rPr>
            </w:pPr>
          </w:p>
        </w:tc>
      </w:tr>
      <w:tr>
        <w:trPr>
          <w:trHeight w:val="151"/>
        </w:trPr>
        <w:tc>
          <w:tcPr>
            <w:tcW w:w="1500" w:type="dxa"/>
            <w:vAlign w:val="bottom"/>
            <w:tcBorders>
              <w:left w:val="single" w:sz="8" w:color="auto"/>
            </w:tcBorders>
            <w:shd w:val="clear" w:color="auto" w:fill="DBDBDB"/>
          </w:tcPr>
          <w:p>
            <w:pPr>
              <w:ind w:left="200"/>
              <w:spacing w:after="0" w:line="151" w:lineRule="exact"/>
              <w:rPr>
                <w:sz w:val="20"/>
                <w:szCs w:val="20"/>
                <w:color w:val="auto"/>
              </w:rPr>
            </w:pPr>
            <w:r>
              <w:rPr>
                <w:rFonts w:ascii="Arial" w:cs="Arial" w:eastAsia="Arial" w:hAnsi="Arial"/>
                <w:sz w:val="14"/>
                <w:szCs w:val="14"/>
                <w:i w:val="1"/>
                <w:iCs w:val="1"/>
                <w:color w:val="auto"/>
              </w:rPr>
              <w:t>Chief Administra-</w:t>
            </w:r>
          </w:p>
        </w:tc>
        <w:tc>
          <w:tcPr>
            <w:tcW w:w="8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780" w:type="dxa"/>
            <w:vAlign w:val="bottom"/>
            <w:shd w:val="clear" w:color="auto" w:fill="DBDBDB"/>
          </w:tcPr>
          <w:p>
            <w:pPr>
              <w:spacing w:after="0"/>
              <w:rPr>
                <w:sz w:val="13"/>
                <w:szCs w:val="13"/>
                <w:color w:val="auto"/>
              </w:rPr>
            </w:pPr>
          </w:p>
        </w:tc>
        <w:tc>
          <w:tcPr>
            <w:tcW w:w="168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500" w:type="dxa"/>
            <w:vAlign w:val="bottom"/>
            <w:tcBorders>
              <w:left w:val="single" w:sz="8" w:color="auto"/>
            </w:tcBorders>
            <w:shd w:val="clear" w:color="auto" w:fill="DBDBDB"/>
          </w:tcPr>
          <w:p>
            <w:pPr>
              <w:ind w:left="200"/>
              <w:spacing w:after="0" w:line="141" w:lineRule="exact"/>
              <w:rPr>
                <w:sz w:val="20"/>
                <w:szCs w:val="20"/>
                <w:color w:val="auto"/>
              </w:rPr>
            </w:pPr>
            <w:r>
              <w:rPr>
                <w:rFonts w:ascii="Arial" w:cs="Arial" w:eastAsia="Arial" w:hAnsi="Arial"/>
                <w:sz w:val="14"/>
                <w:szCs w:val="14"/>
                <w:i w:val="1"/>
                <w:iCs w:val="1"/>
                <w:color w:val="auto"/>
              </w:rPr>
              <w:t>tive Officer and</w:t>
            </w:r>
          </w:p>
        </w:tc>
        <w:tc>
          <w:tcPr>
            <w:tcW w:w="800" w:type="dxa"/>
            <w:vAlign w:val="bottom"/>
            <w:vMerge w:val="restart"/>
            <w:shd w:val="clear" w:color="auto" w:fill="DBDBDB"/>
          </w:tcPr>
          <w:p>
            <w:pPr>
              <w:jc w:val="center"/>
              <w:ind w:left="288"/>
              <w:spacing w:after="0"/>
              <w:rPr>
                <w:sz w:val="20"/>
                <w:szCs w:val="20"/>
                <w:color w:val="auto"/>
              </w:rPr>
            </w:pPr>
            <w:r>
              <w:rPr>
                <w:rFonts w:ascii="Arial" w:cs="Arial" w:eastAsia="Arial" w:hAnsi="Arial"/>
                <w:sz w:val="14"/>
                <w:szCs w:val="14"/>
                <w:color w:val="auto"/>
              </w:rPr>
              <w:t>2024</w:t>
            </w:r>
          </w:p>
        </w:tc>
        <w:tc>
          <w:tcPr>
            <w:tcW w:w="108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456,667</w:t>
            </w:r>
          </w:p>
        </w:tc>
        <w:tc>
          <w:tcPr>
            <w:tcW w:w="1080" w:type="dxa"/>
            <w:vAlign w:val="bottom"/>
            <w:vMerge w:val="restart"/>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3,753,254</w:t>
            </w:r>
          </w:p>
        </w:tc>
        <w:tc>
          <w:tcPr>
            <w:tcW w:w="104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vMerge w:val="restart"/>
            <w:shd w:val="clear" w:color="auto" w:fill="DBDBDB"/>
          </w:tcPr>
          <w:p>
            <w:pPr>
              <w:jc w:val="right"/>
              <w:ind w:right="150"/>
              <w:spacing w:after="0"/>
              <w:rPr>
                <w:sz w:val="20"/>
                <w:szCs w:val="20"/>
                <w:color w:val="auto"/>
              </w:rPr>
            </w:pPr>
            <w:r>
              <w:rPr>
                <w:rFonts w:ascii="Arial" w:cs="Arial" w:eastAsia="Arial" w:hAnsi="Arial"/>
                <w:sz w:val="14"/>
                <w:szCs w:val="14"/>
                <w:color w:val="auto"/>
              </w:rPr>
              <w:t>359,145</w:t>
            </w:r>
          </w:p>
        </w:tc>
        <w:tc>
          <w:tcPr>
            <w:tcW w:w="16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17,808</w:t>
            </w:r>
          </w:p>
        </w:tc>
        <w:tc>
          <w:tcPr>
            <w:tcW w:w="1100" w:type="dxa"/>
            <w:vAlign w:val="bottom"/>
            <w:tcBorders>
              <w:right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4,586,874</w:t>
            </w:r>
          </w:p>
        </w:tc>
        <w:tc>
          <w:tcPr>
            <w:tcW w:w="0" w:type="dxa"/>
            <w:vAlign w:val="bottom"/>
          </w:tcPr>
          <w:p>
            <w:pPr>
              <w:spacing w:after="0"/>
              <w:rPr>
                <w:sz w:val="1"/>
                <w:szCs w:val="1"/>
                <w:color w:val="auto"/>
              </w:rPr>
            </w:pPr>
          </w:p>
        </w:tc>
      </w:tr>
      <w:tr>
        <w:trPr>
          <w:trHeight w:val="134"/>
        </w:trPr>
        <w:tc>
          <w:tcPr>
            <w:tcW w:w="1500" w:type="dxa"/>
            <w:vAlign w:val="bottom"/>
            <w:tcBorders>
              <w:left w:val="single" w:sz="8" w:color="auto"/>
            </w:tcBorders>
            <w:vMerge w:val="restart"/>
            <w:shd w:val="clear" w:color="auto" w:fill="DBDBDB"/>
          </w:tcPr>
          <w:p>
            <w:pPr>
              <w:ind w:left="200"/>
              <w:spacing w:after="0"/>
              <w:rPr>
                <w:sz w:val="20"/>
                <w:szCs w:val="20"/>
                <w:color w:val="auto"/>
              </w:rPr>
            </w:pPr>
            <w:r>
              <w:rPr>
                <w:rFonts w:ascii="Arial" w:cs="Arial" w:eastAsia="Arial" w:hAnsi="Arial"/>
                <w:sz w:val="14"/>
                <w:szCs w:val="14"/>
                <w:i w:val="1"/>
                <w:iCs w:val="1"/>
                <w:color w:val="auto"/>
              </w:rPr>
              <w:t>Secretary</w:t>
            </w:r>
          </w:p>
        </w:tc>
        <w:tc>
          <w:tcPr>
            <w:tcW w:w="800" w:type="dxa"/>
            <w:vAlign w:val="bottom"/>
            <w:vMerge w:val="continue"/>
            <w:shd w:val="clear" w:color="auto" w:fill="DBDBDB"/>
          </w:tcPr>
          <w:p>
            <w:pPr>
              <w:spacing w:after="0"/>
              <w:rPr>
                <w:sz w:val="11"/>
                <w:szCs w:val="11"/>
                <w:color w:val="auto"/>
              </w:rPr>
            </w:pPr>
          </w:p>
        </w:tc>
        <w:tc>
          <w:tcPr>
            <w:tcW w:w="1080" w:type="dxa"/>
            <w:vAlign w:val="bottom"/>
            <w:vMerge w:val="continue"/>
            <w:shd w:val="clear" w:color="auto" w:fill="DBDBDB"/>
          </w:tcPr>
          <w:p>
            <w:pPr>
              <w:spacing w:after="0"/>
              <w:rPr>
                <w:sz w:val="11"/>
                <w:szCs w:val="11"/>
                <w:color w:val="auto"/>
              </w:rPr>
            </w:pPr>
          </w:p>
        </w:tc>
        <w:tc>
          <w:tcPr>
            <w:tcW w:w="1080" w:type="dxa"/>
            <w:vAlign w:val="bottom"/>
            <w:vMerge w:val="continue"/>
            <w:shd w:val="clear" w:color="auto" w:fill="DBDBDB"/>
          </w:tcPr>
          <w:p>
            <w:pPr>
              <w:spacing w:after="0"/>
              <w:rPr>
                <w:sz w:val="11"/>
                <w:szCs w:val="11"/>
                <w:color w:val="auto"/>
              </w:rPr>
            </w:pPr>
          </w:p>
        </w:tc>
        <w:tc>
          <w:tcPr>
            <w:tcW w:w="1200" w:type="dxa"/>
            <w:vAlign w:val="bottom"/>
            <w:vMerge w:val="continue"/>
            <w:shd w:val="clear" w:color="auto" w:fill="DBDBDB"/>
          </w:tcPr>
          <w:p>
            <w:pPr>
              <w:spacing w:after="0"/>
              <w:rPr>
                <w:sz w:val="11"/>
                <w:szCs w:val="11"/>
                <w:color w:val="auto"/>
              </w:rPr>
            </w:pPr>
          </w:p>
        </w:tc>
        <w:tc>
          <w:tcPr>
            <w:tcW w:w="1040" w:type="dxa"/>
            <w:vAlign w:val="bottom"/>
            <w:vMerge w:val="continue"/>
            <w:shd w:val="clear" w:color="auto" w:fill="DBDBDB"/>
          </w:tcPr>
          <w:p>
            <w:pPr>
              <w:spacing w:after="0"/>
              <w:rPr>
                <w:sz w:val="11"/>
                <w:szCs w:val="11"/>
                <w:color w:val="auto"/>
              </w:rPr>
            </w:pPr>
          </w:p>
        </w:tc>
        <w:tc>
          <w:tcPr>
            <w:tcW w:w="1780" w:type="dxa"/>
            <w:vAlign w:val="bottom"/>
            <w:vMerge w:val="continue"/>
            <w:shd w:val="clear" w:color="auto" w:fill="DBDBDB"/>
          </w:tcPr>
          <w:p>
            <w:pPr>
              <w:spacing w:after="0"/>
              <w:rPr>
                <w:sz w:val="11"/>
                <w:szCs w:val="11"/>
                <w:color w:val="auto"/>
              </w:rPr>
            </w:pPr>
          </w:p>
        </w:tc>
        <w:tc>
          <w:tcPr>
            <w:tcW w:w="1680" w:type="dxa"/>
            <w:vAlign w:val="bottom"/>
            <w:vMerge w:val="continue"/>
            <w:shd w:val="clear" w:color="auto" w:fill="DBDBDB"/>
          </w:tcPr>
          <w:p>
            <w:pPr>
              <w:spacing w:after="0"/>
              <w:rPr>
                <w:sz w:val="11"/>
                <w:szCs w:val="11"/>
                <w:color w:val="auto"/>
              </w:rPr>
            </w:pPr>
          </w:p>
        </w:tc>
        <w:tc>
          <w:tcPr>
            <w:tcW w:w="11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Borders>
              <w:left w:val="single" w:sz="8" w:color="auto"/>
            </w:tcBorders>
            <w:vMerge w:val="continue"/>
            <w:shd w:val="clear" w:color="auto" w:fill="DBDBDB"/>
          </w:tcPr>
          <w:p>
            <w:pPr>
              <w:spacing w:after="0"/>
              <w:rPr>
                <w:sz w:val="4"/>
                <w:szCs w:val="4"/>
                <w:color w:val="auto"/>
              </w:rPr>
            </w:pPr>
          </w:p>
        </w:tc>
        <w:tc>
          <w:tcPr>
            <w:tcW w:w="80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40" w:type="dxa"/>
            <w:vAlign w:val="bottom"/>
            <w:shd w:val="clear" w:color="auto" w:fill="DBDBDB"/>
          </w:tcPr>
          <w:p>
            <w:pPr>
              <w:spacing w:after="0"/>
              <w:rPr>
                <w:sz w:val="4"/>
                <w:szCs w:val="4"/>
                <w:color w:val="auto"/>
              </w:rPr>
            </w:pPr>
          </w:p>
        </w:tc>
        <w:tc>
          <w:tcPr>
            <w:tcW w:w="1780" w:type="dxa"/>
            <w:vAlign w:val="bottom"/>
            <w:shd w:val="clear" w:color="auto" w:fill="DBDBDB"/>
          </w:tcPr>
          <w:p>
            <w:pPr>
              <w:spacing w:after="0"/>
              <w:rPr>
                <w:sz w:val="4"/>
                <w:szCs w:val="4"/>
                <w:color w:val="auto"/>
              </w:rPr>
            </w:pPr>
          </w:p>
        </w:tc>
        <w:tc>
          <w:tcPr>
            <w:tcW w:w="1680" w:type="dxa"/>
            <w:vAlign w:val="bottom"/>
            <w:shd w:val="clear" w:color="auto" w:fill="DBDBDB"/>
          </w:tcPr>
          <w:p>
            <w:pPr>
              <w:spacing w:after="0"/>
              <w:rPr>
                <w:sz w:val="4"/>
                <w:szCs w:val="4"/>
                <w:color w:val="auto"/>
              </w:rPr>
            </w:pPr>
          </w:p>
        </w:tc>
        <w:tc>
          <w:tcPr>
            <w:tcW w:w="1100" w:type="dxa"/>
            <w:vAlign w:val="bottom"/>
            <w:tcBorders>
              <w:right w:val="single" w:sz="8" w:color="auto"/>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386"/>
        </w:trPr>
        <w:tc>
          <w:tcPr>
            <w:tcW w:w="1500" w:type="dxa"/>
            <w:vAlign w:val="bottom"/>
            <w:tcBorders>
              <w:left w:val="single" w:sz="8" w:color="auto"/>
              <w:bottom w:val="single" w:sz="8" w:color="auto"/>
            </w:tcBorders>
            <w:shd w:val="clear" w:color="auto" w:fill="DBDBDB"/>
          </w:tcPr>
          <w:p>
            <w:pPr>
              <w:spacing w:after="0"/>
              <w:rPr>
                <w:sz w:val="24"/>
                <w:szCs w:val="24"/>
                <w:color w:val="auto"/>
              </w:rPr>
            </w:pPr>
          </w:p>
        </w:tc>
        <w:tc>
          <w:tcPr>
            <w:tcW w:w="800" w:type="dxa"/>
            <w:vAlign w:val="bottom"/>
            <w:tcBorders>
              <w:bottom w:val="single" w:sz="8" w:color="auto"/>
            </w:tcBorders>
            <w:shd w:val="clear" w:color="auto" w:fill="DBDBDB"/>
          </w:tcPr>
          <w:p>
            <w:pPr>
              <w:jc w:val="center"/>
              <w:ind w:left="268"/>
              <w:spacing w:after="0"/>
              <w:rPr>
                <w:sz w:val="20"/>
                <w:szCs w:val="20"/>
                <w:color w:val="auto"/>
              </w:rPr>
            </w:pPr>
            <w:r>
              <w:rPr>
                <w:rFonts w:ascii="Arial" w:cs="Arial" w:eastAsia="Arial" w:hAnsi="Arial"/>
                <w:sz w:val="14"/>
                <w:szCs w:val="14"/>
                <w:color w:val="auto"/>
                <w:w w:val="91"/>
              </w:rPr>
              <w:t>2023</w:t>
            </w:r>
            <w:r>
              <w:rPr>
                <w:rFonts w:ascii="Arial" w:cs="Arial" w:eastAsia="Arial" w:hAnsi="Arial"/>
                <w:sz w:val="18"/>
                <w:szCs w:val="18"/>
                <w:color w:val="auto"/>
                <w:w w:val="91"/>
                <w:vertAlign w:val="superscript"/>
              </w:rPr>
              <w:t>(5)</w:t>
            </w:r>
          </w:p>
        </w:tc>
        <w:tc>
          <w:tcPr>
            <w:tcW w:w="108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390,077</w:t>
            </w:r>
          </w:p>
        </w:tc>
        <w:tc>
          <w:tcPr>
            <w:tcW w:w="108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auto"/>
              </w:rPr>
              <w:t>85,000</w:t>
            </w:r>
          </w:p>
        </w:tc>
        <w:tc>
          <w:tcPr>
            <w:tcW w:w="120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1,778,981</w:t>
            </w: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2,298,629</w:t>
            </w:r>
          </w:p>
        </w:tc>
        <w:tc>
          <w:tcPr>
            <w:tcW w:w="17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4"/>
                <w:szCs w:val="14"/>
                <w:color w:val="auto"/>
              </w:rPr>
              <w:t>476,000</w:t>
            </w:r>
          </w:p>
        </w:tc>
        <w:tc>
          <w:tcPr>
            <w:tcW w:w="168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14,241</w:t>
            </w:r>
          </w:p>
        </w:tc>
        <w:tc>
          <w:tcPr>
            <w:tcW w:w="110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5,042,928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20" w:hanging="350"/>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reported in the “Bonus” column for fiscal year 2025 represent discretionary one-time bonuses paid in connection with the CEO transition in February 2025.</w:t>
      </w:r>
    </w:p>
    <w:p>
      <w:pPr>
        <w:spacing w:after="0" w:line="28" w:lineRule="exact"/>
        <w:rPr>
          <w:rFonts w:ascii="Arial" w:cs="Arial" w:eastAsia="Arial" w:hAnsi="Arial"/>
          <w:sz w:val="14"/>
          <w:szCs w:val="14"/>
          <w:color w:val="auto"/>
        </w:rPr>
      </w:pPr>
    </w:p>
    <w:p>
      <w:pPr>
        <w:jc w:val="both"/>
        <w:ind w:left="500" w:right="20" w:hanging="330"/>
        <w:spacing w:after="0" w:line="257" w:lineRule="auto"/>
        <w:tabs>
          <w:tab w:leader="none" w:pos="48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reported in the “Stock Awards” and “Option Awards” columns represent the aggregate grant date fair value of the RSUs and stock options awarded to our NEOs during fiscal years 2025, 2024, and 2023, calculated in accordance with FASB ASC Topic 718, except as otherwise set forth below. Such grant date fair values do not take into account any estimated forfeitures. The assumptions used in calculating the grant date fair value of the awards reported in this column are set forth in the notes to our consolidated financial statements included in our 2025 Annual Report. The amounts reported in this column reflect the accounting cost for these awards and do not correspond to the actual economic value that may be received by our NEOs upon the sale of the underlying shares of common stock. For PSUs, the amount reported represents the grant-date fair value based upon the probable outcome of the performance conditions for such awards, consistent with the estimate of aggregate compensation cost to be recognized over the service period determined as of the grant date under FASB ASC Topic 718, excluding the effect of estimated forfeitures. If maximum performance were deemed achieved for the PSU awards for which the performance conditions were established during fiscal year 2025, the grant-date fair value of such awards would be $1,764,304 for Mr. Milotich, $1,482,068 for Mr. Pollak, and $1,646,396 for Ms. Sumner. Based on actual achievement for fiscal year 2025, 136.2% of the PSU awards granted in fiscal year 2025 that were eligible to be earned in fiscal year 2025 became eligible to vest.</w:t>
      </w:r>
    </w:p>
    <w:p>
      <w:pPr>
        <w:spacing w:after="0" w:line="4" w:lineRule="exact"/>
        <w:rPr>
          <w:rFonts w:ascii="Arial" w:cs="Arial" w:eastAsia="Arial" w:hAnsi="Arial"/>
          <w:sz w:val="14"/>
          <w:szCs w:val="14"/>
          <w:color w:val="auto"/>
        </w:rPr>
      </w:pPr>
    </w:p>
    <w:p>
      <w:pPr>
        <w:jc w:val="both"/>
        <w:ind w:left="500" w:right="20" w:hanging="330"/>
        <w:spacing w:after="0" w:line="269" w:lineRule="auto"/>
        <w:tabs>
          <w:tab w:leader="none" w:pos="48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reported in the “Non-Equity Incentive Compensation” column reflect bonuses paid to each of our NEOs under our Bonus Plan or the CRO Commission Plan during the relevant fiscal year, as applicable, as described more fully in the section titled “Compensation Elements” in “Compensation Discussion &amp; Analysis” above.</w:t>
      </w:r>
    </w:p>
    <w:p>
      <w:pPr>
        <w:spacing w:after="0" w:line="152" w:lineRule="exact"/>
        <w:rPr>
          <w:rFonts w:ascii="Arial" w:cs="Arial" w:eastAsia="Arial" w:hAnsi="Arial"/>
          <w:sz w:val="14"/>
          <w:szCs w:val="14"/>
          <w:color w:val="auto"/>
        </w:rPr>
      </w:pPr>
    </w:p>
    <w:p>
      <w:pPr>
        <w:ind w:left="460" w:hanging="290"/>
        <w:spacing w:after="0"/>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fiscal year 2025, the amounts reported in the “All Other Compensation” column represent:</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Mr. Milotich, 401(k) matches ($11,750), group term life insurance, and stipends for parking, commute, connectivity, and cell phones.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Mr. Khalaf, 401(k) matches ($12,097), group term life insurance, and stipends for parking, commute, connectivity, and cell phones.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Mr. Pollak, 401(k) matches ($10,500), group term life insurance, and stipends for parking, commute, connectivity, and cell phones.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Ms. Sumner, 401(k) matches ($11,558), group term life insurance, and stipends for parking, commute, connectivity, and cell phones.</w:t>
      </w:r>
    </w:p>
    <w:p>
      <w:pPr>
        <w:spacing w:after="0" w:line="1" w:lineRule="exact"/>
        <w:rPr>
          <w:sz w:val="20"/>
          <w:szCs w:val="20"/>
          <w:color w:val="auto"/>
        </w:rPr>
      </w:pPr>
    </w:p>
    <w:p>
      <w:pPr>
        <w:ind w:left="380" w:hanging="210"/>
        <w:spacing w:after="0"/>
        <w:tabs>
          <w:tab w:leader="none" w:pos="3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Khalaf departed from his role as Chief Executive Officer in February 2025.</w:t>
      </w:r>
    </w:p>
    <w:p>
      <w:pPr>
        <w:spacing w:after="0" w:line="14" w:lineRule="exact"/>
        <w:rPr>
          <w:rFonts w:ascii="Arial" w:cs="Arial" w:eastAsia="Arial" w:hAnsi="Arial"/>
          <w:sz w:val="14"/>
          <w:szCs w:val="14"/>
          <w:color w:val="auto"/>
        </w:rPr>
      </w:pPr>
    </w:p>
    <w:p>
      <w:pPr>
        <w:ind w:left="500" w:right="20" w:hanging="330"/>
        <w:spacing w:after="0" w:line="284" w:lineRule="auto"/>
        <w:tabs>
          <w:tab w:leader="none" w:pos="546" w:val="left"/>
        </w:tabs>
        <w:numPr>
          <w:ilvl w:val="0"/>
          <w:numId w:val="82"/>
        </w:numPr>
        <w:rPr>
          <w:rFonts w:ascii="Arial" w:cs="Arial" w:eastAsia="Arial" w:hAnsi="Arial"/>
          <w:sz w:val="14"/>
          <w:szCs w:val="14"/>
          <w:color w:val="auto"/>
        </w:rPr>
      </w:pPr>
      <w:r>
        <w:rPr>
          <w:rFonts w:ascii="Arial" w:cs="Arial" w:eastAsia="Arial" w:hAnsi="Arial"/>
          <w:sz w:val="14"/>
          <w:szCs w:val="14"/>
          <w:color w:val="auto"/>
        </w:rPr>
        <w:t>Ms. Sumner was hired in February 2023. The amounts reported in the “Salary” and “Non-Equity Incentive Plan” columns for fiscal year 2023 reflect prorated amounts received during her first year of hire. The amount reported in</w:t>
      </w:r>
    </w:p>
    <w:p>
      <w:pPr>
        <w:spacing w:after="0" w:line="316"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5" w:right="319" w:bottom="1440" w:gutter="0" w:footer="0" w:header="0"/>
        </w:sectPr>
      </w:pPr>
    </w:p>
    <w:bookmarkStart w:id="56" w:name="page57"/>
    <w:bookmarkEnd w:id="56"/>
    <w:p>
      <w:pPr>
        <w:ind w:left="500"/>
        <w:spacing w:after="0"/>
        <w:rPr>
          <w:sz w:val="20"/>
          <w:szCs w:val="20"/>
          <w:color w:val="auto"/>
        </w:rPr>
      </w:pPr>
      <w:r>
        <w:rPr>
          <w:rFonts w:ascii="Arial" w:cs="Arial" w:eastAsia="Arial" w:hAnsi="Arial"/>
          <w:sz w:val="14"/>
          <w:szCs w:val="14"/>
          <w:color w:val="auto"/>
        </w:rPr>
        <w:t>the “Bonus” column for fiscal year 2023 represents a discretionary one-time bonus paid in connection Ms. Sumner joining the Company in February 2023.</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awards made to our NEOs during fiscal year 2025.</w:t>
      </w:r>
    </w:p>
    <w:p>
      <w:pPr>
        <w:spacing w:after="0" w:line="143" w:lineRule="exact"/>
        <w:rPr>
          <w:sz w:val="20"/>
          <w:szCs w:val="20"/>
          <w:color w:val="auto"/>
        </w:rPr>
      </w:pPr>
    </w:p>
    <w:tbl>
      <w:tblPr>
        <w:tblLayout w:type="fixed"/>
        <w:tblInd w:w="510" w:type="dxa"/>
        <w:tblCellMar>
          <w:top w:w="0" w:type="dxa"/>
          <w:left w:w="0" w:type="dxa"/>
          <w:bottom w:w="0" w:type="dxa"/>
          <w:right w:w="0" w:type="dxa"/>
        </w:tblCellMar>
      </w:tblPr>
      <w:tr>
        <w:trPr>
          <w:trHeight w:val="166"/>
        </w:trPr>
        <w:tc>
          <w:tcPr>
            <w:tcW w:w="780" w:type="dxa"/>
            <w:vAlign w:val="bottom"/>
            <w:tcBorders>
              <w:top w:val="single" w:sz="8" w:color="auto"/>
              <w:left w:val="single" w:sz="8" w:color="auto"/>
            </w:tcBorders>
            <w:shd w:val="clear" w:color="auto" w:fill="929292"/>
          </w:tcPr>
          <w:p>
            <w:pPr>
              <w:spacing w:after="0"/>
              <w:rPr>
                <w:sz w:val="14"/>
                <w:szCs w:val="14"/>
                <w:color w:val="auto"/>
              </w:rPr>
            </w:pPr>
          </w:p>
        </w:tc>
        <w:tc>
          <w:tcPr>
            <w:tcW w:w="880" w:type="dxa"/>
            <w:vAlign w:val="bottom"/>
            <w:tcBorders>
              <w:top w:val="single" w:sz="8" w:color="auto"/>
            </w:tcBorders>
            <w:shd w:val="clear" w:color="auto" w:fill="929292"/>
          </w:tcPr>
          <w:p>
            <w:pPr>
              <w:spacing w:after="0"/>
              <w:rPr>
                <w:sz w:val="14"/>
                <w:szCs w:val="14"/>
                <w:color w:val="auto"/>
              </w:rPr>
            </w:pPr>
          </w:p>
        </w:tc>
        <w:tc>
          <w:tcPr>
            <w:tcW w:w="1140" w:type="dxa"/>
            <w:vAlign w:val="bottom"/>
            <w:tcBorders>
              <w:top w:val="single" w:sz="8" w:color="auto"/>
            </w:tcBorders>
            <w:shd w:val="clear" w:color="auto" w:fill="929292"/>
          </w:tcPr>
          <w:p>
            <w:pPr>
              <w:spacing w:after="0"/>
              <w:rPr>
                <w:sz w:val="14"/>
                <w:szCs w:val="14"/>
                <w:color w:val="auto"/>
              </w:rPr>
            </w:pPr>
          </w:p>
        </w:tc>
        <w:tc>
          <w:tcPr>
            <w:tcW w:w="2480" w:type="dxa"/>
            <w:vAlign w:val="bottom"/>
            <w:tcBorders>
              <w:top w:val="single" w:sz="8" w:color="auto"/>
            </w:tcBorders>
            <w:gridSpan w:val="3"/>
            <w:shd w:val="clear" w:color="auto" w:fill="929292"/>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2880" w:type="dxa"/>
            <w:vAlign w:val="bottom"/>
            <w:tcBorders>
              <w:top w:val="single" w:sz="8" w:color="auto"/>
            </w:tcBorders>
            <w:gridSpan w:val="3"/>
            <w:vMerge w:val="restart"/>
            <w:shd w:val="clear" w:color="auto" w:fill="929292"/>
          </w:tcPr>
          <w:p>
            <w:pPr>
              <w:jc w:val="right"/>
              <w:spacing w:after="0"/>
              <w:rPr>
                <w:sz w:val="20"/>
                <w:szCs w:val="20"/>
                <w:color w:val="auto"/>
              </w:rPr>
            </w:pPr>
            <w:r>
              <w:rPr>
                <w:rFonts w:ascii="Arial" w:cs="Arial" w:eastAsia="Arial" w:hAnsi="Arial"/>
                <w:sz w:val="14"/>
                <w:szCs w:val="14"/>
                <w:b w:val="1"/>
                <w:bCs w:val="1"/>
                <w:color w:val="FFFFFF"/>
              </w:rPr>
              <w:t>Estimated Future Payouts Under Equity</w:t>
            </w:r>
          </w:p>
        </w:tc>
        <w:tc>
          <w:tcPr>
            <w:tcW w:w="1060" w:type="dxa"/>
            <w:vAlign w:val="bottom"/>
            <w:tcBorders>
              <w:top w:val="single" w:sz="8" w:color="auto"/>
            </w:tcBorders>
            <w:shd w:val="clear" w:color="auto" w:fill="929292"/>
          </w:tcPr>
          <w:p>
            <w:pPr>
              <w:spacing w:after="0"/>
              <w:rPr>
                <w:sz w:val="14"/>
                <w:szCs w:val="14"/>
                <w:color w:val="auto"/>
              </w:rPr>
            </w:pPr>
          </w:p>
        </w:tc>
        <w:tc>
          <w:tcPr>
            <w:tcW w:w="1040" w:type="dxa"/>
            <w:vAlign w:val="bottom"/>
            <w:tcBorders>
              <w:top w:val="single" w:sz="8" w:color="auto"/>
              <w:right w:val="single" w:sz="8" w:color="auto"/>
            </w:tcBorders>
            <w:shd w:val="clear" w:color="auto" w:fill="92929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tcBorders>
              <w:left w:val="single" w:sz="8" w:color="auto"/>
            </w:tcBorders>
            <w:shd w:val="clear" w:color="auto" w:fill="929292"/>
          </w:tcPr>
          <w:p>
            <w:pPr>
              <w:spacing w:after="0"/>
              <w:rPr>
                <w:sz w:val="12"/>
                <w:szCs w:val="12"/>
                <w:color w:val="auto"/>
              </w:rPr>
            </w:pPr>
          </w:p>
        </w:tc>
        <w:tc>
          <w:tcPr>
            <w:tcW w:w="880" w:type="dxa"/>
            <w:vAlign w:val="bottom"/>
            <w:shd w:val="clear" w:color="auto" w:fill="929292"/>
          </w:tcPr>
          <w:p>
            <w:pPr>
              <w:spacing w:after="0"/>
              <w:rPr>
                <w:sz w:val="12"/>
                <w:szCs w:val="12"/>
                <w:color w:val="auto"/>
              </w:rPr>
            </w:pPr>
          </w:p>
        </w:tc>
        <w:tc>
          <w:tcPr>
            <w:tcW w:w="1140" w:type="dxa"/>
            <w:vAlign w:val="bottom"/>
            <w:shd w:val="clear" w:color="auto" w:fill="929292"/>
          </w:tcPr>
          <w:p>
            <w:pPr>
              <w:spacing w:after="0"/>
              <w:rPr>
                <w:sz w:val="12"/>
                <w:szCs w:val="12"/>
                <w:color w:val="auto"/>
              </w:rPr>
            </w:pPr>
          </w:p>
        </w:tc>
        <w:tc>
          <w:tcPr>
            <w:tcW w:w="2480" w:type="dxa"/>
            <w:vAlign w:val="bottom"/>
            <w:gridSpan w:val="3"/>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Non-Equity Incentive Plan</w:t>
            </w:r>
          </w:p>
        </w:tc>
        <w:tc>
          <w:tcPr>
            <w:tcW w:w="2880" w:type="dxa"/>
            <w:vAlign w:val="bottom"/>
            <w:gridSpan w:val="3"/>
            <w:vMerge w:val="continue"/>
            <w:shd w:val="clear" w:color="auto" w:fill="929292"/>
          </w:tcPr>
          <w:p>
            <w:pPr>
              <w:spacing w:after="0"/>
              <w:rPr>
                <w:sz w:val="12"/>
                <w:szCs w:val="12"/>
                <w:color w:val="auto"/>
              </w:rPr>
            </w:pPr>
          </w:p>
        </w:tc>
        <w:tc>
          <w:tcPr>
            <w:tcW w:w="1060" w:type="dxa"/>
            <w:vAlign w:val="bottom"/>
            <w:shd w:val="clear" w:color="auto" w:fill="929292"/>
          </w:tcPr>
          <w:p>
            <w:pPr>
              <w:spacing w:after="0"/>
              <w:rPr>
                <w:sz w:val="12"/>
                <w:szCs w:val="12"/>
                <w:color w:val="auto"/>
              </w:rPr>
            </w:pPr>
          </w:p>
        </w:tc>
        <w:tc>
          <w:tcPr>
            <w:tcW w:w="10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auto"/>
            </w:tcBorders>
            <w:shd w:val="clear" w:color="auto" w:fill="929292"/>
          </w:tcPr>
          <w:p>
            <w:pPr>
              <w:spacing w:after="0"/>
              <w:rPr>
                <w:sz w:val="16"/>
                <w:szCs w:val="16"/>
                <w:color w:val="auto"/>
              </w:rPr>
            </w:pPr>
          </w:p>
        </w:tc>
        <w:tc>
          <w:tcPr>
            <w:tcW w:w="880" w:type="dxa"/>
            <w:vAlign w:val="bottom"/>
            <w:shd w:val="clear" w:color="auto" w:fill="929292"/>
          </w:tcPr>
          <w:p>
            <w:pPr>
              <w:spacing w:after="0"/>
              <w:rPr>
                <w:sz w:val="16"/>
                <w:szCs w:val="16"/>
                <w:color w:val="auto"/>
              </w:rPr>
            </w:pPr>
          </w:p>
        </w:tc>
        <w:tc>
          <w:tcPr>
            <w:tcW w:w="1140" w:type="dxa"/>
            <w:vAlign w:val="bottom"/>
            <w:shd w:val="clear" w:color="auto" w:fill="929292"/>
          </w:tcPr>
          <w:p>
            <w:pPr>
              <w:spacing w:after="0"/>
              <w:rPr>
                <w:sz w:val="16"/>
                <w:szCs w:val="16"/>
                <w:color w:val="auto"/>
              </w:rPr>
            </w:pPr>
          </w:p>
        </w:tc>
        <w:tc>
          <w:tcPr>
            <w:tcW w:w="820" w:type="dxa"/>
            <w:vAlign w:val="bottom"/>
            <w:shd w:val="clear" w:color="auto" w:fill="929292"/>
          </w:tcPr>
          <w:p>
            <w:pPr>
              <w:spacing w:after="0"/>
              <w:rPr>
                <w:sz w:val="16"/>
                <w:szCs w:val="16"/>
                <w:color w:val="auto"/>
              </w:rPr>
            </w:pPr>
          </w:p>
        </w:tc>
        <w:tc>
          <w:tcPr>
            <w:tcW w:w="840" w:type="dxa"/>
            <w:vAlign w:val="bottom"/>
            <w:shd w:val="clear" w:color="auto" w:fill="929292"/>
          </w:tcPr>
          <w:p>
            <w:pPr>
              <w:jc w:val="center"/>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(1)</w:t>
            </w:r>
          </w:p>
        </w:tc>
        <w:tc>
          <w:tcPr>
            <w:tcW w:w="820" w:type="dxa"/>
            <w:vAlign w:val="bottom"/>
            <w:shd w:val="clear" w:color="auto" w:fill="929292"/>
          </w:tcPr>
          <w:p>
            <w:pPr>
              <w:spacing w:after="0"/>
              <w:rPr>
                <w:sz w:val="16"/>
                <w:szCs w:val="16"/>
                <w:color w:val="auto"/>
              </w:rPr>
            </w:pPr>
          </w:p>
        </w:tc>
        <w:tc>
          <w:tcPr>
            <w:tcW w:w="2880" w:type="dxa"/>
            <w:vAlign w:val="bottom"/>
            <w:gridSpan w:val="3"/>
            <w:shd w:val="clear" w:color="auto" w:fill="929292"/>
          </w:tcPr>
          <w:p>
            <w:pPr>
              <w:jc w:val="center"/>
              <w:ind w:left="17"/>
              <w:spacing w:after="0" w:line="189" w:lineRule="exact"/>
              <w:rPr>
                <w:sz w:val="20"/>
                <w:szCs w:val="20"/>
                <w:color w:val="auto"/>
              </w:rPr>
            </w:pPr>
            <w:r>
              <w:rPr>
                <w:rFonts w:ascii="Arial" w:cs="Arial" w:eastAsia="Arial" w:hAnsi="Arial"/>
                <w:sz w:val="14"/>
                <w:szCs w:val="14"/>
                <w:b w:val="1"/>
                <w:bCs w:val="1"/>
                <w:color w:val="FFFFFF"/>
              </w:rPr>
              <w:t>Incentive Plan Awards</w:t>
            </w:r>
            <w:r>
              <w:rPr>
                <w:rFonts w:ascii="Arial" w:cs="Arial" w:eastAsia="Arial" w:hAnsi="Arial"/>
                <w:sz w:val="18"/>
                <w:szCs w:val="18"/>
                <w:b w:val="1"/>
                <w:bCs w:val="1"/>
                <w:color w:val="FFFFFF"/>
                <w:vertAlign w:val="superscript"/>
              </w:rPr>
              <w:t>(2)</w:t>
            </w:r>
          </w:p>
        </w:tc>
        <w:tc>
          <w:tcPr>
            <w:tcW w:w="1060" w:type="dxa"/>
            <w:vAlign w:val="bottom"/>
            <w:shd w:val="clear" w:color="auto" w:fill="929292"/>
          </w:tcPr>
          <w:p>
            <w:pPr>
              <w:spacing w:after="0"/>
              <w:rPr>
                <w:sz w:val="16"/>
                <w:szCs w:val="16"/>
                <w:color w:val="auto"/>
              </w:rPr>
            </w:pPr>
          </w:p>
        </w:tc>
        <w:tc>
          <w:tcPr>
            <w:tcW w:w="1040" w:type="dxa"/>
            <w:vAlign w:val="bottom"/>
            <w:tcBorders>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tcBorders>
            <w:shd w:val="clear" w:color="auto" w:fill="929292"/>
          </w:tcPr>
          <w:p>
            <w:pPr>
              <w:spacing w:after="0"/>
              <w:rPr>
                <w:sz w:val="9"/>
                <w:szCs w:val="9"/>
                <w:color w:val="auto"/>
              </w:rPr>
            </w:pPr>
          </w:p>
        </w:tc>
        <w:tc>
          <w:tcPr>
            <w:tcW w:w="880" w:type="dxa"/>
            <w:vAlign w:val="bottom"/>
            <w:shd w:val="clear" w:color="auto" w:fill="929292"/>
          </w:tcPr>
          <w:p>
            <w:pPr>
              <w:spacing w:after="0"/>
              <w:rPr>
                <w:sz w:val="9"/>
                <w:szCs w:val="9"/>
                <w:color w:val="auto"/>
              </w:rPr>
            </w:pPr>
          </w:p>
        </w:tc>
        <w:tc>
          <w:tcPr>
            <w:tcW w:w="1140" w:type="dxa"/>
            <w:vAlign w:val="bottom"/>
            <w:shd w:val="clear" w:color="auto" w:fill="929292"/>
          </w:tcPr>
          <w:p>
            <w:pPr>
              <w:spacing w:after="0"/>
              <w:rPr>
                <w:sz w:val="9"/>
                <w:szCs w:val="9"/>
                <w:color w:val="auto"/>
              </w:rPr>
            </w:pPr>
          </w:p>
        </w:tc>
        <w:tc>
          <w:tcPr>
            <w:tcW w:w="820" w:type="dxa"/>
            <w:vAlign w:val="bottom"/>
            <w:shd w:val="clear" w:color="auto" w:fill="929292"/>
          </w:tcPr>
          <w:p>
            <w:pPr>
              <w:spacing w:after="0"/>
              <w:rPr>
                <w:sz w:val="9"/>
                <w:szCs w:val="9"/>
                <w:color w:val="auto"/>
              </w:rPr>
            </w:pPr>
          </w:p>
        </w:tc>
        <w:tc>
          <w:tcPr>
            <w:tcW w:w="840" w:type="dxa"/>
            <w:vAlign w:val="bottom"/>
            <w:shd w:val="clear" w:color="auto" w:fill="929292"/>
          </w:tcPr>
          <w:p>
            <w:pPr>
              <w:spacing w:after="0"/>
              <w:rPr>
                <w:sz w:val="9"/>
                <w:szCs w:val="9"/>
                <w:color w:val="auto"/>
              </w:rPr>
            </w:pPr>
          </w:p>
        </w:tc>
        <w:tc>
          <w:tcPr>
            <w:tcW w:w="820" w:type="dxa"/>
            <w:vAlign w:val="bottom"/>
            <w:shd w:val="clear" w:color="auto" w:fill="929292"/>
          </w:tcPr>
          <w:p>
            <w:pPr>
              <w:spacing w:after="0"/>
              <w:rPr>
                <w:sz w:val="9"/>
                <w:szCs w:val="9"/>
                <w:color w:val="auto"/>
              </w:rPr>
            </w:pPr>
          </w:p>
        </w:tc>
        <w:tc>
          <w:tcPr>
            <w:tcW w:w="1180" w:type="dxa"/>
            <w:vAlign w:val="bottom"/>
            <w:shd w:val="clear" w:color="auto" w:fill="929292"/>
          </w:tcPr>
          <w:p>
            <w:pPr>
              <w:spacing w:after="0"/>
              <w:rPr>
                <w:sz w:val="9"/>
                <w:szCs w:val="9"/>
                <w:color w:val="auto"/>
              </w:rPr>
            </w:pPr>
          </w:p>
        </w:tc>
        <w:tc>
          <w:tcPr>
            <w:tcW w:w="800" w:type="dxa"/>
            <w:vAlign w:val="bottom"/>
            <w:shd w:val="clear" w:color="auto" w:fill="929292"/>
          </w:tcPr>
          <w:p>
            <w:pPr>
              <w:spacing w:after="0"/>
              <w:rPr>
                <w:sz w:val="9"/>
                <w:szCs w:val="9"/>
                <w:color w:val="auto"/>
              </w:rPr>
            </w:pPr>
          </w:p>
        </w:tc>
        <w:tc>
          <w:tcPr>
            <w:tcW w:w="900" w:type="dxa"/>
            <w:vAlign w:val="bottom"/>
            <w:shd w:val="clear" w:color="auto" w:fill="929292"/>
          </w:tcPr>
          <w:p>
            <w:pPr>
              <w:spacing w:after="0"/>
              <w:rPr>
                <w:sz w:val="9"/>
                <w:szCs w:val="9"/>
                <w:color w:val="auto"/>
              </w:rPr>
            </w:pPr>
          </w:p>
        </w:tc>
        <w:tc>
          <w:tcPr>
            <w:tcW w:w="1060" w:type="dxa"/>
            <w:vAlign w:val="bottom"/>
            <w:shd w:val="clear" w:color="auto" w:fill="929292"/>
          </w:tcPr>
          <w:p>
            <w:pPr>
              <w:jc w:val="center"/>
              <w:spacing w:after="0" w:line="109" w:lineRule="exact"/>
              <w:rPr>
                <w:sz w:val="20"/>
                <w:szCs w:val="20"/>
                <w:color w:val="auto"/>
              </w:rPr>
            </w:pPr>
            <w:r>
              <w:rPr>
                <w:rFonts w:ascii="Arial" w:cs="Arial" w:eastAsia="Arial" w:hAnsi="Arial"/>
                <w:sz w:val="11"/>
                <w:szCs w:val="11"/>
                <w:b w:val="1"/>
                <w:bCs w:val="1"/>
                <w:color w:val="FFFFFF"/>
                <w:w w:val="98"/>
              </w:rPr>
              <w:t>All Other Stock</w:t>
            </w:r>
          </w:p>
        </w:tc>
        <w:tc>
          <w:tcPr>
            <w:tcW w:w="10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1"/>
                <w:szCs w:val="11"/>
                <w:b w:val="1"/>
                <w:bCs w:val="1"/>
                <w:color w:val="FFFFFF"/>
                <w:w w:val="98"/>
              </w:rPr>
              <w:t>Grant Date Fair</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tcBorders>
            <w:shd w:val="clear" w:color="auto" w:fill="929292"/>
          </w:tcPr>
          <w:p>
            <w:pPr>
              <w:spacing w:after="0"/>
              <w:rPr>
                <w:sz w:val="9"/>
                <w:szCs w:val="9"/>
                <w:color w:val="auto"/>
              </w:rPr>
            </w:pPr>
          </w:p>
        </w:tc>
        <w:tc>
          <w:tcPr>
            <w:tcW w:w="880" w:type="dxa"/>
            <w:vAlign w:val="bottom"/>
            <w:shd w:val="clear" w:color="auto" w:fill="929292"/>
          </w:tcPr>
          <w:p>
            <w:pPr>
              <w:spacing w:after="0"/>
              <w:rPr>
                <w:sz w:val="9"/>
                <w:szCs w:val="9"/>
                <w:color w:val="auto"/>
              </w:rPr>
            </w:pPr>
          </w:p>
        </w:tc>
        <w:tc>
          <w:tcPr>
            <w:tcW w:w="1140" w:type="dxa"/>
            <w:vAlign w:val="bottom"/>
            <w:vMerge w:val="restart"/>
            <w:shd w:val="clear" w:color="auto" w:fill="929292"/>
          </w:tcPr>
          <w:p>
            <w:pPr>
              <w:jc w:val="right"/>
              <w:spacing w:after="0"/>
              <w:rPr>
                <w:sz w:val="20"/>
                <w:szCs w:val="20"/>
                <w:color w:val="auto"/>
              </w:rPr>
            </w:pPr>
            <w:r>
              <w:rPr>
                <w:rFonts w:ascii="Arial" w:cs="Arial" w:eastAsia="Arial" w:hAnsi="Arial"/>
                <w:sz w:val="11"/>
                <w:szCs w:val="11"/>
                <w:b w:val="1"/>
                <w:bCs w:val="1"/>
                <w:color w:val="FFFFFF"/>
              </w:rPr>
              <w:t>Vesting Commence-</w:t>
            </w:r>
          </w:p>
        </w:tc>
        <w:tc>
          <w:tcPr>
            <w:tcW w:w="820" w:type="dxa"/>
            <w:vAlign w:val="bottom"/>
            <w:vMerge w:val="restart"/>
            <w:shd w:val="clear" w:color="auto" w:fill="929292"/>
          </w:tcPr>
          <w:p>
            <w:pPr>
              <w:jc w:val="right"/>
              <w:ind w:right="77"/>
              <w:spacing w:after="0"/>
              <w:rPr>
                <w:sz w:val="20"/>
                <w:szCs w:val="20"/>
                <w:color w:val="auto"/>
              </w:rPr>
            </w:pPr>
            <w:r>
              <w:rPr>
                <w:rFonts w:ascii="Arial" w:cs="Arial" w:eastAsia="Arial" w:hAnsi="Arial"/>
                <w:sz w:val="11"/>
                <w:szCs w:val="11"/>
                <w:b w:val="1"/>
                <w:bCs w:val="1"/>
                <w:color w:val="FFFFFF"/>
              </w:rPr>
              <w:t>Threshold</w:t>
            </w:r>
          </w:p>
        </w:tc>
        <w:tc>
          <w:tcPr>
            <w:tcW w:w="840" w:type="dxa"/>
            <w:vAlign w:val="bottom"/>
            <w:vMerge w:val="restart"/>
            <w:shd w:val="clear" w:color="auto" w:fill="929292"/>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820" w:type="dxa"/>
            <w:vAlign w:val="bottom"/>
            <w:vMerge w:val="restart"/>
            <w:shd w:val="clear" w:color="auto" w:fill="929292"/>
          </w:tcPr>
          <w:p>
            <w:pPr>
              <w:jc w:val="right"/>
              <w:ind w:right="158"/>
              <w:spacing w:after="0"/>
              <w:rPr>
                <w:sz w:val="20"/>
                <w:szCs w:val="20"/>
                <w:color w:val="auto"/>
              </w:rPr>
            </w:pPr>
            <w:r>
              <w:rPr>
                <w:rFonts w:ascii="Arial" w:cs="Arial" w:eastAsia="Arial" w:hAnsi="Arial"/>
                <w:sz w:val="11"/>
                <w:szCs w:val="11"/>
                <w:b w:val="1"/>
                <w:bCs w:val="1"/>
                <w:color w:val="FFFFFF"/>
              </w:rPr>
              <w:t>Maximum</w:t>
            </w:r>
          </w:p>
        </w:tc>
        <w:tc>
          <w:tcPr>
            <w:tcW w:w="1180" w:type="dxa"/>
            <w:vAlign w:val="bottom"/>
            <w:shd w:val="clear" w:color="auto" w:fill="929292"/>
          </w:tcPr>
          <w:p>
            <w:pPr>
              <w:spacing w:after="0"/>
              <w:rPr>
                <w:sz w:val="9"/>
                <w:szCs w:val="9"/>
                <w:color w:val="auto"/>
              </w:rPr>
            </w:pPr>
          </w:p>
        </w:tc>
        <w:tc>
          <w:tcPr>
            <w:tcW w:w="800" w:type="dxa"/>
            <w:vAlign w:val="bottom"/>
            <w:vMerge w:val="restart"/>
            <w:shd w:val="clear" w:color="auto" w:fill="929292"/>
          </w:tcPr>
          <w:p>
            <w:pPr>
              <w:jc w:val="center"/>
              <w:ind w:right="138"/>
              <w:spacing w:after="0"/>
              <w:rPr>
                <w:sz w:val="20"/>
                <w:szCs w:val="20"/>
                <w:color w:val="auto"/>
              </w:rPr>
            </w:pPr>
            <w:r>
              <w:rPr>
                <w:rFonts w:ascii="Arial" w:cs="Arial" w:eastAsia="Arial" w:hAnsi="Arial"/>
                <w:sz w:val="11"/>
                <w:szCs w:val="11"/>
                <w:b w:val="1"/>
                <w:bCs w:val="1"/>
                <w:color w:val="FFFFFF"/>
                <w:w w:val="95"/>
              </w:rPr>
              <w:t>Target</w:t>
            </w:r>
          </w:p>
        </w:tc>
        <w:tc>
          <w:tcPr>
            <w:tcW w:w="900" w:type="dxa"/>
            <w:vAlign w:val="bottom"/>
            <w:shd w:val="clear" w:color="auto" w:fill="929292"/>
          </w:tcPr>
          <w:p>
            <w:pPr>
              <w:spacing w:after="0"/>
              <w:rPr>
                <w:sz w:val="9"/>
                <w:szCs w:val="9"/>
                <w:color w:val="auto"/>
              </w:rPr>
            </w:pPr>
          </w:p>
        </w:tc>
        <w:tc>
          <w:tcPr>
            <w:tcW w:w="106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Awards; Number</w:t>
            </w:r>
          </w:p>
        </w:tc>
        <w:tc>
          <w:tcPr>
            <w:tcW w:w="1040" w:type="dxa"/>
            <w:vAlign w:val="bottom"/>
            <w:tcBorders>
              <w:right w:val="single" w:sz="8" w:color="auto"/>
            </w:tcBorders>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tcBorders>
            <w:vMerge w:val="restart"/>
            <w:shd w:val="clear" w:color="auto" w:fill="929292"/>
          </w:tcPr>
          <w:p>
            <w:pPr>
              <w:ind w:left="60"/>
              <w:spacing w:after="0"/>
              <w:rPr>
                <w:sz w:val="20"/>
                <w:szCs w:val="20"/>
                <w:color w:val="auto"/>
              </w:rPr>
            </w:pPr>
            <w:r>
              <w:rPr>
                <w:rFonts w:ascii="Arial" w:cs="Arial" w:eastAsia="Arial" w:hAnsi="Arial"/>
                <w:sz w:val="11"/>
                <w:szCs w:val="11"/>
                <w:b w:val="1"/>
                <w:bCs w:val="1"/>
                <w:color w:val="FFFFFF"/>
              </w:rPr>
              <w:t>Name</w:t>
            </w:r>
          </w:p>
        </w:tc>
        <w:tc>
          <w:tcPr>
            <w:tcW w:w="880" w:type="dxa"/>
            <w:vAlign w:val="bottom"/>
            <w:vMerge w:val="restart"/>
            <w:shd w:val="clear" w:color="auto" w:fill="929292"/>
          </w:tcPr>
          <w:p>
            <w:pPr>
              <w:jc w:val="right"/>
              <w:ind w:right="98"/>
              <w:spacing w:after="0"/>
              <w:rPr>
                <w:sz w:val="20"/>
                <w:szCs w:val="20"/>
                <w:color w:val="auto"/>
              </w:rPr>
            </w:pPr>
            <w:r>
              <w:rPr>
                <w:rFonts w:ascii="Arial" w:cs="Arial" w:eastAsia="Arial" w:hAnsi="Arial"/>
                <w:sz w:val="11"/>
                <w:szCs w:val="11"/>
                <w:b w:val="1"/>
                <w:bCs w:val="1"/>
                <w:color w:val="FFFFFF"/>
              </w:rPr>
              <w:t>Grant Date</w:t>
            </w:r>
          </w:p>
        </w:tc>
        <w:tc>
          <w:tcPr>
            <w:tcW w:w="1140" w:type="dxa"/>
            <w:vAlign w:val="bottom"/>
            <w:vMerge w:val="continue"/>
            <w:shd w:val="clear" w:color="auto" w:fill="929292"/>
          </w:tcPr>
          <w:p>
            <w:pPr>
              <w:spacing w:after="0"/>
              <w:rPr>
                <w:sz w:val="9"/>
                <w:szCs w:val="9"/>
                <w:color w:val="auto"/>
              </w:rPr>
            </w:pPr>
          </w:p>
        </w:tc>
        <w:tc>
          <w:tcPr>
            <w:tcW w:w="820" w:type="dxa"/>
            <w:vAlign w:val="bottom"/>
            <w:vMerge w:val="continue"/>
            <w:shd w:val="clear" w:color="auto" w:fill="929292"/>
          </w:tcPr>
          <w:p>
            <w:pPr>
              <w:spacing w:after="0"/>
              <w:rPr>
                <w:sz w:val="9"/>
                <w:szCs w:val="9"/>
                <w:color w:val="auto"/>
              </w:rPr>
            </w:pPr>
          </w:p>
        </w:tc>
        <w:tc>
          <w:tcPr>
            <w:tcW w:w="840" w:type="dxa"/>
            <w:vAlign w:val="bottom"/>
            <w:vMerge w:val="continue"/>
            <w:shd w:val="clear" w:color="auto" w:fill="929292"/>
          </w:tcPr>
          <w:p>
            <w:pPr>
              <w:spacing w:after="0"/>
              <w:rPr>
                <w:sz w:val="9"/>
                <w:szCs w:val="9"/>
                <w:color w:val="auto"/>
              </w:rPr>
            </w:pPr>
          </w:p>
        </w:tc>
        <w:tc>
          <w:tcPr>
            <w:tcW w:w="820" w:type="dxa"/>
            <w:vAlign w:val="bottom"/>
            <w:vMerge w:val="continue"/>
            <w:shd w:val="clear" w:color="auto" w:fill="929292"/>
          </w:tcPr>
          <w:p>
            <w:pPr>
              <w:spacing w:after="0"/>
              <w:rPr>
                <w:sz w:val="9"/>
                <w:szCs w:val="9"/>
                <w:color w:val="auto"/>
              </w:rPr>
            </w:pPr>
          </w:p>
        </w:tc>
        <w:tc>
          <w:tcPr>
            <w:tcW w:w="1180" w:type="dxa"/>
            <w:vAlign w:val="bottom"/>
            <w:vMerge w:val="restart"/>
            <w:shd w:val="clear" w:color="auto" w:fill="929292"/>
          </w:tcPr>
          <w:p>
            <w:pPr>
              <w:jc w:val="right"/>
              <w:ind w:right="217"/>
              <w:spacing w:after="0"/>
              <w:rPr>
                <w:sz w:val="20"/>
                <w:szCs w:val="20"/>
                <w:color w:val="auto"/>
              </w:rPr>
            </w:pPr>
            <w:r>
              <w:rPr>
                <w:rFonts w:ascii="Arial" w:cs="Arial" w:eastAsia="Arial" w:hAnsi="Arial"/>
                <w:sz w:val="11"/>
                <w:szCs w:val="11"/>
                <w:b w:val="1"/>
                <w:bCs w:val="1"/>
                <w:color w:val="FFFFFF"/>
              </w:rPr>
              <w:t>Threshold (#)</w:t>
            </w:r>
          </w:p>
        </w:tc>
        <w:tc>
          <w:tcPr>
            <w:tcW w:w="800" w:type="dxa"/>
            <w:vAlign w:val="bottom"/>
            <w:vMerge w:val="continue"/>
            <w:shd w:val="clear" w:color="auto" w:fill="929292"/>
          </w:tcPr>
          <w:p>
            <w:pPr>
              <w:spacing w:after="0"/>
              <w:rPr>
                <w:sz w:val="9"/>
                <w:szCs w:val="9"/>
                <w:color w:val="auto"/>
              </w:rPr>
            </w:pPr>
          </w:p>
        </w:tc>
        <w:tc>
          <w:tcPr>
            <w:tcW w:w="900" w:type="dxa"/>
            <w:vAlign w:val="bottom"/>
            <w:vMerge w:val="restart"/>
            <w:shd w:val="clear" w:color="auto" w:fill="929292"/>
          </w:tcPr>
          <w:p>
            <w:pPr>
              <w:jc w:val="right"/>
              <w:ind w:right="78"/>
              <w:spacing w:after="0"/>
              <w:rPr>
                <w:sz w:val="20"/>
                <w:szCs w:val="20"/>
                <w:color w:val="auto"/>
              </w:rPr>
            </w:pPr>
            <w:r>
              <w:rPr>
                <w:rFonts w:ascii="Arial" w:cs="Arial" w:eastAsia="Arial" w:hAnsi="Arial"/>
                <w:sz w:val="11"/>
                <w:szCs w:val="11"/>
                <w:b w:val="1"/>
                <w:bCs w:val="1"/>
                <w:color w:val="FFFFFF"/>
              </w:rPr>
              <w:t>Maximum (#)</w:t>
            </w:r>
          </w:p>
        </w:tc>
        <w:tc>
          <w:tcPr>
            <w:tcW w:w="106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of Shares of Stock</w:t>
            </w:r>
          </w:p>
        </w:tc>
        <w:tc>
          <w:tcPr>
            <w:tcW w:w="1040" w:type="dxa"/>
            <w:vAlign w:val="bottom"/>
            <w:tcBorders>
              <w:right w:val="single" w:sz="8" w:color="auto"/>
            </w:tcBorders>
            <w:shd w:val="clear" w:color="auto" w:fill="929292"/>
          </w:tcPr>
          <w:p>
            <w:pPr>
              <w:jc w:val="center"/>
              <w:ind w:right="18"/>
              <w:spacing w:after="0" w:line="108" w:lineRule="exact"/>
              <w:rPr>
                <w:sz w:val="20"/>
                <w:szCs w:val="20"/>
                <w:color w:val="auto"/>
              </w:rPr>
            </w:pPr>
            <w:r>
              <w:rPr>
                <w:rFonts w:ascii="Arial" w:cs="Arial" w:eastAsia="Arial" w:hAnsi="Arial"/>
                <w:sz w:val="11"/>
                <w:szCs w:val="11"/>
                <w:b w:val="1"/>
                <w:bCs w:val="1"/>
                <w:color w:val="FFFFFF"/>
                <w:w w:val="94"/>
              </w:rPr>
              <w:t>Value of Stock</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bottom w:val="single" w:sz="8" w:color="auto"/>
            </w:tcBorders>
            <w:vMerge w:val="continue"/>
            <w:shd w:val="clear" w:color="auto" w:fill="929292"/>
          </w:tcPr>
          <w:p>
            <w:pPr>
              <w:spacing w:after="0"/>
              <w:rPr>
                <w:sz w:val="14"/>
                <w:szCs w:val="14"/>
                <w:color w:val="auto"/>
              </w:rPr>
            </w:pPr>
          </w:p>
        </w:tc>
        <w:tc>
          <w:tcPr>
            <w:tcW w:w="880" w:type="dxa"/>
            <w:vAlign w:val="bottom"/>
            <w:tcBorders>
              <w:bottom w:val="single" w:sz="8" w:color="auto"/>
            </w:tcBorders>
            <w:vMerge w:val="continue"/>
            <w:shd w:val="clear" w:color="auto" w:fill="929292"/>
          </w:tcPr>
          <w:p>
            <w:pPr>
              <w:spacing w:after="0"/>
              <w:rPr>
                <w:sz w:val="14"/>
                <w:szCs w:val="14"/>
                <w:color w:val="auto"/>
              </w:rPr>
            </w:pPr>
          </w:p>
        </w:tc>
        <w:tc>
          <w:tcPr>
            <w:tcW w:w="1140" w:type="dxa"/>
            <w:vAlign w:val="bottom"/>
            <w:tcBorders>
              <w:bottom w:val="single" w:sz="8" w:color="auto"/>
            </w:tcBorders>
            <w:shd w:val="clear" w:color="auto" w:fill="929292"/>
          </w:tcPr>
          <w:p>
            <w:pPr>
              <w:jc w:val="right"/>
              <w:ind w:right="238"/>
              <w:spacing w:after="0"/>
              <w:rPr>
                <w:sz w:val="20"/>
                <w:szCs w:val="20"/>
                <w:color w:val="auto"/>
              </w:rPr>
            </w:pPr>
            <w:r>
              <w:rPr>
                <w:rFonts w:ascii="Arial" w:cs="Arial" w:eastAsia="Arial" w:hAnsi="Arial"/>
                <w:sz w:val="11"/>
                <w:szCs w:val="11"/>
                <w:b w:val="1"/>
                <w:bCs w:val="1"/>
                <w:color w:val="FFFFFF"/>
              </w:rPr>
              <w:t>ment Date</w:t>
            </w:r>
          </w:p>
        </w:tc>
        <w:tc>
          <w:tcPr>
            <w:tcW w:w="820" w:type="dxa"/>
            <w:vAlign w:val="bottom"/>
            <w:tcBorders>
              <w:bottom w:val="single" w:sz="8" w:color="auto"/>
            </w:tcBorders>
            <w:shd w:val="clear" w:color="auto" w:fill="929292"/>
          </w:tcPr>
          <w:p>
            <w:pPr>
              <w:jc w:val="right"/>
              <w:ind w:right="277"/>
              <w:spacing w:after="0"/>
              <w:rPr>
                <w:sz w:val="20"/>
                <w:szCs w:val="20"/>
                <w:color w:val="auto"/>
              </w:rPr>
            </w:pPr>
            <w:r>
              <w:rPr>
                <w:rFonts w:ascii="Arial" w:cs="Arial" w:eastAsia="Arial" w:hAnsi="Arial"/>
                <w:sz w:val="11"/>
                <w:szCs w:val="11"/>
                <w:b w:val="1"/>
                <w:bCs w:val="1"/>
                <w:color w:val="FFFFFF"/>
              </w:rPr>
              <w:t>($)</w:t>
            </w:r>
          </w:p>
        </w:tc>
        <w:tc>
          <w:tcPr>
            <w:tcW w:w="84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w w:val="88"/>
              </w:rPr>
              <w:t>($)</w:t>
            </w:r>
          </w:p>
        </w:tc>
        <w:tc>
          <w:tcPr>
            <w:tcW w:w="820" w:type="dxa"/>
            <w:vAlign w:val="bottom"/>
            <w:tcBorders>
              <w:bottom w:val="single" w:sz="8" w:color="auto"/>
            </w:tcBorders>
            <w:shd w:val="clear" w:color="auto" w:fill="929292"/>
          </w:tcPr>
          <w:p>
            <w:pPr>
              <w:jc w:val="right"/>
              <w:ind w:right="338"/>
              <w:spacing w:after="0"/>
              <w:rPr>
                <w:sz w:val="20"/>
                <w:szCs w:val="20"/>
                <w:color w:val="auto"/>
              </w:rPr>
            </w:pPr>
            <w:r>
              <w:rPr>
                <w:rFonts w:ascii="Arial" w:cs="Arial" w:eastAsia="Arial" w:hAnsi="Arial"/>
                <w:sz w:val="11"/>
                <w:szCs w:val="11"/>
                <w:b w:val="1"/>
                <w:bCs w:val="1"/>
                <w:color w:val="FFFFFF"/>
              </w:rPr>
              <w:t>($)</w:t>
            </w:r>
          </w:p>
        </w:tc>
        <w:tc>
          <w:tcPr>
            <w:tcW w:w="1180" w:type="dxa"/>
            <w:vAlign w:val="bottom"/>
            <w:tcBorders>
              <w:bottom w:val="single" w:sz="8" w:color="auto"/>
            </w:tcBorders>
            <w:vMerge w:val="continue"/>
            <w:shd w:val="clear" w:color="auto" w:fill="929292"/>
          </w:tcPr>
          <w:p>
            <w:pPr>
              <w:spacing w:after="0"/>
              <w:rPr>
                <w:sz w:val="14"/>
                <w:szCs w:val="14"/>
                <w:color w:val="auto"/>
              </w:rPr>
            </w:pPr>
          </w:p>
        </w:tc>
        <w:tc>
          <w:tcPr>
            <w:tcW w:w="800" w:type="dxa"/>
            <w:vAlign w:val="bottom"/>
            <w:tcBorders>
              <w:bottom w:val="single" w:sz="8" w:color="auto"/>
            </w:tcBorders>
            <w:shd w:val="clear" w:color="auto" w:fill="929292"/>
          </w:tcPr>
          <w:p>
            <w:pPr>
              <w:jc w:val="center"/>
              <w:ind w:right="118"/>
              <w:spacing w:after="0"/>
              <w:rPr>
                <w:sz w:val="20"/>
                <w:szCs w:val="20"/>
                <w:color w:val="auto"/>
              </w:rPr>
            </w:pPr>
            <w:r>
              <w:rPr>
                <w:rFonts w:ascii="Arial" w:cs="Arial" w:eastAsia="Arial" w:hAnsi="Arial"/>
                <w:sz w:val="11"/>
                <w:szCs w:val="11"/>
                <w:b w:val="1"/>
                <w:bCs w:val="1"/>
                <w:color w:val="FFFFFF"/>
              </w:rPr>
              <w:t>(#)</w:t>
            </w:r>
          </w:p>
        </w:tc>
        <w:tc>
          <w:tcPr>
            <w:tcW w:w="900" w:type="dxa"/>
            <w:vAlign w:val="bottom"/>
            <w:tcBorders>
              <w:bottom w:val="single" w:sz="8" w:color="auto"/>
            </w:tcBorders>
            <w:vMerge w:val="continue"/>
            <w:shd w:val="clear" w:color="auto" w:fill="929292"/>
          </w:tcPr>
          <w:p>
            <w:pPr>
              <w:spacing w:after="0"/>
              <w:rPr>
                <w:sz w:val="14"/>
                <w:szCs w:val="14"/>
                <w:color w:val="auto"/>
              </w:rPr>
            </w:pPr>
          </w:p>
        </w:tc>
        <w:tc>
          <w:tcPr>
            <w:tcW w:w="106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w w:val="88"/>
              </w:rPr>
              <w:t>(#)</w:t>
            </w:r>
          </w:p>
        </w:tc>
        <w:tc>
          <w:tcPr>
            <w:tcW w:w="1040" w:type="dxa"/>
            <w:vAlign w:val="bottom"/>
            <w:tcBorders>
              <w:bottom w:val="single" w:sz="8" w:color="auto"/>
              <w:right w:val="single" w:sz="8" w:color="auto"/>
            </w:tcBorders>
            <w:shd w:val="clear" w:color="auto" w:fill="929292"/>
          </w:tcPr>
          <w:p>
            <w:pPr>
              <w:jc w:val="center"/>
              <w:ind w:right="18"/>
              <w:spacing w:after="0"/>
              <w:rPr>
                <w:sz w:val="20"/>
                <w:szCs w:val="20"/>
                <w:color w:val="auto"/>
              </w:rPr>
            </w:pPr>
            <w:r>
              <w:rPr>
                <w:rFonts w:ascii="Arial" w:cs="Arial" w:eastAsia="Arial" w:hAnsi="Arial"/>
                <w:sz w:val="11"/>
                <w:szCs w:val="11"/>
                <w:b w:val="1"/>
                <w:bCs w:val="1"/>
                <w:color w:val="FFFFFF"/>
                <w:w w:val="94"/>
              </w:rPr>
              <w:t>Awards ($)</w:t>
            </w:r>
            <w:r>
              <w:rPr>
                <w:rFonts w:ascii="Arial" w:cs="Arial" w:eastAsia="Arial" w:hAnsi="Arial"/>
                <w:sz w:val="14"/>
                <w:szCs w:val="14"/>
                <w:b w:val="1"/>
                <w:bCs w:val="1"/>
                <w:color w:val="FFFFFF"/>
                <w:w w:val="94"/>
                <w:vertAlign w:val="superscript"/>
              </w:rPr>
              <w:t>(3)</w:t>
            </w:r>
          </w:p>
        </w:tc>
        <w:tc>
          <w:tcPr>
            <w:tcW w:w="0" w:type="dxa"/>
            <w:vAlign w:val="bottom"/>
          </w:tcPr>
          <w:p>
            <w:pPr>
              <w:spacing w:after="0"/>
              <w:rPr>
                <w:sz w:val="1"/>
                <w:szCs w:val="1"/>
                <w:color w:val="auto"/>
              </w:rPr>
            </w:pPr>
          </w:p>
        </w:tc>
      </w:tr>
      <w:tr>
        <w:trPr>
          <w:trHeight w:val="344"/>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1/22/2026</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480,000</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600,000</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720,000</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502,039</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2,058,360</w:t>
            </w:r>
          </w:p>
        </w:tc>
        <w:tc>
          <w:tcPr>
            <w:tcW w:w="0" w:type="dxa"/>
            <w:vAlign w:val="bottom"/>
          </w:tcPr>
          <w:p>
            <w:pPr>
              <w:spacing w:after="0"/>
              <w:rPr>
                <w:sz w:val="1"/>
                <w:szCs w:val="1"/>
                <w:color w:val="auto"/>
              </w:rPr>
            </w:pPr>
          </w:p>
        </w:tc>
      </w:tr>
      <w:tr>
        <w:trPr>
          <w:trHeight w:val="388"/>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Mike</w:t>
            </w: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254,958</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1,045,328</w:t>
            </w: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Milotich</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80" w:type="dxa"/>
            <w:vAlign w:val="bottom"/>
            <w:tcBorders>
              <w:left w:val="single" w:sz="8" w:color="auto"/>
            </w:tcBorders>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9/15/2025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817,260</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4,740,108</w:t>
            </w: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75,306</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150,611</w:t>
            </w:r>
          </w:p>
        </w:tc>
        <w:tc>
          <w:tcPr>
            <w:tcW w:w="900" w:type="dxa"/>
            <w:vAlign w:val="bottom"/>
          </w:tcPr>
          <w:p>
            <w:pPr>
              <w:jc w:val="right"/>
              <w:spacing w:after="0"/>
              <w:rPr>
                <w:sz w:val="20"/>
                <w:szCs w:val="20"/>
                <w:color w:val="auto"/>
              </w:rPr>
            </w:pPr>
            <w:r>
              <w:rPr>
                <w:rFonts w:ascii="Arial" w:cs="Arial" w:eastAsia="Arial" w:hAnsi="Arial"/>
                <w:sz w:val="13"/>
                <w:szCs w:val="13"/>
                <w:color w:val="auto"/>
              </w:rPr>
              <w:t>301,222</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617,505</w:t>
            </w:r>
          </w:p>
        </w:tc>
        <w:tc>
          <w:tcPr>
            <w:tcW w:w="0" w:type="dxa"/>
            <w:vAlign w:val="bottom"/>
          </w:tcPr>
          <w:p>
            <w:pPr>
              <w:spacing w:after="0"/>
              <w:rPr>
                <w:sz w:val="1"/>
                <w:szCs w:val="1"/>
                <w:color w:val="auto"/>
              </w:rPr>
            </w:pPr>
          </w:p>
        </w:tc>
      </w:tr>
      <w:tr>
        <w:trPr>
          <w:trHeight w:val="385"/>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32,274</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64,548</w:t>
            </w:r>
          </w:p>
        </w:tc>
        <w:tc>
          <w:tcPr>
            <w:tcW w:w="900" w:type="dxa"/>
            <w:vAlign w:val="bottom"/>
          </w:tcPr>
          <w:p>
            <w:pPr>
              <w:jc w:val="right"/>
              <w:spacing w:after="0"/>
              <w:rPr>
                <w:sz w:val="20"/>
                <w:szCs w:val="20"/>
                <w:color w:val="auto"/>
              </w:rPr>
            </w:pPr>
            <w:r>
              <w:rPr>
                <w:rFonts w:ascii="Arial" w:cs="Arial" w:eastAsia="Arial" w:hAnsi="Arial"/>
                <w:sz w:val="13"/>
                <w:szCs w:val="13"/>
                <w:color w:val="auto"/>
              </w:rPr>
              <w:t>129,096</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264,647</w:t>
            </w:r>
          </w:p>
        </w:tc>
        <w:tc>
          <w:tcPr>
            <w:tcW w:w="0" w:type="dxa"/>
            <w:vAlign w:val="bottom"/>
          </w:tcPr>
          <w:p>
            <w:pPr>
              <w:spacing w:after="0"/>
              <w:rPr>
                <w:sz w:val="1"/>
                <w:szCs w:val="1"/>
                <w:color w:val="auto"/>
              </w:rPr>
            </w:pPr>
          </w:p>
        </w:tc>
      </w:tr>
      <w:tr>
        <w:trPr>
          <w:trHeight w:val="165"/>
        </w:trPr>
        <w:tc>
          <w:tcPr>
            <w:tcW w:w="78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Simon</w:t>
            </w:r>
          </w:p>
        </w:tc>
        <w:tc>
          <w:tcPr>
            <w:tcW w:w="88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04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Khalaf</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1/22/2026</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480,000</w:t>
            </w:r>
          </w:p>
        </w:tc>
        <w:tc>
          <w:tcPr>
            <w:tcW w:w="840" w:type="dxa"/>
            <w:vAlign w:val="bottom"/>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600,000</w:t>
            </w:r>
          </w:p>
        </w:tc>
        <w:tc>
          <w:tcPr>
            <w:tcW w:w="820" w:type="dxa"/>
            <w:vAlign w:val="bottom"/>
            <w:vMerge w:val="restart"/>
            <w:shd w:val="clear" w:color="auto" w:fill="DBDBDB"/>
          </w:tcPr>
          <w:p>
            <w:pPr>
              <w:jc w:val="right"/>
              <w:ind w:right="38"/>
              <w:spacing w:after="0"/>
              <w:rPr>
                <w:sz w:val="20"/>
                <w:szCs w:val="20"/>
                <w:color w:val="auto"/>
              </w:rPr>
            </w:pPr>
            <w:r>
              <w:rPr>
                <w:rFonts w:ascii="Arial" w:cs="Arial" w:eastAsia="Arial" w:hAnsi="Arial"/>
                <w:sz w:val="13"/>
                <w:szCs w:val="13"/>
                <w:color w:val="auto"/>
              </w:rPr>
              <w:t>720,000</w:t>
            </w:r>
          </w:p>
        </w:tc>
        <w:tc>
          <w:tcPr>
            <w:tcW w:w="1180" w:type="dxa"/>
            <w:vAlign w:val="bottom"/>
            <w:vMerge w:val="restart"/>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BDBDB"/>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tcBorders>
            <w:shd w:val="clear" w:color="auto" w:fill="DBDBDB"/>
          </w:tcPr>
          <w:p>
            <w:pPr>
              <w:spacing w:after="0"/>
              <w:rPr>
                <w:sz w:val="8"/>
                <w:szCs w:val="8"/>
                <w:color w:val="auto"/>
              </w:rPr>
            </w:pPr>
          </w:p>
        </w:tc>
        <w:tc>
          <w:tcPr>
            <w:tcW w:w="880" w:type="dxa"/>
            <w:vAlign w:val="bottom"/>
            <w:vMerge w:val="continue"/>
            <w:shd w:val="clear" w:color="auto" w:fill="DBDBDB"/>
          </w:tcPr>
          <w:p>
            <w:pPr>
              <w:spacing w:after="0"/>
              <w:rPr>
                <w:sz w:val="8"/>
                <w:szCs w:val="8"/>
                <w:color w:val="auto"/>
              </w:rPr>
            </w:pPr>
          </w:p>
        </w:tc>
        <w:tc>
          <w:tcPr>
            <w:tcW w:w="1140" w:type="dxa"/>
            <w:vAlign w:val="bottom"/>
            <w:vMerge w:val="continue"/>
            <w:shd w:val="clear" w:color="auto" w:fill="DBDBDB"/>
          </w:tcPr>
          <w:p>
            <w:pPr>
              <w:spacing w:after="0"/>
              <w:rPr>
                <w:sz w:val="8"/>
                <w:szCs w:val="8"/>
                <w:color w:val="auto"/>
              </w:rPr>
            </w:pPr>
          </w:p>
        </w:tc>
        <w:tc>
          <w:tcPr>
            <w:tcW w:w="820" w:type="dxa"/>
            <w:vAlign w:val="bottom"/>
            <w:vMerge w:val="continue"/>
            <w:shd w:val="clear" w:color="auto" w:fill="DBDBDB"/>
          </w:tcPr>
          <w:p>
            <w:pPr>
              <w:spacing w:after="0"/>
              <w:rPr>
                <w:sz w:val="8"/>
                <w:szCs w:val="8"/>
                <w:color w:val="auto"/>
              </w:rPr>
            </w:pPr>
          </w:p>
        </w:tc>
        <w:tc>
          <w:tcPr>
            <w:tcW w:w="840" w:type="dxa"/>
            <w:vAlign w:val="bottom"/>
            <w:vMerge w:val="continue"/>
            <w:shd w:val="clear" w:color="auto" w:fill="DBDBDB"/>
          </w:tcPr>
          <w:p>
            <w:pPr>
              <w:spacing w:after="0"/>
              <w:rPr>
                <w:sz w:val="8"/>
                <w:szCs w:val="8"/>
                <w:color w:val="auto"/>
              </w:rPr>
            </w:pPr>
          </w:p>
        </w:tc>
        <w:tc>
          <w:tcPr>
            <w:tcW w:w="820" w:type="dxa"/>
            <w:vAlign w:val="bottom"/>
            <w:vMerge w:val="continue"/>
            <w:shd w:val="clear" w:color="auto" w:fill="DBDBDB"/>
          </w:tcPr>
          <w:p>
            <w:pPr>
              <w:spacing w:after="0"/>
              <w:rPr>
                <w:sz w:val="8"/>
                <w:szCs w:val="8"/>
                <w:color w:val="auto"/>
              </w:rPr>
            </w:pPr>
          </w:p>
        </w:tc>
        <w:tc>
          <w:tcPr>
            <w:tcW w:w="1180" w:type="dxa"/>
            <w:vAlign w:val="bottom"/>
            <w:vMerge w:val="continue"/>
            <w:shd w:val="clear" w:color="auto" w:fill="DBDBDB"/>
          </w:tcPr>
          <w:p>
            <w:pPr>
              <w:spacing w:after="0"/>
              <w:rPr>
                <w:sz w:val="8"/>
                <w:szCs w:val="8"/>
                <w:color w:val="auto"/>
              </w:rPr>
            </w:pPr>
          </w:p>
        </w:tc>
        <w:tc>
          <w:tcPr>
            <w:tcW w:w="800" w:type="dxa"/>
            <w:vAlign w:val="bottom"/>
            <w:vMerge w:val="continue"/>
            <w:shd w:val="clear" w:color="auto" w:fill="DBDBDB"/>
          </w:tcPr>
          <w:p>
            <w:pPr>
              <w:spacing w:after="0"/>
              <w:rPr>
                <w:sz w:val="8"/>
                <w:szCs w:val="8"/>
                <w:color w:val="auto"/>
              </w:rPr>
            </w:pPr>
          </w:p>
        </w:tc>
        <w:tc>
          <w:tcPr>
            <w:tcW w:w="900" w:type="dxa"/>
            <w:vAlign w:val="bottom"/>
            <w:vMerge w:val="continue"/>
            <w:shd w:val="clear" w:color="auto" w:fill="DBDBDB"/>
          </w:tcPr>
          <w:p>
            <w:pPr>
              <w:spacing w:after="0"/>
              <w:rPr>
                <w:sz w:val="8"/>
                <w:szCs w:val="8"/>
                <w:color w:val="auto"/>
              </w:rPr>
            </w:pPr>
          </w:p>
        </w:tc>
        <w:tc>
          <w:tcPr>
            <w:tcW w:w="1060" w:type="dxa"/>
            <w:vAlign w:val="bottom"/>
            <w:vMerge w:val="continue"/>
            <w:shd w:val="clear" w:color="auto" w:fill="DBDBDB"/>
          </w:tcPr>
          <w:p>
            <w:pPr>
              <w:spacing w:after="0"/>
              <w:rPr>
                <w:sz w:val="8"/>
                <w:szCs w:val="8"/>
                <w:color w:val="auto"/>
              </w:rPr>
            </w:pPr>
          </w:p>
        </w:tc>
        <w:tc>
          <w:tcPr>
            <w:tcW w:w="1040" w:type="dxa"/>
            <w:vAlign w:val="bottom"/>
            <w:tcBorders>
              <w:right w:val="single" w:sz="8" w:color="auto"/>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1/22/2026</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352,000</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440,000</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528,000</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421,727</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1,729,081</w:t>
            </w:r>
          </w:p>
        </w:tc>
        <w:tc>
          <w:tcPr>
            <w:tcW w:w="0" w:type="dxa"/>
            <w:vAlign w:val="bottom"/>
          </w:tcPr>
          <w:p>
            <w:pPr>
              <w:spacing w:after="0"/>
              <w:rPr>
                <w:sz w:val="1"/>
                <w:szCs w:val="1"/>
                <w:color w:val="auto"/>
              </w:rPr>
            </w:pPr>
          </w:p>
        </w:tc>
      </w:tr>
      <w:tr>
        <w:trPr>
          <w:trHeight w:val="276"/>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Todd Pollak</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9"/>
              <w:spacing w:after="0"/>
              <w:rPr>
                <w:sz w:val="20"/>
                <w:szCs w:val="20"/>
                <w:color w:val="auto"/>
              </w:rPr>
            </w:pPr>
            <w:r>
              <w:rPr>
                <w:rFonts w:ascii="Arial" w:cs="Arial" w:eastAsia="Arial" w:hAnsi="Arial"/>
                <w:sz w:val="13"/>
                <w:szCs w:val="13"/>
                <w:color w:val="auto"/>
              </w:rPr>
              <w:t>254,958</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1,045,328</w:t>
            </w:r>
          </w:p>
        </w:tc>
        <w:tc>
          <w:tcPr>
            <w:tcW w:w="0" w:type="dxa"/>
            <w:vAlign w:val="bottom"/>
          </w:tcPr>
          <w:p>
            <w:pPr>
              <w:spacing w:after="0"/>
              <w:rPr>
                <w:sz w:val="1"/>
                <w:szCs w:val="1"/>
                <w:color w:val="auto"/>
              </w:rPr>
            </w:pPr>
          </w:p>
        </w:tc>
      </w:tr>
      <w:tr>
        <w:trPr>
          <w:trHeight w:val="102"/>
        </w:trPr>
        <w:tc>
          <w:tcPr>
            <w:tcW w:w="780" w:type="dxa"/>
            <w:vAlign w:val="bottom"/>
            <w:tcBorders>
              <w:lef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63,259</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126,518</w:t>
            </w:r>
          </w:p>
        </w:tc>
        <w:tc>
          <w:tcPr>
            <w:tcW w:w="900" w:type="dxa"/>
            <w:vAlign w:val="bottom"/>
          </w:tcPr>
          <w:p>
            <w:pPr>
              <w:jc w:val="right"/>
              <w:spacing w:after="0"/>
              <w:rPr>
                <w:sz w:val="20"/>
                <w:szCs w:val="20"/>
                <w:color w:val="auto"/>
              </w:rPr>
            </w:pPr>
            <w:r>
              <w:rPr>
                <w:rFonts w:ascii="Arial" w:cs="Arial" w:eastAsia="Arial" w:hAnsi="Arial"/>
                <w:sz w:val="13"/>
                <w:szCs w:val="13"/>
                <w:color w:val="auto"/>
              </w:rPr>
              <w:t>253,036</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518,724</w:t>
            </w:r>
          </w:p>
        </w:tc>
        <w:tc>
          <w:tcPr>
            <w:tcW w:w="0" w:type="dxa"/>
            <w:vAlign w:val="bottom"/>
          </w:tcPr>
          <w:p>
            <w:pPr>
              <w:spacing w:after="0"/>
              <w:rPr>
                <w:sz w:val="1"/>
                <w:szCs w:val="1"/>
                <w:color w:val="auto"/>
              </w:rPr>
            </w:pPr>
          </w:p>
        </w:tc>
      </w:tr>
      <w:tr>
        <w:trPr>
          <w:trHeight w:val="385"/>
        </w:trPr>
        <w:tc>
          <w:tcPr>
            <w:tcW w:w="780" w:type="dxa"/>
            <w:vAlign w:val="bottom"/>
            <w:tcBorders>
              <w:lef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27,111</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54,222</w:t>
            </w:r>
          </w:p>
        </w:tc>
        <w:tc>
          <w:tcPr>
            <w:tcW w:w="900" w:type="dxa"/>
            <w:vAlign w:val="bottom"/>
          </w:tcPr>
          <w:p>
            <w:pPr>
              <w:jc w:val="right"/>
              <w:spacing w:after="0"/>
              <w:rPr>
                <w:sz w:val="20"/>
                <w:szCs w:val="20"/>
                <w:color w:val="auto"/>
              </w:rPr>
            </w:pPr>
            <w:r>
              <w:rPr>
                <w:rFonts w:ascii="Arial" w:cs="Arial" w:eastAsia="Arial" w:hAnsi="Arial"/>
                <w:sz w:val="13"/>
                <w:szCs w:val="13"/>
                <w:color w:val="auto"/>
              </w:rPr>
              <w:t>108,444</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222,310</w:t>
            </w:r>
          </w:p>
        </w:tc>
        <w:tc>
          <w:tcPr>
            <w:tcW w:w="0" w:type="dxa"/>
            <w:vAlign w:val="bottom"/>
          </w:tcPr>
          <w:p>
            <w:pPr>
              <w:spacing w:after="0"/>
              <w:rPr>
                <w:sz w:val="1"/>
                <w:szCs w:val="1"/>
                <w:color w:val="auto"/>
              </w:rPr>
            </w:pPr>
          </w:p>
        </w:tc>
      </w:tr>
      <w:tr>
        <w:trPr>
          <w:trHeight w:val="371"/>
        </w:trPr>
        <w:tc>
          <w:tcPr>
            <w:tcW w:w="780" w:type="dxa"/>
            <w:vAlign w:val="bottom"/>
            <w:tcBorders>
              <w:left w:val="single" w:sz="8" w:color="auto"/>
            </w:tcBorders>
            <w:shd w:val="clear" w:color="auto" w:fill="DBDBDB"/>
          </w:tcPr>
          <w:p>
            <w:pPr>
              <w:spacing w:after="0"/>
              <w:rPr>
                <w:sz w:val="24"/>
                <w:szCs w:val="2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1/22/2026</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276,000</w:t>
            </w:r>
          </w:p>
        </w:tc>
        <w:tc>
          <w:tcPr>
            <w:tcW w:w="8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345,000</w:t>
            </w:r>
          </w:p>
        </w:tc>
        <w:tc>
          <w:tcPr>
            <w:tcW w:w="820" w:type="dxa"/>
            <w:vAlign w:val="bottom"/>
            <w:shd w:val="clear" w:color="auto" w:fill="DBDBDB"/>
          </w:tcPr>
          <w:p>
            <w:pPr>
              <w:jc w:val="right"/>
              <w:ind w:right="38"/>
              <w:spacing w:after="0"/>
              <w:rPr>
                <w:sz w:val="20"/>
                <w:szCs w:val="20"/>
                <w:color w:val="auto"/>
              </w:rPr>
            </w:pPr>
            <w:r>
              <w:rPr>
                <w:rFonts w:ascii="Arial" w:cs="Arial" w:eastAsia="Arial" w:hAnsi="Arial"/>
                <w:sz w:val="13"/>
                <w:szCs w:val="13"/>
                <w:color w:val="auto"/>
              </w:rPr>
              <w:t>414,000</w:t>
            </w:r>
          </w:p>
        </w:tc>
        <w:tc>
          <w:tcPr>
            <w:tcW w:w="118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shd w:val="clear" w:color="auto" w:fill="DBDBDB"/>
          </w:tcPr>
          <w:p>
            <w:pPr>
              <w:spacing w:after="0"/>
              <w:rPr>
                <w:sz w:val="24"/>
                <w:szCs w:val="2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59"/>
              <w:spacing w:after="0"/>
              <w:rPr>
                <w:sz w:val="20"/>
                <w:szCs w:val="20"/>
                <w:color w:val="auto"/>
              </w:rPr>
            </w:pPr>
            <w:r>
              <w:rPr>
                <w:rFonts w:ascii="Arial" w:cs="Arial" w:eastAsia="Arial" w:hAnsi="Arial"/>
                <w:sz w:val="13"/>
                <w:szCs w:val="13"/>
                <w:color w:val="auto"/>
              </w:rPr>
              <w:t>468,487</w:t>
            </w:r>
          </w:p>
        </w:tc>
        <w:tc>
          <w:tcPr>
            <w:tcW w:w="1040" w:type="dxa"/>
            <w:vAlign w:val="bottom"/>
            <w:tcBorders>
              <w:right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1,920,797</w:t>
            </w:r>
          </w:p>
        </w:tc>
        <w:tc>
          <w:tcPr>
            <w:tcW w:w="0" w:type="dxa"/>
            <w:vAlign w:val="bottom"/>
          </w:tcPr>
          <w:p>
            <w:pPr>
              <w:spacing w:after="0"/>
              <w:rPr>
                <w:sz w:val="1"/>
                <w:szCs w:val="1"/>
                <w:color w:val="auto"/>
              </w:rPr>
            </w:pPr>
          </w:p>
        </w:tc>
      </w:tr>
      <w:tr>
        <w:trPr>
          <w:trHeight w:val="185"/>
        </w:trPr>
        <w:tc>
          <w:tcPr>
            <w:tcW w:w="78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9"/>
              </w:rPr>
              <w:t>Crystal</w:t>
            </w:r>
          </w:p>
        </w:tc>
        <w:tc>
          <w:tcPr>
            <w:tcW w:w="88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9"/>
              </w:rPr>
              <w:t>Sumner</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8"/>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59"/>
              <w:spacing w:after="0"/>
              <w:rPr>
                <w:sz w:val="20"/>
                <w:szCs w:val="20"/>
                <w:color w:val="auto"/>
              </w:rPr>
            </w:pPr>
            <w:r>
              <w:rPr>
                <w:rFonts w:ascii="Arial" w:cs="Arial" w:eastAsia="Arial" w:hAnsi="Arial"/>
                <w:sz w:val="13"/>
                <w:szCs w:val="13"/>
                <w:color w:val="auto"/>
              </w:rPr>
              <w:t>254,958</w:t>
            </w:r>
          </w:p>
        </w:tc>
        <w:tc>
          <w:tcPr>
            <w:tcW w:w="10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1,045,328</w:t>
            </w:r>
          </w:p>
        </w:tc>
        <w:tc>
          <w:tcPr>
            <w:tcW w:w="0" w:type="dxa"/>
            <w:vAlign w:val="bottom"/>
          </w:tcPr>
          <w:p>
            <w:pPr>
              <w:spacing w:after="0"/>
              <w:rPr>
                <w:sz w:val="1"/>
                <w:szCs w:val="1"/>
                <w:color w:val="auto"/>
              </w:rPr>
            </w:pPr>
          </w:p>
        </w:tc>
      </w:tr>
      <w:tr>
        <w:trPr>
          <w:trHeight w:val="378"/>
        </w:trPr>
        <w:tc>
          <w:tcPr>
            <w:tcW w:w="780" w:type="dxa"/>
            <w:vAlign w:val="bottom"/>
            <w:tcBorders>
              <w:left w:val="single" w:sz="8" w:color="auto"/>
            </w:tcBorders>
            <w:shd w:val="clear" w:color="auto" w:fill="DBDBDB"/>
          </w:tcPr>
          <w:p>
            <w:pPr>
              <w:spacing w:after="0"/>
              <w:rPr>
                <w:sz w:val="24"/>
                <w:szCs w:val="2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70,273</w:t>
            </w:r>
          </w:p>
        </w:tc>
        <w:tc>
          <w:tcPr>
            <w:tcW w:w="8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140,546</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281,092</w:t>
            </w:r>
          </w:p>
        </w:tc>
        <w:tc>
          <w:tcPr>
            <w:tcW w:w="1060" w:type="dxa"/>
            <w:vAlign w:val="bottom"/>
            <w:shd w:val="clear" w:color="auto" w:fill="DBDBDB"/>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576,239</w:t>
            </w:r>
          </w:p>
        </w:tc>
        <w:tc>
          <w:tcPr>
            <w:tcW w:w="0" w:type="dxa"/>
            <w:vAlign w:val="bottom"/>
          </w:tcPr>
          <w:p>
            <w:pPr>
              <w:spacing w:after="0"/>
              <w:rPr>
                <w:sz w:val="1"/>
                <w:szCs w:val="1"/>
                <w:color w:val="auto"/>
              </w:rPr>
            </w:pPr>
          </w:p>
        </w:tc>
      </w:tr>
      <w:tr>
        <w:trPr>
          <w:trHeight w:val="385"/>
        </w:trPr>
        <w:tc>
          <w:tcPr>
            <w:tcW w:w="780" w:type="dxa"/>
            <w:vAlign w:val="bottom"/>
            <w:tcBorders>
              <w:left w:val="single" w:sz="8" w:color="auto"/>
              <w:bottom w:val="single" w:sz="8" w:color="auto"/>
            </w:tcBorders>
            <w:shd w:val="clear" w:color="auto" w:fill="DBDBDB"/>
          </w:tcPr>
          <w:p>
            <w:pPr>
              <w:spacing w:after="0"/>
              <w:rPr>
                <w:sz w:val="24"/>
                <w:szCs w:val="24"/>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3/15/2025</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DBDBDB"/>
          </w:tcPr>
          <w:p>
            <w:pPr>
              <w:jc w:val="right"/>
              <w:ind w:right="77"/>
              <w:spacing w:after="0"/>
              <w:rPr>
                <w:sz w:val="20"/>
                <w:szCs w:val="20"/>
                <w:color w:val="auto"/>
              </w:rPr>
            </w:pPr>
            <w:r>
              <w:rPr>
                <w:rFonts w:ascii="Arial" w:cs="Arial" w:eastAsia="Arial" w:hAnsi="Arial"/>
                <w:sz w:val="13"/>
                <w:szCs w:val="13"/>
                <w:color w:val="auto"/>
              </w:rPr>
              <w:t>30,117</w:t>
            </w:r>
          </w:p>
        </w:tc>
        <w:tc>
          <w:tcPr>
            <w:tcW w:w="800" w:type="dxa"/>
            <w:vAlign w:val="bottom"/>
            <w:tcBorders>
              <w:bottom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60,234</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120,468</w:t>
            </w:r>
          </w:p>
        </w:tc>
        <w:tc>
          <w:tcPr>
            <w:tcW w:w="10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right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246,959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-4431030</wp:posOffset>
            </wp:positionV>
            <wp:extent cx="34029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65" w:lineRule="exact"/>
        <w:rPr>
          <w:sz w:val="20"/>
          <w:szCs w:val="20"/>
          <w:color w:val="auto"/>
        </w:rPr>
      </w:pPr>
    </w:p>
    <w:p>
      <w:pPr>
        <w:jc w:val="both"/>
        <w:ind w:left="500" w:hanging="330"/>
        <w:spacing w:after="0" w:line="261" w:lineRule="auto"/>
        <w:tabs>
          <w:tab w:leader="none" w:pos="527"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awards granted under our Bonus Plan or the CRO Commission Plan, as applicable, in fiscal year 2025. Actual cash incentive awards earned in fiscal year 2025 by the NEOs under the Bonus Plan or the CRO Commission Plan, as applicable, are shown in the column titled “Non-Equity Incentive Plan Compensation” in the “Summary Compensation Table.”</w:t>
      </w:r>
    </w:p>
    <w:p>
      <w:pPr>
        <w:spacing w:after="0" w:line="1" w:lineRule="exact"/>
        <w:rPr>
          <w:rFonts w:ascii="Arial" w:cs="Arial" w:eastAsia="Arial" w:hAnsi="Arial"/>
          <w:sz w:val="14"/>
          <w:szCs w:val="14"/>
          <w:color w:val="auto"/>
        </w:rPr>
      </w:pPr>
    </w:p>
    <w:p>
      <w:pPr>
        <w:jc w:val="both"/>
        <w:ind w:left="500" w:hanging="330"/>
        <w:spacing w:after="0" w:line="259" w:lineRule="auto"/>
        <w:tabs>
          <w:tab w:leader="none" w:pos="487" w:val="left"/>
        </w:tabs>
        <w:numPr>
          <w:ilvl w:val="0"/>
          <w:numId w:val="83"/>
        </w:numPr>
        <w:rPr>
          <w:rFonts w:ascii="Arial" w:cs="Arial" w:eastAsia="Arial" w:hAnsi="Arial"/>
          <w:sz w:val="14"/>
          <w:szCs w:val="14"/>
          <w:color w:val="auto"/>
        </w:rPr>
      </w:pPr>
      <w:r>
        <w:rPr>
          <w:rFonts w:ascii="Arial" w:cs="Arial" w:eastAsia="Arial" w:hAnsi="Arial"/>
          <w:sz w:val="14"/>
          <w:szCs w:val="14"/>
          <w:color w:val="auto"/>
        </w:rPr>
        <w:t>Except as described below, represents shares of our common stock subject to each of the PSU awards granted to the NEOs in fiscal year 2025 under the 2021 Plan. These columns show the awards that were possible at the threshold, target, and maximum levels of performance. Shares were to be earned based on Gross Profit (70% weighting) and Adjusted EBITDA (30% weighting). If the Company achieves less than threshold performance with respect to any financial performance metric, the payout achieved for that metric is 0%. The minimum payout for achievement against a given metric is set at 50% of target, and that minimum is awarded when actual performance reaches 75% of target performance. The maximum payout for over achievement against a given metric is set at 200% of target, and that maximum is awarded when actual performance reaches 150% of target performance. Additionally, if the Adjusted EBITDA threshold is not met, Gross Profit payout is capped at target. For performance between threshold and target and target and maximum, the payout is determined by linear interpolation. Actual PSU awards earned in fiscal year 2025 by the NEOs are described more fully in the section titled “Compensation Elements” in “Compensation Discussion &amp; Analysis” above. For PSUs, the amount reported represents the grant-date fair value based upon the probable outcome of the performance conditions for such awards, consistent with the estimate of</w:t>
      </w:r>
    </w:p>
    <w:p>
      <w:pPr>
        <w:spacing w:after="0" w:line="200" w:lineRule="exact"/>
        <w:rPr>
          <w:sz w:val="20"/>
          <w:szCs w:val="20"/>
          <w:color w:val="auto"/>
        </w:rPr>
      </w:pPr>
    </w:p>
    <w:p>
      <w:pPr>
        <w:spacing w:after="0" w:line="3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7" w:name="page58"/>
    <w:bookmarkEnd w:id="57"/>
    <w:p>
      <w:pPr>
        <w:jc w:val="both"/>
        <w:ind w:left="500" w:right="20"/>
        <w:spacing w:after="0" w:line="261" w:lineRule="auto"/>
        <w:rPr>
          <w:sz w:val="20"/>
          <w:szCs w:val="20"/>
          <w:color w:val="auto"/>
        </w:rPr>
      </w:pPr>
      <w:r>
        <w:rPr>
          <w:rFonts w:ascii="Arial" w:cs="Arial" w:eastAsia="Arial" w:hAnsi="Arial"/>
          <w:sz w:val="14"/>
          <w:szCs w:val="14"/>
          <w:color w:val="auto"/>
        </w:rPr>
        <w:t>aggregate compensation cost to be recognized over the service period determined as of the grant date under FASB ASC Topic 718, excluding the effect of estimated forfeitures. If maximum performance were deemed achieved for the PSU awards for which the performance conditions were established during fiscal year 2025, the grant-date fair value of such awards would be $1,764,304 for Mr. Milotich, $1,482,068 for Mr. Pollak, and $1,646,396 for Ms. Sumner. Based on actual achievement for fiscal year 2025, 136.2% of the PSU awards granted in 2025 that were eligible to be earned in fiscal year 2025 became eligible to vest.</w:t>
      </w:r>
    </w:p>
    <w:p>
      <w:pPr>
        <w:spacing w:after="0" w:line="2" w:lineRule="exact"/>
        <w:rPr>
          <w:sz w:val="20"/>
          <w:szCs w:val="20"/>
          <w:color w:val="auto"/>
        </w:rPr>
      </w:pPr>
    </w:p>
    <w:p>
      <w:pPr>
        <w:jc w:val="both"/>
        <w:ind w:left="500" w:right="20" w:hanging="330"/>
        <w:spacing w:after="0" w:line="269" w:lineRule="auto"/>
        <w:tabs>
          <w:tab w:leader="none" w:pos="487"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Reflects grant date fair value of each equity award computed in accordance with FASB ASC Topic 718, except as otherwise set forth below. The assumptions used in calculating the grant date fair value of the equity awards reported in this column are set forth in the notes to our consolidated financial statements included in our 2024 Annual Report. The amounts reported in this column reflect the accounting cost for these equity awards and do not correspond to the actual economic value that may be received by our NEOs upon the sale of the underlying shares of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 2025 Year-End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held by our NEOs as of December 31, 2025.</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60" w:type="dxa"/>
            <w:vAlign w:val="bottom"/>
            <w:tcBorders>
              <w:top w:val="single" w:sz="8" w:color="auto"/>
              <w:left w:val="single" w:sz="8" w:color="auto"/>
            </w:tcBorders>
            <w:shd w:val="clear" w:color="auto" w:fill="929292"/>
          </w:tcPr>
          <w:p>
            <w:pPr>
              <w:spacing w:after="0"/>
              <w:rPr>
                <w:sz w:val="18"/>
                <w:szCs w:val="18"/>
                <w:color w:val="auto"/>
              </w:rPr>
            </w:pPr>
          </w:p>
        </w:tc>
        <w:tc>
          <w:tcPr>
            <w:tcW w:w="780" w:type="dxa"/>
            <w:vAlign w:val="bottom"/>
            <w:tcBorders>
              <w:top w:val="single" w:sz="8" w:color="auto"/>
            </w:tcBorders>
            <w:shd w:val="clear" w:color="auto" w:fill="929292"/>
          </w:tcPr>
          <w:p>
            <w:pPr>
              <w:spacing w:after="0"/>
              <w:rPr>
                <w:sz w:val="18"/>
                <w:szCs w:val="18"/>
                <w:color w:val="auto"/>
              </w:rPr>
            </w:pPr>
          </w:p>
        </w:tc>
        <w:tc>
          <w:tcPr>
            <w:tcW w:w="1380" w:type="dxa"/>
            <w:vAlign w:val="bottom"/>
            <w:tcBorders>
              <w:top w:val="single" w:sz="8" w:color="auto"/>
            </w:tcBorders>
            <w:shd w:val="clear" w:color="auto" w:fill="929292"/>
          </w:tcPr>
          <w:p>
            <w:pPr>
              <w:spacing w:after="0"/>
              <w:rPr>
                <w:sz w:val="18"/>
                <w:szCs w:val="18"/>
                <w:color w:val="auto"/>
              </w:rPr>
            </w:pPr>
          </w:p>
        </w:tc>
        <w:tc>
          <w:tcPr>
            <w:tcW w:w="920" w:type="dxa"/>
            <w:vAlign w:val="bottom"/>
            <w:tcBorders>
              <w:top w:val="single" w:sz="8" w:color="auto"/>
            </w:tcBorders>
            <w:shd w:val="clear" w:color="auto" w:fill="929292"/>
          </w:tcPr>
          <w:p>
            <w:pPr>
              <w:spacing w:after="0"/>
              <w:rPr>
                <w:sz w:val="18"/>
                <w:szCs w:val="18"/>
                <w:color w:val="auto"/>
              </w:rPr>
            </w:pPr>
          </w:p>
        </w:tc>
        <w:tc>
          <w:tcPr>
            <w:tcW w:w="2200" w:type="dxa"/>
            <w:vAlign w:val="bottom"/>
            <w:tcBorders>
              <w:top w:val="single" w:sz="8" w:color="auto"/>
            </w:tcBorders>
            <w:gridSpan w:val="2"/>
            <w:shd w:val="clear" w:color="auto" w:fill="929292"/>
          </w:tcPr>
          <w:p>
            <w:pPr>
              <w:jc w:val="right"/>
              <w:ind w:right="126"/>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8"/>
                <w:szCs w:val="18"/>
                <w:b w:val="1"/>
                <w:bCs w:val="1"/>
                <w:color w:val="FFFFFF"/>
                <w:vertAlign w:val="superscript"/>
              </w:rPr>
              <w:t>(1)</w:t>
            </w:r>
          </w:p>
        </w:tc>
        <w:tc>
          <w:tcPr>
            <w:tcW w:w="420" w:type="dxa"/>
            <w:vAlign w:val="bottom"/>
            <w:tcBorders>
              <w:top w:val="single" w:sz="8" w:color="auto"/>
            </w:tcBorders>
            <w:shd w:val="clear" w:color="auto" w:fill="929292"/>
          </w:tcPr>
          <w:p>
            <w:pPr>
              <w:spacing w:after="0"/>
              <w:rPr>
                <w:sz w:val="18"/>
                <w:szCs w:val="18"/>
                <w:color w:val="auto"/>
              </w:rPr>
            </w:pPr>
          </w:p>
        </w:tc>
        <w:tc>
          <w:tcPr>
            <w:tcW w:w="380" w:type="dxa"/>
            <w:vAlign w:val="bottom"/>
            <w:tcBorders>
              <w:top w:val="single" w:sz="8" w:color="auto"/>
            </w:tcBorders>
            <w:shd w:val="clear" w:color="auto" w:fill="929292"/>
          </w:tcPr>
          <w:p>
            <w:pPr>
              <w:spacing w:after="0"/>
              <w:rPr>
                <w:sz w:val="18"/>
                <w:szCs w:val="18"/>
                <w:color w:val="auto"/>
              </w:rPr>
            </w:pPr>
          </w:p>
        </w:tc>
        <w:tc>
          <w:tcPr>
            <w:tcW w:w="1000" w:type="dxa"/>
            <w:vAlign w:val="bottom"/>
            <w:tcBorders>
              <w:top w:val="single" w:sz="8" w:color="auto"/>
            </w:tcBorders>
            <w:shd w:val="clear" w:color="auto" w:fill="929292"/>
          </w:tcPr>
          <w:p>
            <w:pPr>
              <w:spacing w:after="0"/>
              <w:rPr>
                <w:sz w:val="18"/>
                <w:szCs w:val="18"/>
                <w:color w:val="auto"/>
              </w:rPr>
            </w:pPr>
          </w:p>
        </w:tc>
        <w:tc>
          <w:tcPr>
            <w:tcW w:w="780" w:type="dxa"/>
            <w:vAlign w:val="bottom"/>
            <w:tcBorders>
              <w:top w:val="single" w:sz="8" w:color="auto"/>
            </w:tcBorders>
            <w:shd w:val="clear" w:color="auto" w:fill="929292"/>
          </w:tcPr>
          <w:p>
            <w:pPr>
              <w:spacing w:after="0"/>
              <w:rPr>
                <w:sz w:val="18"/>
                <w:szCs w:val="18"/>
                <w:color w:val="auto"/>
              </w:rPr>
            </w:pPr>
          </w:p>
        </w:tc>
        <w:tc>
          <w:tcPr>
            <w:tcW w:w="100" w:type="dxa"/>
            <w:vAlign w:val="bottom"/>
            <w:tcBorders>
              <w:top w:val="single" w:sz="8" w:color="auto"/>
            </w:tcBorders>
            <w:shd w:val="clear" w:color="auto" w:fill="929292"/>
          </w:tcPr>
          <w:p>
            <w:pPr>
              <w:spacing w:after="0"/>
              <w:rPr>
                <w:sz w:val="18"/>
                <w:szCs w:val="18"/>
                <w:color w:val="auto"/>
              </w:rPr>
            </w:pPr>
          </w:p>
        </w:tc>
        <w:tc>
          <w:tcPr>
            <w:tcW w:w="1580" w:type="dxa"/>
            <w:vAlign w:val="bottom"/>
            <w:tcBorders>
              <w:top w:val="single" w:sz="8" w:color="auto"/>
            </w:tcBorders>
            <w:gridSpan w:val="2"/>
            <w:shd w:val="clear" w:color="auto" w:fill="929292"/>
          </w:tcPr>
          <w:p>
            <w:pPr>
              <w:jc w:val="right"/>
              <w:ind w:right="226"/>
              <w:spacing w:after="0"/>
              <w:rPr>
                <w:sz w:val="20"/>
                <w:szCs w:val="20"/>
                <w:color w:val="auto"/>
              </w:rPr>
            </w:pPr>
            <w:r>
              <w:rPr>
                <w:rFonts w:ascii="Arial" w:cs="Arial" w:eastAsia="Arial" w:hAnsi="Arial"/>
                <w:sz w:val="14"/>
                <w:szCs w:val="14"/>
                <w:b w:val="1"/>
                <w:bCs w:val="1"/>
                <w:color w:val="FFFFFF"/>
              </w:rPr>
              <w:t>Stock Awards</w:t>
            </w:r>
          </w:p>
        </w:tc>
        <w:tc>
          <w:tcPr>
            <w:tcW w:w="100" w:type="dxa"/>
            <w:vAlign w:val="bottom"/>
            <w:tcBorders>
              <w:top w:val="single" w:sz="8" w:color="auto"/>
            </w:tcBorders>
            <w:shd w:val="clear" w:color="auto" w:fill="929292"/>
          </w:tcPr>
          <w:p>
            <w:pPr>
              <w:spacing w:after="0"/>
              <w:rPr>
                <w:sz w:val="18"/>
                <w:szCs w:val="18"/>
                <w:color w:val="auto"/>
              </w:rPr>
            </w:pPr>
          </w:p>
        </w:tc>
        <w:tc>
          <w:tcPr>
            <w:tcW w:w="860" w:type="dxa"/>
            <w:vAlign w:val="bottom"/>
            <w:tcBorders>
              <w:top w:val="single" w:sz="8" w:color="auto"/>
              <w:right w:val="single" w:sz="8" w:color="auto"/>
            </w:tcBorders>
            <w:shd w:val="clear" w:color="auto" w:fill="929292"/>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tcBorders>
            <w:shd w:val="clear" w:color="auto" w:fill="929292"/>
          </w:tcPr>
          <w:p>
            <w:pPr>
              <w:spacing w:after="0"/>
              <w:rPr>
                <w:sz w:val="10"/>
                <w:szCs w:val="10"/>
                <w:color w:val="auto"/>
              </w:rPr>
            </w:pPr>
          </w:p>
        </w:tc>
        <w:tc>
          <w:tcPr>
            <w:tcW w:w="780" w:type="dxa"/>
            <w:vAlign w:val="bottom"/>
            <w:shd w:val="clear" w:color="auto" w:fill="929292"/>
          </w:tcPr>
          <w:p>
            <w:pPr>
              <w:spacing w:after="0"/>
              <w:rPr>
                <w:sz w:val="10"/>
                <w:szCs w:val="10"/>
                <w:color w:val="auto"/>
              </w:rPr>
            </w:pPr>
          </w:p>
        </w:tc>
        <w:tc>
          <w:tcPr>
            <w:tcW w:w="1380" w:type="dxa"/>
            <w:vAlign w:val="bottom"/>
            <w:shd w:val="clear" w:color="auto" w:fill="929292"/>
          </w:tcPr>
          <w:p>
            <w:pPr>
              <w:spacing w:after="0"/>
              <w:rPr>
                <w:sz w:val="10"/>
                <w:szCs w:val="10"/>
                <w:color w:val="auto"/>
              </w:rPr>
            </w:pPr>
          </w:p>
        </w:tc>
        <w:tc>
          <w:tcPr>
            <w:tcW w:w="920" w:type="dxa"/>
            <w:vAlign w:val="bottom"/>
            <w:shd w:val="clear" w:color="auto" w:fill="929292"/>
          </w:tcPr>
          <w:p>
            <w:pPr>
              <w:spacing w:after="0"/>
              <w:rPr>
                <w:sz w:val="10"/>
                <w:szCs w:val="10"/>
                <w:color w:val="auto"/>
              </w:rPr>
            </w:pPr>
          </w:p>
        </w:tc>
        <w:tc>
          <w:tcPr>
            <w:tcW w:w="1000" w:type="dxa"/>
            <w:vAlign w:val="bottom"/>
            <w:shd w:val="clear" w:color="auto" w:fill="929292"/>
          </w:tcPr>
          <w:p>
            <w:pPr>
              <w:spacing w:after="0"/>
              <w:rPr>
                <w:sz w:val="10"/>
                <w:szCs w:val="10"/>
                <w:color w:val="auto"/>
              </w:rPr>
            </w:pPr>
          </w:p>
        </w:tc>
        <w:tc>
          <w:tcPr>
            <w:tcW w:w="1200" w:type="dxa"/>
            <w:vAlign w:val="bottom"/>
            <w:shd w:val="clear" w:color="auto" w:fill="929292"/>
          </w:tcPr>
          <w:p>
            <w:pPr>
              <w:spacing w:after="0"/>
              <w:rPr>
                <w:sz w:val="10"/>
                <w:szCs w:val="10"/>
                <w:color w:val="auto"/>
              </w:rPr>
            </w:pPr>
          </w:p>
        </w:tc>
        <w:tc>
          <w:tcPr>
            <w:tcW w:w="420" w:type="dxa"/>
            <w:vAlign w:val="bottom"/>
            <w:shd w:val="clear" w:color="auto" w:fill="929292"/>
          </w:tcPr>
          <w:p>
            <w:pPr>
              <w:spacing w:after="0"/>
              <w:rPr>
                <w:sz w:val="10"/>
                <w:szCs w:val="10"/>
                <w:color w:val="auto"/>
              </w:rPr>
            </w:pPr>
          </w:p>
        </w:tc>
        <w:tc>
          <w:tcPr>
            <w:tcW w:w="380" w:type="dxa"/>
            <w:vAlign w:val="bottom"/>
            <w:shd w:val="clear" w:color="auto" w:fill="929292"/>
          </w:tcPr>
          <w:p>
            <w:pPr>
              <w:spacing w:after="0"/>
              <w:rPr>
                <w:sz w:val="10"/>
                <w:szCs w:val="10"/>
                <w:color w:val="auto"/>
              </w:rPr>
            </w:pPr>
          </w:p>
        </w:tc>
        <w:tc>
          <w:tcPr>
            <w:tcW w:w="1000" w:type="dxa"/>
            <w:vAlign w:val="bottom"/>
            <w:shd w:val="clear" w:color="auto" w:fill="929292"/>
          </w:tcPr>
          <w:p>
            <w:pPr>
              <w:spacing w:after="0"/>
              <w:rPr>
                <w:sz w:val="10"/>
                <w:szCs w:val="10"/>
                <w:color w:val="auto"/>
              </w:rPr>
            </w:pPr>
          </w:p>
        </w:tc>
        <w:tc>
          <w:tcPr>
            <w:tcW w:w="780" w:type="dxa"/>
            <w:vAlign w:val="bottom"/>
            <w:shd w:val="clear" w:color="auto" w:fill="929292"/>
          </w:tcPr>
          <w:p>
            <w:pPr>
              <w:spacing w:after="0"/>
              <w:rPr>
                <w:sz w:val="10"/>
                <w:szCs w:val="10"/>
                <w:color w:val="auto"/>
              </w:rPr>
            </w:pPr>
          </w:p>
        </w:tc>
        <w:tc>
          <w:tcPr>
            <w:tcW w:w="100" w:type="dxa"/>
            <w:vAlign w:val="bottom"/>
            <w:shd w:val="clear" w:color="auto" w:fill="929292"/>
          </w:tcPr>
          <w:p>
            <w:pPr>
              <w:spacing w:after="0"/>
              <w:rPr>
                <w:sz w:val="10"/>
                <w:szCs w:val="10"/>
                <w:color w:val="auto"/>
              </w:rPr>
            </w:pPr>
          </w:p>
        </w:tc>
        <w:tc>
          <w:tcPr>
            <w:tcW w:w="700" w:type="dxa"/>
            <w:vAlign w:val="bottom"/>
            <w:shd w:val="clear" w:color="auto" w:fill="929292"/>
          </w:tcPr>
          <w:p>
            <w:pPr>
              <w:spacing w:after="0"/>
              <w:rPr>
                <w:sz w:val="10"/>
                <w:szCs w:val="10"/>
                <w:color w:val="auto"/>
              </w:rPr>
            </w:pPr>
          </w:p>
        </w:tc>
        <w:tc>
          <w:tcPr>
            <w:tcW w:w="880" w:type="dxa"/>
            <w:vAlign w:val="bottom"/>
            <w:vMerge w:val="restart"/>
            <w:shd w:val="clear" w:color="auto" w:fill="929292"/>
          </w:tcPr>
          <w:p>
            <w:pPr>
              <w:jc w:val="center"/>
              <w:spacing w:after="0"/>
              <w:rPr>
                <w:sz w:val="20"/>
                <w:szCs w:val="20"/>
                <w:color w:val="auto"/>
              </w:rPr>
            </w:pPr>
            <w:r>
              <w:rPr>
                <w:rFonts w:ascii="Arial" w:cs="Arial" w:eastAsia="Arial" w:hAnsi="Arial"/>
                <w:sz w:val="11"/>
                <w:szCs w:val="11"/>
                <w:b w:val="1"/>
                <w:bCs w:val="1"/>
                <w:color w:val="FFFFFF"/>
                <w:w w:val="99"/>
              </w:rPr>
              <w:t>Equity Incentive</w:t>
            </w:r>
          </w:p>
        </w:tc>
        <w:tc>
          <w:tcPr>
            <w:tcW w:w="960" w:type="dxa"/>
            <w:vAlign w:val="bottom"/>
            <w:tcBorders>
              <w:right w:val="single" w:sz="8" w:color="auto"/>
            </w:tcBorders>
            <w:gridSpan w:val="2"/>
            <w:shd w:val="clear" w:color="auto" w:fill="929292"/>
          </w:tcPr>
          <w:p>
            <w:pPr>
              <w:jc w:val="center"/>
              <w:spacing w:after="0" w:line="122" w:lineRule="exact"/>
              <w:rPr>
                <w:sz w:val="20"/>
                <w:szCs w:val="20"/>
                <w:color w:val="auto"/>
              </w:rPr>
            </w:pPr>
            <w:r>
              <w:rPr>
                <w:rFonts w:ascii="Arial" w:cs="Arial" w:eastAsia="Arial" w:hAnsi="Arial"/>
                <w:sz w:val="11"/>
                <w:szCs w:val="11"/>
                <w:b w:val="1"/>
                <w:bCs w:val="1"/>
                <w:color w:val="FFFFFF"/>
                <w:w w:val="97"/>
              </w:rPr>
              <w:t>Equity Incentive</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380" w:type="dxa"/>
            <w:vAlign w:val="bottom"/>
            <w:shd w:val="clear" w:color="auto" w:fill="929292"/>
          </w:tcPr>
          <w:p>
            <w:pPr>
              <w:spacing w:after="0"/>
              <w:rPr>
                <w:sz w:val="9"/>
                <w:szCs w:val="9"/>
                <w:color w:val="auto"/>
              </w:rPr>
            </w:pPr>
          </w:p>
        </w:tc>
        <w:tc>
          <w:tcPr>
            <w:tcW w:w="920" w:type="dxa"/>
            <w:vAlign w:val="bottom"/>
            <w:shd w:val="clear" w:color="auto" w:fill="929292"/>
          </w:tcPr>
          <w:p>
            <w:pPr>
              <w:spacing w:after="0"/>
              <w:rPr>
                <w:sz w:val="9"/>
                <w:szCs w:val="9"/>
                <w:color w:val="auto"/>
              </w:rPr>
            </w:pPr>
          </w:p>
        </w:tc>
        <w:tc>
          <w:tcPr>
            <w:tcW w:w="1000" w:type="dxa"/>
            <w:vAlign w:val="bottom"/>
            <w:shd w:val="clear" w:color="auto" w:fill="929292"/>
          </w:tcPr>
          <w:p>
            <w:pPr>
              <w:spacing w:after="0"/>
              <w:rPr>
                <w:sz w:val="9"/>
                <w:szCs w:val="9"/>
                <w:color w:val="auto"/>
              </w:rPr>
            </w:pPr>
          </w:p>
        </w:tc>
        <w:tc>
          <w:tcPr>
            <w:tcW w:w="1200" w:type="dxa"/>
            <w:vAlign w:val="bottom"/>
            <w:shd w:val="clear" w:color="auto" w:fill="929292"/>
          </w:tcPr>
          <w:p>
            <w:pPr>
              <w:spacing w:after="0"/>
              <w:rPr>
                <w:sz w:val="9"/>
                <w:szCs w:val="9"/>
                <w:color w:val="auto"/>
              </w:rPr>
            </w:pPr>
          </w:p>
        </w:tc>
        <w:tc>
          <w:tcPr>
            <w:tcW w:w="420" w:type="dxa"/>
            <w:vAlign w:val="bottom"/>
            <w:shd w:val="clear" w:color="auto" w:fill="929292"/>
          </w:tcPr>
          <w:p>
            <w:pPr>
              <w:spacing w:after="0"/>
              <w:rPr>
                <w:sz w:val="9"/>
                <w:szCs w:val="9"/>
                <w:color w:val="auto"/>
              </w:rPr>
            </w:pPr>
          </w:p>
        </w:tc>
        <w:tc>
          <w:tcPr>
            <w:tcW w:w="380" w:type="dxa"/>
            <w:vAlign w:val="bottom"/>
            <w:shd w:val="clear" w:color="auto" w:fill="929292"/>
          </w:tcPr>
          <w:p>
            <w:pPr>
              <w:spacing w:after="0"/>
              <w:rPr>
                <w:sz w:val="9"/>
                <w:szCs w:val="9"/>
                <w:color w:val="auto"/>
              </w:rPr>
            </w:pPr>
          </w:p>
        </w:tc>
        <w:tc>
          <w:tcPr>
            <w:tcW w:w="1000" w:type="dxa"/>
            <w:vAlign w:val="bottom"/>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700" w:type="dxa"/>
            <w:vAlign w:val="bottom"/>
            <w:shd w:val="clear" w:color="auto" w:fill="929292"/>
          </w:tcPr>
          <w:p>
            <w:pPr>
              <w:spacing w:after="0"/>
              <w:rPr>
                <w:sz w:val="9"/>
                <w:szCs w:val="9"/>
                <w:color w:val="auto"/>
              </w:rPr>
            </w:pPr>
          </w:p>
        </w:tc>
        <w:tc>
          <w:tcPr>
            <w:tcW w:w="880" w:type="dxa"/>
            <w:vAlign w:val="bottom"/>
            <w:vMerge w:val="continue"/>
            <w:shd w:val="clear" w:color="auto" w:fill="929292"/>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860" w:type="dxa"/>
            <w:vAlign w:val="bottom"/>
            <w:tcBorders>
              <w:right w:val="single" w:sz="8" w:color="auto"/>
            </w:tcBorders>
            <w:shd w:val="clear" w:color="auto" w:fill="929292"/>
          </w:tcPr>
          <w:p>
            <w:pPr>
              <w:jc w:val="center"/>
              <w:ind w:right="46"/>
              <w:spacing w:after="0" w:line="108" w:lineRule="exact"/>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380" w:type="dxa"/>
            <w:vAlign w:val="bottom"/>
            <w:shd w:val="clear" w:color="auto" w:fill="929292"/>
          </w:tcPr>
          <w:p>
            <w:pPr>
              <w:spacing w:after="0"/>
              <w:rPr>
                <w:sz w:val="9"/>
                <w:szCs w:val="9"/>
                <w:color w:val="auto"/>
              </w:rPr>
            </w:pPr>
          </w:p>
        </w:tc>
        <w:tc>
          <w:tcPr>
            <w:tcW w:w="920" w:type="dxa"/>
            <w:vAlign w:val="bottom"/>
            <w:vMerge w:val="restart"/>
            <w:shd w:val="clear" w:color="auto" w:fill="929292"/>
          </w:tcPr>
          <w:p>
            <w:pPr>
              <w:jc w:val="center"/>
              <w:ind w:right="6"/>
              <w:spacing w:after="0"/>
              <w:rPr>
                <w:sz w:val="20"/>
                <w:szCs w:val="20"/>
                <w:color w:val="auto"/>
              </w:rPr>
            </w:pPr>
            <w:r>
              <w:rPr>
                <w:rFonts w:ascii="Arial" w:cs="Arial" w:eastAsia="Arial" w:hAnsi="Arial"/>
                <w:sz w:val="11"/>
                <w:szCs w:val="11"/>
                <w:b w:val="1"/>
                <w:bCs w:val="1"/>
                <w:color w:val="FFFFFF"/>
                <w:w w:val="98"/>
              </w:rPr>
              <w:t>Number of</w:t>
            </w:r>
          </w:p>
        </w:tc>
        <w:tc>
          <w:tcPr>
            <w:tcW w:w="1000" w:type="dxa"/>
            <w:vAlign w:val="bottom"/>
            <w:shd w:val="clear" w:color="auto" w:fill="929292"/>
          </w:tcPr>
          <w:p>
            <w:pPr>
              <w:spacing w:after="0"/>
              <w:rPr>
                <w:sz w:val="9"/>
                <w:szCs w:val="9"/>
                <w:color w:val="auto"/>
              </w:rPr>
            </w:pPr>
          </w:p>
        </w:tc>
        <w:tc>
          <w:tcPr>
            <w:tcW w:w="1200" w:type="dxa"/>
            <w:vAlign w:val="bottom"/>
            <w:shd w:val="clear" w:color="auto" w:fill="929292"/>
          </w:tcPr>
          <w:p>
            <w:pPr>
              <w:spacing w:after="0"/>
              <w:rPr>
                <w:sz w:val="9"/>
                <w:szCs w:val="9"/>
                <w:color w:val="auto"/>
              </w:rPr>
            </w:pPr>
          </w:p>
        </w:tc>
        <w:tc>
          <w:tcPr>
            <w:tcW w:w="420" w:type="dxa"/>
            <w:vAlign w:val="bottom"/>
            <w:shd w:val="clear" w:color="auto" w:fill="929292"/>
          </w:tcPr>
          <w:p>
            <w:pPr>
              <w:spacing w:after="0"/>
              <w:rPr>
                <w:sz w:val="9"/>
                <w:szCs w:val="9"/>
                <w:color w:val="auto"/>
              </w:rPr>
            </w:pPr>
          </w:p>
        </w:tc>
        <w:tc>
          <w:tcPr>
            <w:tcW w:w="380" w:type="dxa"/>
            <w:vAlign w:val="bottom"/>
            <w:shd w:val="clear" w:color="auto" w:fill="929292"/>
          </w:tcPr>
          <w:p>
            <w:pPr>
              <w:spacing w:after="0"/>
              <w:rPr>
                <w:sz w:val="9"/>
                <w:szCs w:val="9"/>
                <w:color w:val="auto"/>
              </w:rPr>
            </w:pPr>
          </w:p>
        </w:tc>
        <w:tc>
          <w:tcPr>
            <w:tcW w:w="1000" w:type="dxa"/>
            <w:vAlign w:val="bottom"/>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700" w:type="dxa"/>
            <w:vAlign w:val="bottom"/>
            <w:shd w:val="clear" w:color="auto" w:fill="929292"/>
          </w:tcPr>
          <w:p>
            <w:pPr>
              <w:spacing w:after="0"/>
              <w:rPr>
                <w:sz w:val="9"/>
                <w:szCs w:val="9"/>
                <w:color w:val="auto"/>
              </w:rPr>
            </w:pPr>
          </w:p>
        </w:tc>
        <w:tc>
          <w:tcPr>
            <w:tcW w:w="1840" w:type="dxa"/>
            <w:vAlign w:val="bottom"/>
            <w:tcBorders>
              <w:right w:val="single" w:sz="8" w:color="auto"/>
            </w:tcBorders>
            <w:gridSpan w:val="3"/>
            <w:shd w:val="clear" w:color="auto" w:fill="929292"/>
          </w:tcPr>
          <w:p>
            <w:pPr>
              <w:jc w:val="right"/>
              <w:spacing w:after="0" w:line="108" w:lineRule="exact"/>
              <w:rPr>
                <w:sz w:val="20"/>
                <w:szCs w:val="20"/>
                <w:color w:val="auto"/>
              </w:rPr>
            </w:pPr>
            <w:r>
              <w:rPr>
                <w:rFonts w:ascii="Arial" w:cs="Arial" w:eastAsia="Arial" w:hAnsi="Arial"/>
                <w:sz w:val="11"/>
                <w:szCs w:val="11"/>
                <w:b w:val="1"/>
                <w:bCs w:val="1"/>
                <w:color w:val="FFFFFF"/>
              </w:rPr>
              <w:t>Plan Awards:  Market or Payout</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380" w:type="dxa"/>
            <w:vAlign w:val="bottom"/>
            <w:shd w:val="clear" w:color="auto" w:fill="929292"/>
          </w:tcPr>
          <w:p>
            <w:pPr>
              <w:spacing w:after="0"/>
              <w:rPr>
                <w:sz w:val="9"/>
                <w:szCs w:val="9"/>
                <w:color w:val="auto"/>
              </w:rPr>
            </w:pPr>
          </w:p>
        </w:tc>
        <w:tc>
          <w:tcPr>
            <w:tcW w:w="920" w:type="dxa"/>
            <w:vAlign w:val="bottom"/>
            <w:vMerge w:val="continue"/>
            <w:shd w:val="clear" w:color="auto" w:fill="929292"/>
          </w:tcPr>
          <w:p>
            <w:pPr>
              <w:spacing w:after="0"/>
              <w:rPr>
                <w:sz w:val="9"/>
                <w:szCs w:val="9"/>
                <w:color w:val="auto"/>
              </w:rPr>
            </w:pPr>
          </w:p>
        </w:tc>
        <w:tc>
          <w:tcPr>
            <w:tcW w:w="1000" w:type="dxa"/>
            <w:vAlign w:val="bottom"/>
            <w:shd w:val="clear" w:color="auto" w:fill="929292"/>
          </w:tcPr>
          <w:p>
            <w:pPr>
              <w:spacing w:after="0"/>
              <w:rPr>
                <w:sz w:val="9"/>
                <w:szCs w:val="9"/>
                <w:color w:val="auto"/>
              </w:rPr>
            </w:pPr>
          </w:p>
        </w:tc>
        <w:tc>
          <w:tcPr>
            <w:tcW w:w="1200" w:type="dxa"/>
            <w:vAlign w:val="bottom"/>
            <w:vMerge w:val="restart"/>
            <w:shd w:val="clear" w:color="auto" w:fill="929292"/>
          </w:tcPr>
          <w:p>
            <w:pPr>
              <w:jc w:val="right"/>
              <w:spacing w:after="0"/>
              <w:rPr>
                <w:sz w:val="20"/>
                <w:szCs w:val="20"/>
                <w:color w:val="auto"/>
              </w:rPr>
            </w:pPr>
            <w:r>
              <w:rPr>
                <w:rFonts w:ascii="Arial" w:cs="Arial" w:eastAsia="Arial" w:hAnsi="Arial"/>
                <w:sz w:val="11"/>
                <w:szCs w:val="11"/>
                <w:b w:val="1"/>
                <w:bCs w:val="1"/>
                <w:color w:val="FFFFFF"/>
              </w:rPr>
              <w:t>Equity Incentive Plan</w:t>
            </w:r>
          </w:p>
        </w:tc>
        <w:tc>
          <w:tcPr>
            <w:tcW w:w="420" w:type="dxa"/>
            <w:vAlign w:val="bottom"/>
            <w:shd w:val="clear" w:color="auto" w:fill="929292"/>
          </w:tcPr>
          <w:p>
            <w:pPr>
              <w:spacing w:after="0"/>
              <w:rPr>
                <w:sz w:val="9"/>
                <w:szCs w:val="9"/>
                <w:color w:val="auto"/>
              </w:rPr>
            </w:pPr>
          </w:p>
        </w:tc>
        <w:tc>
          <w:tcPr>
            <w:tcW w:w="380" w:type="dxa"/>
            <w:vAlign w:val="bottom"/>
            <w:shd w:val="clear" w:color="auto" w:fill="929292"/>
          </w:tcPr>
          <w:p>
            <w:pPr>
              <w:spacing w:after="0"/>
              <w:rPr>
                <w:sz w:val="9"/>
                <w:szCs w:val="9"/>
                <w:color w:val="auto"/>
              </w:rPr>
            </w:pPr>
          </w:p>
        </w:tc>
        <w:tc>
          <w:tcPr>
            <w:tcW w:w="1000" w:type="dxa"/>
            <w:vAlign w:val="bottom"/>
            <w:shd w:val="clear" w:color="auto" w:fill="929292"/>
          </w:tcPr>
          <w:p>
            <w:pPr>
              <w:spacing w:after="0"/>
              <w:rPr>
                <w:sz w:val="9"/>
                <w:szCs w:val="9"/>
                <w:color w:val="auto"/>
              </w:rPr>
            </w:pPr>
          </w:p>
        </w:tc>
        <w:tc>
          <w:tcPr>
            <w:tcW w:w="780" w:type="dxa"/>
            <w:vAlign w:val="bottom"/>
            <w:shd w:val="clear" w:color="auto" w:fill="929292"/>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700" w:type="dxa"/>
            <w:vAlign w:val="bottom"/>
            <w:shd w:val="clear" w:color="auto" w:fill="929292"/>
          </w:tcPr>
          <w:p>
            <w:pPr>
              <w:spacing w:after="0"/>
              <w:rPr>
                <w:sz w:val="9"/>
                <w:szCs w:val="9"/>
                <w:color w:val="auto"/>
              </w:rPr>
            </w:pPr>
          </w:p>
        </w:tc>
        <w:tc>
          <w:tcPr>
            <w:tcW w:w="88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00" w:type="dxa"/>
            <w:vAlign w:val="bottom"/>
            <w:shd w:val="clear" w:color="auto" w:fill="929292"/>
          </w:tcPr>
          <w:p>
            <w:pPr>
              <w:spacing w:after="0"/>
              <w:rPr>
                <w:sz w:val="9"/>
                <w:szCs w:val="9"/>
                <w:color w:val="auto"/>
              </w:rPr>
            </w:pPr>
          </w:p>
        </w:tc>
        <w:tc>
          <w:tcPr>
            <w:tcW w:w="860" w:type="dxa"/>
            <w:vAlign w:val="bottom"/>
            <w:tcBorders>
              <w:right w:val="single" w:sz="8" w:color="auto"/>
            </w:tcBorders>
            <w:shd w:val="clear" w:color="auto" w:fill="929292"/>
          </w:tcPr>
          <w:p>
            <w:pPr>
              <w:jc w:val="center"/>
              <w:ind w:right="66"/>
              <w:spacing w:after="0" w:line="108" w:lineRule="exact"/>
              <w:rPr>
                <w:sz w:val="20"/>
                <w:szCs w:val="20"/>
                <w:color w:val="auto"/>
              </w:rPr>
            </w:pPr>
            <w:r>
              <w:rPr>
                <w:rFonts w:ascii="Arial" w:cs="Arial" w:eastAsia="Arial" w:hAnsi="Arial"/>
                <w:sz w:val="11"/>
                <w:szCs w:val="11"/>
                <w:b w:val="1"/>
                <w:bCs w:val="1"/>
                <w:color w:val="FFFFFF"/>
                <w:w w:val="98"/>
              </w:rPr>
              <w:t>Value of</w:t>
            </w:r>
          </w:p>
        </w:tc>
        <w:tc>
          <w:tcPr>
            <w:tcW w:w="0" w:type="dxa"/>
            <w:vAlign w:val="bottom"/>
          </w:tcPr>
          <w:p>
            <w:pPr>
              <w:spacing w:after="0"/>
              <w:rPr>
                <w:sz w:val="1"/>
                <w:szCs w:val="1"/>
                <w:color w:val="auto"/>
              </w:rPr>
            </w:pPr>
          </w:p>
        </w:tc>
      </w:tr>
      <w:tr>
        <w:trPr>
          <w:trHeight w:val="68"/>
        </w:trPr>
        <w:tc>
          <w:tcPr>
            <w:tcW w:w="760" w:type="dxa"/>
            <w:vAlign w:val="bottom"/>
            <w:tcBorders>
              <w:left w:val="single" w:sz="8" w:color="auto"/>
            </w:tcBorders>
            <w:shd w:val="clear" w:color="auto" w:fill="929292"/>
          </w:tcPr>
          <w:p>
            <w:pPr>
              <w:spacing w:after="0"/>
              <w:rPr>
                <w:sz w:val="5"/>
                <w:szCs w:val="5"/>
                <w:color w:val="auto"/>
              </w:rPr>
            </w:pPr>
          </w:p>
        </w:tc>
        <w:tc>
          <w:tcPr>
            <w:tcW w:w="780" w:type="dxa"/>
            <w:vAlign w:val="bottom"/>
            <w:shd w:val="clear" w:color="auto" w:fill="929292"/>
          </w:tcPr>
          <w:p>
            <w:pPr>
              <w:spacing w:after="0"/>
              <w:rPr>
                <w:sz w:val="5"/>
                <w:szCs w:val="5"/>
                <w:color w:val="auto"/>
              </w:rPr>
            </w:pPr>
          </w:p>
        </w:tc>
        <w:tc>
          <w:tcPr>
            <w:tcW w:w="1380" w:type="dxa"/>
            <w:vAlign w:val="bottom"/>
            <w:shd w:val="clear" w:color="auto" w:fill="929292"/>
          </w:tcPr>
          <w:p>
            <w:pPr>
              <w:spacing w:after="0"/>
              <w:rPr>
                <w:sz w:val="5"/>
                <w:szCs w:val="5"/>
                <w:color w:val="auto"/>
              </w:rPr>
            </w:pPr>
          </w:p>
        </w:tc>
        <w:tc>
          <w:tcPr>
            <w:tcW w:w="920" w:type="dxa"/>
            <w:vAlign w:val="bottom"/>
            <w:vMerge w:val="restart"/>
            <w:shd w:val="clear" w:color="auto" w:fill="929292"/>
          </w:tcPr>
          <w:p>
            <w:pPr>
              <w:jc w:val="center"/>
              <w:ind w:right="26"/>
              <w:spacing w:after="0" w:line="108" w:lineRule="exact"/>
              <w:rPr>
                <w:sz w:val="20"/>
                <w:szCs w:val="20"/>
                <w:color w:val="auto"/>
              </w:rPr>
            </w:pPr>
            <w:r>
              <w:rPr>
                <w:rFonts w:ascii="Arial" w:cs="Arial" w:eastAsia="Arial" w:hAnsi="Arial"/>
                <w:sz w:val="11"/>
                <w:szCs w:val="11"/>
                <w:b w:val="1"/>
                <w:bCs w:val="1"/>
                <w:color w:val="FFFFFF"/>
                <w:w w:val="98"/>
              </w:rPr>
              <w:t>Securities</w:t>
            </w:r>
          </w:p>
        </w:tc>
        <w:tc>
          <w:tcPr>
            <w:tcW w:w="100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200" w:type="dxa"/>
            <w:vAlign w:val="bottom"/>
            <w:vMerge w:val="continue"/>
            <w:shd w:val="clear" w:color="auto" w:fill="929292"/>
          </w:tcPr>
          <w:p>
            <w:pPr>
              <w:spacing w:after="0"/>
              <w:rPr>
                <w:sz w:val="5"/>
                <w:szCs w:val="5"/>
                <w:color w:val="auto"/>
              </w:rPr>
            </w:pPr>
          </w:p>
        </w:tc>
        <w:tc>
          <w:tcPr>
            <w:tcW w:w="420" w:type="dxa"/>
            <w:vAlign w:val="bottom"/>
            <w:shd w:val="clear" w:color="auto" w:fill="929292"/>
          </w:tcPr>
          <w:p>
            <w:pPr>
              <w:spacing w:after="0"/>
              <w:rPr>
                <w:sz w:val="5"/>
                <w:szCs w:val="5"/>
                <w:color w:val="auto"/>
              </w:rPr>
            </w:pPr>
          </w:p>
        </w:tc>
        <w:tc>
          <w:tcPr>
            <w:tcW w:w="380" w:type="dxa"/>
            <w:vAlign w:val="bottom"/>
            <w:shd w:val="clear" w:color="auto" w:fill="929292"/>
          </w:tcPr>
          <w:p>
            <w:pPr>
              <w:spacing w:after="0"/>
              <w:rPr>
                <w:sz w:val="5"/>
                <w:szCs w:val="5"/>
                <w:color w:val="auto"/>
              </w:rPr>
            </w:pPr>
          </w:p>
        </w:tc>
        <w:tc>
          <w:tcPr>
            <w:tcW w:w="1000" w:type="dxa"/>
            <w:vAlign w:val="bottom"/>
            <w:shd w:val="clear" w:color="auto" w:fill="929292"/>
          </w:tcPr>
          <w:p>
            <w:pPr>
              <w:spacing w:after="0"/>
              <w:rPr>
                <w:sz w:val="5"/>
                <w:szCs w:val="5"/>
                <w:color w:val="auto"/>
              </w:rPr>
            </w:pPr>
          </w:p>
        </w:tc>
        <w:tc>
          <w:tcPr>
            <w:tcW w:w="7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Number of</w:t>
            </w:r>
          </w:p>
        </w:tc>
        <w:tc>
          <w:tcPr>
            <w:tcW w:w="800" w:type="dxa"/>
            <w:vAlign w:val="bottom"/>
            <w:gridSpan w:val="2"/>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7"/>
              </w:rPr>
              <w:t>Market Value</w:t>
            </w:r>
          </w:p>
        </w:tc>
        <w:tc>
          <w:tcPr>
            <w:tcW w:w="8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Unearned</w:t>
            </w:r>
          </w:p>
        </w:tc>
        <w:tc>
          <w:tcPr>
            <w:tcW w:w="100" w:type="dxa"/>
            <w:vAlign w:val="bottom"/>
            <w:shd w:val="clear" w:color="auto" w:fill="929292"/>
          </w:tcPr>
          <w:p>
            <w:pPr>
              <w:spacing w:after="0"/>
              <w:rPr>
                <w:sz w:val="5"/>
                <w:szCs w:val="5"/>
                <w:color w:val="auto"/>
              </w:rPr>
            </w:pPr>
          </w:p>
        </w:tc>
        <w:tc>
          <w:tcPr>
            <w:tcW w:w="860" w:type="dxa"/>
            <w:vAlign w:val="bottom"/>
            <w:tcBorders>
              <w:right w:val="single" w:sz="8" w:color="auto"/>
            </w:tcBorders>
            <w:vMerge w:val="restart"/>
            <w:shd w:val="clear" w:color="auto" w:fill="929292"/>
          </w:tcPr>
          <w:p>
            <w:pPr>
              <w:jc w:val="center"/>
              <w:ind w:right="66"/>
              <w:spacing w:after="0" w:line="108" w:lineRule="exact"/>
              <w:rPr>
                <w:sz w:val="20"/>
                <w:szCs w:val="20"/>
                <w:color w:val="auto"/>
              </w:rPr>
            </w:pPr>
            <w:r>
              <w:rPr>
                <w:rFonts w:ascii="Arial" w:cs="Arial" w:eastAsia="Arial" w:hAnsi="Arial"/>
                <w:sz w:val="11"/>
                <w:szCs w:val="11"/>
                <w:b w:val="1"/>
                <w:bCs w:val="1"/>
                <w:color w:val="FFFFFF"/>
                <w:w w:val="98"/>
              </w:rPr>
              <w:t>Unearned</w:t>
            </w:r>
          </w:p>
        </w:tc>
        <w:tc>
          <w:tcPr>
            <w:tcW w:w="0" w:type="dxa"/>
            <w:vAlign w:val="bottom"/>
          </w:tcPr>
          <w:p>
            <w:pPr>
              <w:spacing w:after="0"/>
              <w:rPr>
                <w:sz w:val="1"/>
                <w:szCs w:val="1"/>
                <w:color w:val="auto"/>
              </w:rPr>
            </w:pPr>
          </w:p>
        </w:tc>
      </w:tr>
      <w:tr>
        <w:trPr>
          <w:trHeight w:val="41"/>
        </w:trPr>
        <w:tc>
          <w:tcPr>
            <w:tcW w:w="760" w:type="dxa"/>
            <w:vAlign w:val="bottom"/>
            <w:tcBorders>
              <w:left w:val="single" w:sz="8" w:color="auto"/>
            </w:tcBorders>
            <w:shd w:val="clear" w:color="auto" w:fill="929292"/>
          </w:tcPr>
          <w:p>
            <w:pPr>
              <w:spacing w:after="0"/>
              <w:rPr>
                <w:sz w:val="3"/>
                <w:szCs w:val="3"/>
                <w:color w:val="auto"/>
              </w:rPr>
            </w:pPr>
          </w:p>
        </w:tc>
        <w:tc>
          <w:tcPr>
            <w:tcW w:w="780" w:type="dxa"/>
            <w:vAlign w:val="bottom"/>
            <w:shd w:val="clear" w:color="auto" w:fill="929292"/>
          </w:tcPr>
          <w:p>
            <w:pPr>
              <w:spacing w:after="0"/>
              <w:rPr>
                <w:sz w:val="3"/>
                <w:szCs w:val="3"/>
                <w:color w:val="auto"/>
              </w:rPr>
            </w:pPr>
          </w:p>
        </w:tc>
        <w:tc>
          <w:tcPr>
            <w:tcW w:w="1380" w:type="dxa"/>
            <w:vAlign w:val="bottom"/>
            <w:shd w:val="clear" w:color="auto" w:fill="929292"/>
          </w:tcPr>
          <w:p>
            <w:pPr>
              <w:spacing w:after="0"/>
              <w:rPr>
                <w:sz w:val="3"/>
                <w:szCs w:val="3"/>
                <w:color w:val="auto"/>
              </w:rPr>
            </w:pPr>
          </w:p>
        </w:tc>
        <w:tc>
          <w:tcPr>
            <w:tcW w:w="920" w:type="dxa"/>
            <w:vAlign w:val="bottom"/>
            <w:vMerge w:val="continue"/>
            <w:shd w:val="clear" w:color="auto" w:fill="929292"/>
          </w:tcPr>
          <w:p>
            <w:pPr>
              <w:spacing w:after="0"/>
              <w:rPr>
                <w:sz w:val="3"/>
                <w:szCs w:val="3"/>
                <w:color w:val="auto"/>
              </w:rPr>
            </w:pPr>
          </w:p>
        </w:tc>
        <w:tc>
          <w:tcPr>
            <w:tcW w:w="1000" w:type="dxa"/>
            <w:vAlign w:val="bottom"/>
            <w:vMerge w:val="continue"/>
            <w:shd w:val="clear" w:color="auto" w:fill="929292"/>
          </w:tcPr>
          <w:p>
            <w:pPr>
              <w:spacing w:after="0"/>
              <w:rPr>
                <w:sz w:val="3"/>
                <w:szCs w:val="3"/>
                <w:color w:val="auto"/>
              </w:rPr>
            </w:pPr>
          </w:p>
        </w:tc>
        <w:tc>
          <w:tcPr>
            <w:tcW w:w="120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6"/>
              </w:rPr>
              <w:t>Awards:</w:t>
            </w:r>
          </w:p>
        </w:tc>
        <w:tc>
          <w:tcPr>
            <w:tcW w:w="420" w:type="dxa"/>
            <w:vAlign w:val="bottom"/>
            <w:shd w:val="clear" w:color="auto" w:fill="929292"/>
          </w:tcPr>
          <w:p>
            <w:pPr>
              <w:spacing w:after="0"/>
              <w:rPr>
                <w:sz w:val="3"/>
                <w:szCs w:val="3"/>
                <w:color w:val="auto"/>
              </w:rPr>
            </w:pPr>
          </w:p>
        </w:tc>
        <w:tc>
          <w:tcPr>
            <w:tcW w:w="380" w:type="dxa"/>
            <w:vAlign w:val="bottom"/>
            <w:shd w:val="clear" w:color="auto" w:fill="929292"/>
          </w:tcPr>
          <w:p>
            <w:pPr>
              <w:spacing w:after="0"/>
              <w:rPr>
                <w:sz w:val="3"/>
                <w:szCs w:val="3"/>
                <w:color w:val="auto"/>
              </w:rPr>
            </w:pPr>
          </w:p>
        </w:tc>
        <w:tc>
          <w:tcPr>
            <w:tcW w:w="1000" w:type="dxa"/>
            <w:vAlign w:val="bottom"/>
            <w:shd w:val="clear" w:color="auto" w:fill="929292"/>
          </w:tcPr>
          <w:p>
            <w:pPr>
              <w:spacing w:after="0"/>
              <w:rPr>
                <w:sz w:val="3"/>
                <w:szCs w:val="3"/>
                <w:color w:val="auto"/>
              </w:rPr>
            </w:pPr>
          </w:p>
        </w:tc>
        <w:tc>
          <w:tcPr>
            <w:tcW w:w="780" w:type="dxa"/>
            <w:vAlign w:val="bottom"/>
            <w:vMerge w:val="continue"/>
            <w:shd w:val="clear" w:color="auto" w:fill="929292"/>
          </w:tcPr>
          <w:p>
            <w:pPr>
              <w:spacing w:after="0"/>
              <w:rPr>
                <w:sz w:val="3"/>
                <w:szCs w:val="3"/>
                <w:color w:val="auto"/>
              </w:rPr>
            </w:pPr>
          </w:p>
        </w:tc>
        <w:tc>
          <w:tcPr>
            <w:tcW w:w="800" w:type="dxa"/>
            <w:vAlign w:val="bottom"/>
            <w:gridSpan w:val="2"/>
            <w:vMerge w:val="continue"/>
            <w:shd w:val="clear" w:color="auto" w:fill="929292"/>
          </w:tcPr>
          <w:p>
            <w:pPr>
              <w:spacing w:after="0"/>
              <w:rPr>
                <w:sz w:val="3"/>
                <w:szCs w:val="3"/>
                <w:color w:val="auto"/>
              </w:rPr>
            </w:pPr>
          </w:p>
        </w:tc>
        <w:tc>
          <w:tcPr>
            <w:tcW w:w="880" w:type="dxa"/>
            <w:vAlign w:val="bottom"/>
            <w:vMerge w:val="continue"/>
            <w:shd w:val="clear" w:color="auto" w:fill="929292"/>
          </w:tcPr>
          <w:p>
            <w:pPr>
              <w:spacing w:after="0"/>
              <w:rPr>
                <w:sz w:val="3"/>
                <w:szCs w:val="3"/>
                <w:color w:val="auto"/>
              </w:rPr>
            </w:pPr>
          </w:p>
        </w:tc>
        <w:tc>
          <w:tcPr>
            <w:tcW w:w="100" w:type="dxa"/>
            <w:vAlign w:val="bottom"/>
            <w:shd w:val="clear" w:color="auto" w:fill="929292"/>
          </w:tcPr>
          <w:p>
            <w:pPr>
              <w:spacing w:after="0"/>
              <w:rPr>
                <w:sz w:val="3"/>
                <w:szCs w:val="3"/>
                <w:color w:val="auto"/>
              </w:rPr>
            </w:pPr>
          </w:p>
        </w:tc>
        <w:tc>
          <w:tcPr>
            <w:tcW w:w="860" w:type="dxa"/>
            <w:vAlign w:val="bottom"/>
            <w:tcBorders>
              <w:right w:val="single" w:sz="8" w:color="auto"/>
            </w:tcBorders>
            <w:vMerge w:val="continue"/>
            <w:shd w:val="clear" w:color="auto" w:fill="929292"/>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60" w:type="dxa"/>
            <w:vAlign w:val="bottom"/>
            <w:tcBorders>
              <w:left w:val="single" w:sz="8" w:color="auto"/>
            </w:tcBorders>
            <w:shd w:val="clear" w:color="auto" w:fill="929292"/>
          </w:tcPr>
          <w:p>
            <w:pPr>
              <w:spacing w:after="0"/>
              <w:rPr>
                <w:sz w:val="5"/>
                <w:szCs w:val="5"/>
                <w:color w:val="auto"/>
              </w:rPr>
            </w:pPr>
          </w:p>
        </w:tc>
        <w:tc>
          <w:tcPr>
            <w:tcW w:w="780" w:type="dxa"/>
            <w:vAlign w:val="bottom"/>
            <w:shd w:val="clear" w:color="auto" w:fill="929292"/>
          </w:tcPr>
          <w:p>
            <w:pPr>
              <w:spacing w:after="0"/>
              <w:rPr>
                <w:sz w:val="5"/>
                <w:szCs w:val="5"/>
                <w:color w:val="auto"/>
              </w:rPr>
            </w:pPr>
          </w:p>
        </w:tc>
        <w:tc>
          <w:tcPr>
            <w:tcW w:w="1380" w:type="dxa"/>
            <w:vAlign w:val="bottom"/>
            <w:shd w:val="clear" w:color="auto" w:fill="929292"/>
          </w:tcPr>
          <w:p>
            <w:pPr>
              <w:spacing w:after="0"/>
              <w:rPr>
                <w:sz w:val="5"/>
                <w:szCs w:val="5"/>
                <w:color w:val="auto"/>
              </w:rPr>
            </w:pPr>
          </w:p>
        </w:tc>
        <w:tc>
          <w:tcPr>
            <w:tcW w:w="920" w:type="dxa"/>
            <w:vAlign w:val="bottom"/>
            <w:vMerge w:val="restart"/>
            <w:shd w:val="clear" w:color="auto" w:fill="929292"/>
          </w:tcPr>
          <w:p>
            <w:pPr>
              <w:jc w:val="center"/>
              <w:ind w:right="26"/>
              <w:spacing w:after="0" w:line="108" w:lineRule="exact"/>
              <w:rPr>
                <w:sz w:val="20"/>
                <w:szCs w:val="20"/>
                <w:color w:val="auto"/>
              </w:rPr>
            </w:pPr>
            <w:r>
              <w:rPr>
                <w:rFonts w:ascii="Arial" w:cs="Arial" w:eastAsia="Arial" w:hAnsi="Arial"/>
                <w:sz w:val="11"/>
                <w:szCs w:val="11"/>
                <w:b w:val="1"/>
                <w:bCs w:val="1"/>
                <w:color w:val="FFFFFF"/>
                <w:w w:val="97"/>
              </w:rPr>
              <w:t>Underlying</w:t>
            </w:r>
          </w:p>
        </w:tc>
        <w:tc>
          <w:tcPr>
            <w:tcW w:w="100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4"/>
              </w:rPr>
              <w:t>Securities</w:t>
            </w:r>
          </w:p>
        </w:tc>
        <w:tc>
          <w:tcPr>
            <w:tcW w:w="1200" w:type="dxa"/>
            <w:vAlign w:val="bottom"/>
            <w:vMerge w:val="continue"/>
            <w:shd w:val="clear" w:color="auto" w:fill="929292"/>
          </w:tcPr>
          <w:p>
            <w:pPr>
              <w:spacing w:after="0"/>
              <w:rPr>
                <w:sz w:val="5"/>
                <w:szCs w:val="5"/>
                <w:color w:val="auto"/>
              </w:rPr>
            </w:pPr>
          </w:p>
        </w:tc>
        <w:tc>
          <w:tcPr>
            <w:tcW w:w="420" w:type="dxa"/>
            <w:vAlign w:val="bottom"/>
            <w:shd w:val="clear" w:color="auto" w:fill="929292"/>
          </w:tcPr>
          <w:p>
            <w:pPr>
              <w:spacing w:after="0"/>
              <w:rPr>
                <w:sz w:val="5"/>
                <w:szCs w:val="5"/>
                <w:color w:val="auto"/>
              </w:rPr>
            </w:pPr>
          </w:p>
        </w:tc>
        <w:tc>
          <w:tcPr>
            <w:tcW w:w="380" w:type="dxa"/>
            <w:vAlign w:val="bottom"/>
            <w:shd w:val="clear" w:color="auto" w:fill="929292"/>
          </w:tcPr>
          <w:p>
            <w:pPr>
              <w:spacing w:after="0"/>
              <w:rPr>
                <w:sz w:val="5"/>
                <w:szCs w:val="5"/>
                <w:color w:val="auto"/>
              </w:rPr>
            </w:pPr>
          </w:p>
        </w:tc>
        <w:tc>
          <w:tcPr>
            <w:tcW w:w="1000" w:type="dxa"/>
            <w:vAlign w:val="bottom"/>
            <w:shd w:val="clear" w:color="auto" w:fill="929292"/>
          </w:tcPr>
          <w:p>
            <w:pPr>
              <w:spacing w:after="0"/>
              <w:rPr>
                <w:sz w:val="5"/>
                <w:szCs w:val="5"/>
                <w:color w:val="auto"/>
              </w:rPr>
            </w:pPr>
          </w:p>
        </w:tc>
        <w:tc>
          <w:tcPr>
            <w:tcW w:w="7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5"/>
              </w:rPr>
              <w:t>Shares of</w:t>
            </w:r>
          </w:p>
        </w:tc>
        <w:tc>
          <w:tcPr>
            <w:tcW w:w="100" w:type="dxa"/>
            <w:vAlign w:val="bottom"/>
            <w:shd w:val="clear" w:color="auto" w:fill="929292"/>
          </w:tcPr>
          <w:p>
            <w:pPr>
              <w:spacing w:after="0"/>
              <w:rPr>
                <w:sz w:val="5"/>
                <w:szCs w:val="5"/>
                <w:color w:val="auto"/>
              </w:rPr>
            </w:pPr>
          </w:p>
        </w:tc>
        <w:tc>
          <w:tcPr>
            <w:tcW w:w="700" w:type="dxa"/>
            <w:vAlign w:val="bottom"/>
            <w:vMerge w:val="restart"/>
            <w:shd w:val="clear" w:color="auto" w:fill="929292"/>
          </w:tcPr>
          <w:p>
            <w:pPr>
              <w:jc w:val="center"/>
              <w:ind w:right="5"/>
              <w:spacing w:after="0" w:line="108" w:lineRule="exact"/>
              <w:rPr>
                <w:sz w:val="20"/>
                <w:szCs w:val="20"/>
                <w:color w:val="auto"/>
              </w:rPr>
            </w:pPr>
            <w:r>
              <w:rPr>
                <w:rFonts w:ascii="Arial" w:cs="Arial" w:eastAsia="Arial" w:hAnsi="Arial"/>
                <w:sz w:val="11"/>
                <w:szCs w:val="11"/>
                <w:b w:val="1"/>
                <w:bCs w:val="1"/>
                <w:color w:val="FFFFFF"/>
              </w:rPr>
              <w:t>of Shares of</w:t>
            </w:r>
          </w:p>
        </w:tc>
        <w:tc>
          <w:tcPr>
            <w:tcW w:w="8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Shares, Units or</w:t>
            </w:r>
          </w:p>
        </w:tc>
        <w:tc>
          <w:tcPr>
            <w:tcW w:w="960" w:type="dxa"/>
            <w:vAlign w:val="bottom"/>
            <w:tcBorders>
              <w:right w:val="single" w:sz="8" w:color="auto"/>
            </w:tcBorders>
            <w:gridSpan w:val="2"/>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7"/>
              </w:rPr>
              <w:t>Shares, Units or</w:t>
            </w:r>
          </w:p>
        </w:tc>
        <w:tc>
          <w:tcPr>
            <w:tcW w:w="0" w:type="dxa"/>
            <w:vAlign w:val="bottom"/>
          </w:tcPr>
          <w:p>
            <w:pPr>
              <w:spacing w:after="0"/>
              <w:rPr>
                <w:sz w:val="1"/>
                <w:szCs w:val="1"/>
                <w:color w:val="auto"/>
              </w:rPr>
            </w:pPr>
          </w:p>
        </w:tc>
      </w:tr>
      <w:tr>
        <w:trPr>
          <w:trHeight w:val="40"/>
        </w:trPr>
        <w:tc>
          <w:tcPr>
            <w:tcW w:w="760" w:type="dxa"/>
            <w:vAlign w:val="bottom"/>
            <w:tcBorders>
              <w:left w:val="single" w:sz="8" w:color="auto"/>
            </w:tcBorders>
            <w:shd w:val="clear" w:color="auto" w:fill="929292"/>
          </w:tcPr>
          <w:p>
            <w:pPr>
              <w:spacing w:after="0"/>
              <w:rPr>
                <w:sz w:val="3"/>
                <w:szCs w:val="3"/>
                <w:color w:val="auto"/>
              </w:rPr>
            </w:pPr>
          </w:p>
        </w:tc>
        <w:tc>
          <w:tcPr>
            <w:tcW w:w="780" w:type="dxa"/>
            <w:vAlign w:val="bottom"/>
            <w:shd w:val="clear" w:color="auto" w:fill="929292"/>
          </w:tcPr>
          <w:p>
            <w:pPr>
              <w:spacing w:after="0"/>
              <w:rPr>
                <w:sz w:val="3"/>
                <w:szCs w:val="3"/>
                <w:color w:val="auto"/>
              </w:rPr>
            </w:pPr>
          </w:p>
        </w:tc>
        <w:tc>
          <w:tcPr>
            <w:tcW w:w="1380" w:type="dxa"/>
            <w:vAlign w:val="bottom"/>
            <w:shd w:val="clear" w:color="auto" w:fill="929292"/>
          </w:tcPr>
          <w:p>
            <w:pPr>
              <w:spacing w:after="0"/>
              <w:rPr>
                <w:sz w:val="3"/>
                <w:szCs w:val="3"/>
                <w:color w:val="auto"/>
              </w:rPr>
            </w:pPr>
          </w:p>
        </w:tc>
        <w:tc>
          <w:tcPr>
            <w:tcW w:w="920" w:type="dxa"/>
            <w:vAlign w:val="bottom"/>
            <w:vMerge w:val="continue"/>
            <w:shd w:val="clear" w:color="auto" w:fill="929292"/>
          </w:tcPr>
          <w:p>
            <w:pPr>
              <w:spacing w:after="0"/>
              <w:rPr>
                <w:sz w:val="3"/>
                <w:szCs w:val="3"/>
                <w:color w:val="auto"/>
              </w:rPr>
            </w:pPr>
          </w:p>
        </w:tc>
        <w:tc>
          <w:tcPr>
            <w:tcW w:w="1000" w:type="dxa"/>
            <w:vAlign w:val="bottom"/>
            <w:vMerge w:val="continue"/>
            <w:shd w:val="clear" w:color="auto" w:fill="929292"/>
          </w:tcPr>
          <w:p>
            <w:pPr>
              <w:spacing w:after="0"/>
              <w:rPr>
                <w:sz w:val="3"/>
                <w:szCs w:val="3"/>
                <w:color w:val="auto"/>
              </w:rPr>
            </w:pPr>
          </w:p>
        </w:tc>
        <w:tc>
          <w:tcPr>
            <w:tcW w:w="1200" w:type="dxa"/>
            <w:vAlign w:val="bottom"/>
            <w:vMerge w:val="restart"/>
            <w:shd w:val="clear" w:color="auto" w:fill="929292"/>
          </w:tcPr>
          <w:p>
            <w:pPr>
              <w:jc w:val="right"/>
              <w:spacing w:after="0" w:line="108" w:lineRule="exact"/>
              <w:rPr>
                <w:sz w:val="20"/>
                <w:szCs w:val="20"/>
                <w:color w:val="auto"/>
              </w:rPr>
            </w:pPr>
            <w:r>
              <w:rPr>
                <w:rFonts w:ascii="Arial" w:cs="Arial" w:eastAsia="Arial" w:hAnsi="Arial"/>
                <w:sz w:val="11"/>
                <w:szCs w:val="11"/>
                <w:b w:val="1"/>
                <w:bCs w:val="1"/>
                <w:color w:val="FFFFFF"/>
              </w:rPr>
              <w:t>Number of Securities</w:t>
            </w:r>
          </w:p>
        </w:tc>
        <w:tc>
          <w:tcPr>
            <w:tcW w:w="420" w:type="dxa"/>
            <w:vAlign w:val="bottom"/>
            <w:shd w:val="clear" w:color="auto" w:fill="929292"/>
          </w:tcPr>
          <w:p>
            <w:pPr>
              <w:spacing w:after="0"/>
              <w:rPr>
                <w:sz w:val="3"/>
                <w:szCs w:val="3"/>
                <w:color w:val="auto"/>
              </w:rPr>
            </w:pPr>
          </w:p>
        </w:tc>
        <w:tc>
          <w:tcPr>
            <w:tcW w:w="380" w:type="dxa"/>
            <w:vAlign w:val="bottom"/>
            <w:shd w:val="clear" w:color="auto" w:fill="929292"/>
          </w:tcPr>
          <w:p>
            <w:pPr>
              <w:spacing w:after="0"/>
              <w:rPr>
                <w:sz w:val="3"/>
                <w:szCs w:val="3"/>
                <w:color w:val="auto"/>
              </w:rPr>
            </w:pPr>
          </w:p>
        </w:tc>
        <w:tc>
          <w:tcPr>
            <w:tcW w:w="1000" w:type="dxa"/>
            <w:vAlign w:val="bottom"/>
            <w:shd w:val="clear" w:color="auto" w:fill="929292"/>
          </w:tcPr>
          <w:p>
            <w:pPr>
              <w:spacing w:after="0"/>
              <w:rPr>
                <w:sz w:val="3"/>
                <w:szCs w:val="3"/>
                <w:color w:val="auto"/>
              </w:rPr>
            </w:pPr>
          </w:p>
        </w:tc>
        <w:tc>
          <w:tcPr>
            <w:tcW w:w="780" w:type="dxa"/>
            <w:vAlign w:val="bottom"/>
            <w:vMerge w:val="continue"/>
            <w:shd w:val="clear" w:color="auto" w:fill="929292"/>
          </w:tcPr>
          <w:p>
            <w:pPr>
              <w:spacing w:after="0"/>
              <w:rPr>
                <w:sz w:val="3"/>
                <w:szCs w:val="3"/>
                <w:color w:val="auto"/>
              </w:rPr>
            </w:pPr>
          </w:p>
        </w:tc>
        <w:tc>
          <w:tcPr>
            <w:tcW w:w="100" w:type="dxa"/>
            <w:vAlign w:val="bottom"/>
            <w:shd w:val="clear" w:color="auto" w:fill="929292"/>
          </w:tcPr>
          <w:p>
            <w:pPr>
              <w:spacing w:after="0"/>
              <w:rPr>
                <w:sz w:val="3"/>
                <w:szCs w:val="3"/>
                <w:color w:val="auto"/>
              </w:rPr>
            </w:pPr>
          </w:p>
        </w:tc>
        <w:tc>
          <w:tcPr>
            <w:tcW w:w="700" w:type="dxa"/>
            <w:vAlign w:val="bottom"/>
            <w:vMerge w:val="continue"/>
            <w:shd w:val="clear" w:color="auto" w:fill="929292"/>
          </w:tcPr>
          <w:p>
            <w:pPr>
              <w:spacing w:after="0"/>
              <w:rPr>
                <w:sz w:val="3"/>
                <w:szCs w:val="3"/>
                <w:color w:val="auto"/>
              </w:rPr>
            </w:pPr>
          </w:p>
        </w:tc>
        <w:tc>
          <w:tcPr>
            <w:tcW w:w="880" w:type="dxa"/>
            <w:vAlign w:val="bottom"/>
            <w:vMerge w:val="continue"/>
            <w:shd w:val="clear" w:color="auto" w:fill="929292"/>
          </w:tcPr>
          <w:p>
            <w:pPr>
              <w:spacing w:after="0"/>
              <w:rPr>
                <w:sz w:val="3"/>
                <w:szCs w:val="3"/>
                <w:color w:val="auto"/>
              </w:rPr>
            </w:pPr>
          </w:p>
        </w:tc>
        <w:tc>
          <w:tcPr>
            <w:tcW w:w="960" w:type="dxa"/>
            <w:vAlign w:val="bottom"/>
            <w:tcBorders>
              <w:right w:val="single" w:sz="8" w:color="auto"/>
            </w:tcBorders>
            <w:gridSpan w:val="2"/>
            <w:vMerge w:val="continue"/>
            <w:shd w:val="clear" w:color="auto" w:fill="929292"/>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60" w:type="dxa"/>
            <w:vAlign w:val="bottom"/>
            <w:tcBorders>
              <w:left w:val="single" w:sz="8" w:color="auto"/>
            </w:tcBorders>
            <w:shd w:val="clear" w:color="auto" w:fill="929292"/>
          </w:tcPr>
          <w:p>
            <w:pPr>
              <w:spacing w:after="0"/>
              <w:rPr>
                <w:sz w:val="5"/>
                <w:szCs w:val="5"/>
                <w:color w:val="auto"/>
              </w:rPr>
            </w:pPr>
          </w:p>
        </w:tc>
        <w:tc>
          <w:tcPr>
            <w:tcW w:w="780" w:type="dxa"/>
            <w:vAlign w:val="bottom"/>
            <w:shd w:val="clear" w:color="auto" w:fill="929292"/>
          </w:tcPr>
          <w:p>
            <w:pPr>
              <w:spacing w:after="0"/>
              <w:rPr>
                <w:sz w:val="5"/>
                <w:szCs w:val="5"/>
                <w:color w:val="auto"/>
              </w:rPr>
            </w:pPr>
          </w:p>
        </w:tc>
        <w:tc>
          <w:tcPr>
            <w:tcW w:w="1380" w:type="dxa"/>
            <w:vAlign w:val="bottom"/>
            <w:shd w:val="clear" w:color="auto" w:fill="929292"/>
          </w:tcPr>
          <w:p>
            <w:pPr>
              <w:spacing w:after="0"/>
              <w:rPr>
                <w:sz w:val="5"/>
                <w:szCs w:val="5"/>
                <w:color w:val="auto"/>
              </w:rPr>
            </w:pPr>
          </w:p>
        </w:tc>
        <w:tc>
          <w:tcPr>
            <w:tcW w:w="920" w:type="dxa"/>
            <w:vAlign w:val="bottom"/>
            <w:vMerge w:val="restart"/>
            <w:shd w:val="clear" w:color="auto" w:fill="929292"/>
          </w:tcPr>
          <w:p>
            <w:pPr>
              <w:jc w:val="center"/>
              <w:ind w:right="26"/>
              <w:spacing w:after="0" w:line="108" w:lineRule="exact"/>
              <w:rPr>
                <w:sz w:val="20"/>
                <w:szCs w:val="20"/>
                <w:color w:val="auto"/>
              </w:rPr>
            </w:pPr>
            <w:r>
              <w:rPr>
                <w:rFonts w:ascii="Arial" w:cs="Arial" w:eastAsia="Arial" w:hAnsi="Arial"/>
                <w:sz w:val="11"/>
                <w:szCs w:val="11"/>
                <w:b w:val="1"/>
                <w:bCs w:val="1"/>
                <w:color w:val="FFFFFF"/>
                <w:w w:val="97"/>
              </w:rPr>
              <w:t>Unexercised</w:t>
            </w:r>
          </w:p>
        </w:tc>
        <w:tc>
          <w:tcPr>
            <w:tcW w:w="100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rPr>
              <w:t>Underlying</w:t>
            </w:r>
          </w:p>
        </w:tc>
        <w:tc>
          <w:tcPr>
            <w:tcW w:w="1200" w:type="dxa"/>
            <w:vAlign w:val="bottom"/>
            <w:vMerge w:val="continue"/>
            <w:shd w:val="clear" w:color="auto" w:fill="929292"/>
          </w:tcPr>
          <w:p>
            <w:pPr>
              <w:spacing w:after="0"/>
              <w:rPr>
                <w:sz w:val="5"/>
                <w:szCs w:val="5"/>
                <w:color w:val="auto"/>
              </w:rPr>
            </w:pPr>
          </w:p>
        </w:tc>
        <w:tc>
          <w:tcPr>
            <w:tcW w:w="420" w:type="dxa"/>
            <w:vAlign w:val="bottom"/>
            <w:shd w:val="clear" w:color="auto" w:fill="929292"/>
          </w:tcPr>
          <w:p>
            <w:pPr>
              <w:spacing w:after="0"/>
              <w:rPr>
                <w:sz w:val="5"/>
                <w:szCs w:val="5"/>
                <w:color w:val="auto"/>
              </w:rPr>
            </w:pPr>
          </w:p>
        </w:tc>
        <w:tc>
          <w:tcPr>
            <w:tcW w:w="380" w:type="dxa"/>
            <w:vAlign w:val="bottom"/>
            <w:shd w:val="clear" w:color="auto" w:fill="929292"/>
          </w:tcPr>
          <w:p>
            <w:pPr>
              <w:spacing w:after="0"/>
              <w:rPr>
                <w:sz w:val="5"/>
                <w:szCs w:val="5"/>
                <w:color w:val="auto"/>
              </w:rPr>
            </w:pPr>
          </w:p>
        </w:tc>
        <w:tc>
          <w:tcPr>
            <w:tcW w:w="1000" w:type="dxa"/>
            <w:vAlign w:val="bottom"/>
            <w:shd w:val="clear" w:color="auto" w:fill="929292"/>
          </w:tcPr>
          <w:p>
            <w:pPr>
              <w:spacing w:after="0"/>
              <w:rPr>
                <w:sz w:val="5"/>
                <w:szCs w:val="5"/>
                <w:color w:val="auto"/>
              </w:rPr>
            </w:pPr>
          </w:p>
        </w:tc>
        <w:tc>
          <w:tcPr>
            <w:tcW w:w="7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Stock That</w:t>
            </w:r>
          </w:p>
        </w:tc>
        <w:tc>
          <w:tcPr>
            <w:tcW w:w="100" w:type="dxa"/>
            <w:vAlign w:val="bottom"/>
            <w:shd w:val="clear" w:color="auto" w:fill="929292"/>
          </w:tcPr>
          <w:p>
            <w:pPr>
              <w:spacing w:after="0"/>
              <w:rPr>
                <w:sz w:val="5"/>
                <w:szCs w:val="5"/>
                <w:color w:val="auto"/>
              </w:rPr>
            </w:pPr>
          </w:p>
        </w:tc>
        <w:tc>
          <w:tcPr>
            <w:tcW w:w="700" w:type="dxa"/>
            <w:vAlign w:val="bottom"/>
            <w:vMerge w:val="restart"/>
            <w:shd w:val="clear" w:color="auto" w:fill="929292"/>
          </w:tcPr>
          <w:p>
            <w:pPr>
              <w:jc w:val="center"/>
              <w:ind w:right="5"/>
              <w:spacing w:after="0" w:line="108" w:lineRule="exact"/>
              <w:rPr>
                <w:sz w:val="20"/>
                <w:szCs w:val="20"/>
                <w:color w:val="auto"/>
              </w:rPr>
            </w:pPr>
            <w:r>
              <w:rPr>
                <w:rFonts w:ascii="Arial" w:cs="Arial" w:eastAsia="Arial" w:hAnsi="Arial"/>
                <w:sz w:val="11"/>
                <w:szCs w:val="11"/>
                <w:b w:val="1"/>
                <w:bCs w:val="1"/>
                <w:color w:val="FFFFFF"/>
                <w:w w:val="99"/>
              </w:rPr>
              <w:t>Stock That</w:t>
            </w:r>
          </w:p>
        </w:tc>
        <w:tc>
          <w:tcPr>
            <w:tcW w:w="8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Other Rights</w:t>
            </w:r>
          </w:p>
        </w:tc>
        <w:tc>
          <w:tcPr>
            <w:tcW w:w="100" w:type="dxa"/>
            <w:vAlign w:val="bottom"/>
            <w:shd w:val="clear" w:color="auto" w:fill="929292"/>
          </w:tcPr>
          <w:p>
            <w:pPr>
              <w:spacing w:after="0"/>
              <w:rPr>
                <w:sz w:val="5"/>
                <w:szCs w:val="5"/>
                <w:color w:val="auto"/>
              </w:rPr>
            </w:pPr>
          </w:p>
        </w:tc>
        <w:tc>
          <w:tcPr>
            <w:tcW w:w="860" w:type="dxa"/>
            <w:vAlign w:val="bottom"/>
            <w:tcBorders>
              <w:right w:val="single" w:sz="8" w:color="auto"/>
            </w:tcBorders>
            <w:vMerge w:val="restart"/>
            <w:shd w:val="clear" w:color="auto" w:fill="929292"/>
          </w:tcPr>
          <w:p>
            <w:pPr>
              <w:jc w:val="center"/>
              <w:ind w:right="66"/>
              <w:spacing w:after="0" w:line="108" w:lineRule="exact"/>
              <w:rPr>
                <w:sz w:val="20"/>
                <w:szCs w:val="20"/>
                <w:color w:val="auto"/>
              </w:rPr>
            </w:pPr>
            <w:r>
              <w:rPr>
                <w:rFonts w:ascii="Arial" w:cs="Arial" w:eastAsia="Arial" w:hAnsi="Arial"/>
                <w:sz w:val="11"/>
                <w:szCs w:val="11"/>
                <w:b w:val="1"/>
                <w:bCs w:val="1"/>
                <w:color w:val="FFFFFF"/>
                <w:w w:val="98"/>
              </w:rPr>
              <w:t>Other Rights</w:t>
            </w:r>
          </w:p>
        </w:tc>
        <w:tc>
          <w:tcPr>
            <w:tcW w:w="0" w:type="dxa"/>
            <w:vAlign w:val="bottom"/>
          </w:tcPr>
          <w:p>
            <w:pPr>
              <w:spacing w:after="0"/>
              <w:rPr>
                <w:sz w:val="1"/>
                <w:szCs w:val="1"/>
                <w:color w:val="auto"/>
              </w:rPr>
            </w:pPr>
          </w:p>
        </w:tc>
      </w:tr>
      <w:tr>
        <w:trPr>
          <w:trHeight w:val="41"/>
        </w:trPr>
        <w:tc>
          <w:tcPr>
            <w:tcW w:w="760" w:type="dxa"/>
            <w:vAlign w:val="bottom"/>
            <w:tcBorders>
              <w:left w:val="single" w:sz="8" w:color="auto"/>
            </w:tcBorders>
            <w:shd w:val="clear" w:color="auto" w:fill="929292"/>
          </w:tcPr>
          <w:p>
            <w:pPr>
              <w:spacing w:after="0"/>
              <w:rPr>
                <w:sz w:val="3"/>
                <w:szCs w:val="3"/>
                <w:color w:val="auto"/>
              </w:rPr>
            </w:pPr>
          </w:p>
        </w:tc>
        <w:tc>
          <w:tcPr>
            <w:tcW w:w="780" w:type="dxa"/>
            <w:vAlign w:val="bottom"/>
            <w:shd w:val="clear" w:color="auto" w:fill="929292"/>
          </w:tcPr>
          <w:p>
            <w:pPr>
              <w:spacing w:after="0"/>
              <w:rPr>
                <w:sz w:val="3"/>
                <w:szCs w:val="3"/>
                <w:color w:val="auto"/>
              </w:rPr>
            </w:pPr>
          </w:p>
        </w:tc>
        <w:tc>
          <w:tcPr>
            <w:tcW w:w="1380" w:type="dxa"/>
            <w:vAlign w:val="bottom"/>
            <w:shd w:val="clear" w:color="auto" w:fill="929292"/>
          </w:tcPr>
          <w:p>
            <w:pPr>
              <w:spacing w:after="0"/>
              <w:rPr>
                <w:sz w:val="3"/>
                <w:szCs w:val="3"/>
                <w:color w:val="auto"/>
              </w:rPr>
            </w:pPr>
          </w:p>
        </w:tc>
        <w:tc>
          <w:tcPr>
            <w:tcW w:w="920" w:type="dxa"/>
            <w:vAlign w:val="bottom"/>
            <w:vMerge w:val="continue"/>
            <w:shd w:val="clear" w:color="auto" w:fill="929292"/>
          </w:tcPr>
          <w:p>
            <w:pPr>
              <w:spacing w:after="0"/>
              <w:rPr>
                <w:sz w:val="3"/>
                <w:szCs w:val="3"/>
                <w:color w:val="auto"/>
              </w:rPr>
            </w:pPr>
          </w:p>
        </w:tc>
        <w:tc>
          <w:tcPr>
            <w:tcW w:w="1000" w:type="dxa"/>
            <w:vAlign w:val="bottom"/>
            <w:vMerge w:val="continue"/>
            <w:shd w:val="clear" w:color="auto" w:fill="929292"/>
          </w:tcPr>
          <w:p>
            <w:pPr>
              <w:spacing w:after="0"/>
              <w:rPr>
                <w:sz w:val="3"/>
                <w:szCs w:val="3"/>
                <w:color w:val="auto"/>
              </w:rPr>
            </w:pPr>
          </w:p>
        </w:tc>
        <w:tc>
          <w:tcPr>
            <w:tcW w:w="1200" w:type="dxa"/>
            <w:vAlign w:val="bottom"/>
            <w:vMerge w:val="restart"/>
            <w:shd w:val="clear" w:color="auto" w:fill="929292"/>
          </w:tcPr>
          <w:p>
            <w:pPr>
              <w:jc w:val="center"/>
              <w:spacing w:after="0" w:line="122" w:lineRule="exact"/>
              <w:rPr>
                <w:sz w:val="20"/>
                <w:szCs w:val="20"/>
                <w:color w:val="auto"/>
              </w:rPr>
            </w:pPr>
            <w:r>
              <w:rPr>
                <w:rFonts w:ascii="Arial" w:cs="Arial" w:eastAsia="Arial" w:hAnsi="Arial"/>
                <w:sz w:val="11"/>
                <w:szCs w:val="11"/>
                <w:b w:val="1"/>
                <w:bCs w:val="1"/>
                <w:color w:val="FFFFFF"/>
                <w:w w:val="97"/>
              </w:rPr>
              <w:t>UnderlyingUnexercisd</w:t>
            </w:r>
          </w:p>
        </w:tc>
        <w:tc>
          <w:tcPr>
            <w:tcW w:w="420" w:type="dxa"/>
            <w:vAlign w:val="bottom"/>
            <w:shd w:val="clear" w:color="auto" w:fill="929292"/>
          </w:tcPr>
          <w:p>
            <w:pPr>
              <w:spacing w:after="0"/>
              <w:rPr>
                <w:sz w:val="3"/>
                <w:szCs w:val="3"/>
                <w:color w:val="auto"/>
              </w:rPr>
            </w:pPr>
          </w:p>
        </w:tc>
        <w:tc>
          <w:tcPr>
            <w:tcW w:w="380" w:type="dxa"/>
            <w:vAlign w:val="bottom"/>
            <w:shd w:val="clear" w:color="auto" w:fill="929292"/>
          </w:tcPr>
          <w:p>
            <w:pPr>
              <w:spacing w:after="0"/>
              <w:rPr>
                <w:sz w:val="3"/>
                <w:szCs w:val="3"/>
                <w:color w:val="auto"/>
              </w:rPr>
            </w:pPr>
          </w:p>
        </w:tc>
        <w:tc>
          <w:tcPr>
            <w:tcW w:w="1000" w:type="dxa"/>
            <w:vAlign w:val="bottom"/>
            <w:shd w:val="clear" w:color="auto" w:fill="929292"/>
          </w:tcPr>
          <w:p>
            <w:pPr>
              <w:spacing w:after="0"/>
              <w:rPr>
                <w:sz w:val="3"/>
                <w:szCs w:val="3"/>
                <w:color w:val="auto"/>
              </w:rPr>
            </w:pPr>
          </w:p>
        </w:tc>
        <w:tc>
          <w:tcPr>
            <w:tcW w:w="780" w:type="dxa"/>
            <w:vAlign w:val="bottom"/>
            <w:vMerge w:val="continue"/>
            <w:shd w:val="clear" w:color="auto" w:fill="929292"/>
          </w:tcPr>
          <w:p>
            <w:pPr>
              <w:spacing w:after="0"/>
              <w:rPr>
                <w:sz w:val="3"/>
                <w:szCs w:val="3"/>
                <w:color w:val="auto"/>
              </w:rPr>
            </w:pPr>
          </w:p>
        </w:tc>
        <w:tc>
          <w:tcPr>
            <w:tcW w:w="100" w:type="dxa"/>
            <w:vAlign w:val="bottom"/>
            <w:shd w:val="clear" w:color="auto" w:fill="929292"/>
          </w:tcPr>
          <w:p>
            <w:pPr>
              <w:spacing w:after="0"/>
              <w:rPr>
                <w:sz w:val="3"/>
                <w:szCs w:val="3"/>
                <w:color w:val="auto"/>
              </w:rPr>
            </w:pPr>
          </w:p>
        </w:tc>
        <w:tc>
          <w:tcPr>
            <w:tcW w:w="700" w:type="dxa"/>
            <w:vAlign w:val="bottom"/>
            <w:vMerge w:val="continue"/>
            <w:shd w:val="clear" w:color="auto" w:fill="929292"/>
          </w:tcPr>
          <w:p>
            <w:pPr>
              <w:spacing w:after="0"/>
              <w:rPr>
                <w:sz w:val="3"/>
                <w:szCs w:val="3"/>
                <w:color w:val="auto"/>
              </w:rPr>
            </w:pPr>
          </w:p>
        </w:tc>
        <w:tc>
          <w:tcPr>
            <w:tcW w:w="880" w:type="dxa"/>
            <w:vAlign w:val="bottom"/>
            <w:vMerge w:val="continue"/>
            <w:shd w:val="clear" w:color="auto" w:fill="929292"/>
          </w:tcPr>
          <w:p>
            <w:pPr>
              <w:spacing w:after="0"/>
              <w:rPr>
                <w:sz w:val="3"/>
                <w:szCs w:val="3"/>
                <w:color w:val="auto"/>
              </w:rPr>
            </w:pPr>
          </w:p>
        </w:tc>
        <w:tc>
          <w:tcPr>
            <w:tcW w:w="100" w:type="dxa"/>
            <w:vAlign w:val="bottom"/>
            <w:shd w:val="clear" w:color="auto" w:fill="929292"/>
          </w:tcPr>
          <w:p>
            <w:pPr>
              <w:spacing w:after="0"/>
              <w:rPr>
                <w:sz w:val="3"/>
                <w:szCs w:val="3"/>
                <w:color w:val="auto"/>
              </w:rPr>
            </w:pPr>
          </w:p>
        </w:tc>
        <w:tc>
          <w:tcPr>
            <w:tcW w:w="860" w:type="dxa"/>
            <w:vAlign w:val="bottom"/>
            <w:tcBorders>
              <w:right w:val="single" w:sz="8" w:color="auto"/>
            </w:tcBorders>
            <w:vMerge w:val="continue"/>
            <w:shd w:val="clear" w:color="auto" w:fill="929292"/>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60" w:type="dxa"/>
            <w:vAlign w:val="bottom"/>
            <w:tcBorders>
              <w:left w:val="single" w:sz="8" w:color="auto"/>
            </w:tcBorders>
            <w:shd w:val="clear" w:color="auto" w:fill="929292"/>
          </w:tcPr>
          <w:p>
            <w:pPr>
              <w:spacing w:after="0"/>
              <w:rPr>
                <w:sz w:val="7"/>
                <w:szCs w:val="7"/>
                <w:color w:val="auto"/>
              </w:rPr>
            </w:pPr>
          </w:p>
        </w:tc>
        <w:tc>
          <w:tcPr>
            <w:tcW w:w="780" w:type="dxa"/>
            <w:vAlign w:val="bottom"/>
            <w:shd w:val="clear" w:color="auto" w:fill="929292"/>
          </w:tcPr>
          <w:p>
            <w:pPr>
              <w:spacing w:after="0"/>
              <w:rPr>
                <w:sz w:val="7"/>
                <w:szCs w:val="7"/>
                <w:color w:val="auto"/>
              </w:rPr>
            </w:pPr>
          </w:p>
        </w:tc>
        <w:tc>
          <w:tcPr>
            <w:tcW w:w="1380" w:type="dxa"/>
            <w:vAlign w:val="bottom"/>
            <w:shd w:val="clear" w:color="auto" w:fill="929292"/>
          </w:tcPr>
          <w:p>
            <w:pPr>
              <w:spacing w:after="0"/>
              <w:rPr>
                <w:sz w:val="7"/>
                <w:szCs w:val="7"/>
                <w:color w:val="auto"/>
              </w:rPr>
            </w:pPr>
          </w:p>
        </w:tc>
        <w:tc>
          <w:tcPr>
            <w:tcW w:w="920" w:type="dxa"/>
            <w:vAlign w:val="bottom"/>
            <w:vMerge w:val="restart"/>
            <w:shd w:val="clear" w:color="auto" w:fill="929292"/>
          </w:tcPr>
          <w:p>
            <w:pPr>
              <w:jc w:val="center"/>
              <w:ind w:right="26"/>
              <w:spacing w:after="0" w:line="108" w:lineRule="exact"/>
              <w:rPr>
                <w:sz w:val="20"/>
                <w:szCs w:val="20"/>
                <w:color w:val="auto"/>
              </w:rPr>
            </w:pPr>
            <w:r>
              <w:rPr>
                <w:rFonts w:ascii="Arial" w:cs="Arial" w:eastAsia="Arial" w:hAnsi="Arial"/>
                <w:sz w:val="11"/>
                <w:szCs w:val="11"/>
                <w:b w:val="1"/>
                <w:bCs w:val="1"/>
                <w:color w:val="FFFFFF"/>
                <w:w w:val="96"/>
              </w:rPr>
              <w:t>Options</w:t>
            </w:r>
          </w:p>
        </w:tc>
        <w:tc>
          <w:tcPr>
            <w:tcW w:w="100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7"/>
              </w:rPr>
              <w:t>Unexercised</w:t>
            </w:r>
          </w:p>
        </w:tc>
        <w:tc>
          <w:tcPr>
            <w:tcW w:w="1200" w:type="dxa"/>
            <w:vAlign w:val="bottom"/>
            <w:vMerge w:val="continue"/>
            <w:shd w:val="clear" w:color="auto" w:fill="929292"/>
          </w:tcPr>
          <w:p>
            <w:pPr>
              <w:spacing w:after="0"/>
              <w:rPr>
                <w:sz w:val="7"/>
                <w:szCs w:val="7"/>
                <w:color w:val="auto"/>
              </w:rPr>
            </w:pPr>
          </w:p>
        </w:tc>
        <w:tc>
          <w:tcPr>
            <w:tcW w:w="800" w:type="dxa"/>
            <w:vAlign w:val="bottom"/>
            <w:gridSpan w:val="2"/>
            <w:vMerge w:val="restart"/>
            <w:shd w:val="clear" w:color="auto" w:fill="929292"/>
          </w:tcPr>
          <w:p>
            <w:pPr>
              <w:ind w:left="220"/>
              <w:spacing w:after="0" w:line="108" w:lineRule="exact"/>
              <w:rPr>
                <w:sz w:val="20"/>
                <w:szCs w:val="20"/>
                <w:color w:val="auto"/>
              </w:rPr>
            </w:pPr>
            <w:r>
              <w:rPr>
                <w:rFonts w:ascii="Arial" w:cs="Arial" w:eastAsia="Arial" w:hAnsi="Arial"/>
                <w:sz w:val="11"/>
                <w:szCs w:val="11"/>
                <w:b w:val="1"/>
                <w:bCs w:val="1"/>
                <w:color w:val="FFFFFF"/>
              </w:rPr>
              <w:t>Option</w:t>
            </w:r>
          </w:p>
        </w:tc>
        <w:tc>
          <w:tcPr>
            <w:tcW w:w="1000" w:type="dxa"/>
            <w:vAlign w:val="bottom"/>
            <w:shd w:val="clear" w:color="auto" w:fill="929292"/>
          </w:tcPr>
          <w:p>
            <w:pPr>
              <w:spacing w:after="0"/>
              <w:rPr>
                <w:sz w:val="7"/>
                <w:szCs w:val="7"/>
                <w:color w:val="auto"/>
              </w:rPr>
            </w:pPr>
          </w:p>
        </w:tc>
        <w:tc>
          <w:tcPr>
            <w:tcW w:w="7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rPr>
              <w:t>Have Not</w:t>
            </w:r>
          </w:p>
        </w:tc>
        <w:tc>
          <w:tcPr>
            <w:tcW w:w="100" w:type="dxa"/>
            <w:vAlign w:val="bottom"/>
            <w:shd w:val="clear" w:color="auto" w:fill="929292"/>
          </w:tcPr>
          <w:p>
            <w:pPr>
              <w:spacing w:after="0"/>
              <w:rPr>
                <w:sz w:val="7"/>
                <w:szCs w:val="7"/>
                <w:color w:val="auto"/>
              </w:rPr>
            </w:pPr>
          </w:p>
        </w:tc>
        <w:tc>
          <w:tcPr>
            <w:tcW w:w="700" w:type="dxa"/>
            <w:vAlign w:val="bottom"/>
            <w:vMerge w:val="restart"/>
            <w:shd w:val="clear" w:color="auto" w:fill="929292"/>
          </w:tcPr>
          <w:p>
            <w:pPr>
              <w:jc w:val="center"/>
              <w:ind w:right="5"/>
              <w:spacing w:after="0" w:line="108" w:lineRule="exact"/>
              <w:rPr>
                <w:sz w:val="20"/>
                <w:szCs w:val="20"/>
                <w:color w:val="auto"/>
              </w:rPr>
            </w:pPr>
            <w:r>
              <w:rPr>
                <w:rFonts w:ascii="Arial" w:cs="Arial" w:eastAsia="Arial" w:hAnsi="Arial"/>
                <w:sz w:val="11"/>
                <w:szCs w:val="11"/>
                <w:b w:val="1"/>
                <w:bCs w:val="1"/>
                <w:color w:val="FFFFFF"/>
              </w:rPr>
              <w:t>Have Not</w:t>
            </w:r>
          </w:p>
        </w:tc>
        <w:tc>
          <w:tcPr>
            <w:tcW w:w="880" w:type="dxa"/>
            <w:vAlign w:val="bottom"/>
            <w:vMerge w:val="restart"/>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8"/>
              </w:rPr>
              <w:t>that Have Not</w:t>
            </w:r>
          </w:p>
        </w:tc>
        <w:tc>
          <w:tcPr>
            <w:tcW w:w="100" w:type="dxa"/>
            <w:vAlign w:val="bottom"/>
            <w:shd w:val="clear" w:color="auto" w:fill="929292"/>
          </w:tcPr>
          <w:p>
            <w:pPr>
              <w:spacing w:after="0"/>
              <w:rPr>
                <w:sz w:val="7"/>
                <w:szCs w:val="7"/>
                <w:color w:val="auto"/>
              </w:rPr>
            </w:pPr>
          </w:p>
        </w:tc>
        <w:tc>
          <w:tcPr>
            <w:tcW w:w="860" w:type="dxa"/>
            <w:vAlign w:val="bottom"/>
            <w:tcBorders>
              <w:right w:val="single" w:sz="8" w:color="auto"/>
            </w:tcBorders>
            <w:vMerge w:val="restart"/>
            <w:shd w:val="clear" w:color="auto" w:fill="929292"/>
          </w:tcPr>
          <w:p>
            <w:pPr>
              <w:jc w:val="center"/>
              <w:ind w:right="46"/>
              <w:spacing w:after="0" w:line="108" w:lineRule="exact"/>
              <w:rPr>
                <w:sz w:val="20"/>
                <w:szCs w:val="20"/>
                <w:color w:val="auto"/>
              </w:rPr>
            </w:pPr>
            <w:r>
              <w:rPr>
                <w:rFonts w:ascii="Arial" w:cs="Arial" w:eastAsia="Arial" w:hAnsi="Arial"/>
                <w:sz w:val="11"/>
                <w:szCs w:val="11"/>
                <w:b w:val="1"/>
                <w:bCs w:val="1"/>
                <w:color w:val="FFFFFF"/>
                <w:w w:val="97"/>
              </w:rPr>
              <w:t>That Have Not</w:t>
            </w:r>
          </w:p>
        </w:tc>
        <w:tc>
          <w:tcPr>
            <w:tcW w:w="0" w:type="dxa"/>
            <w:vAlign w:val="bottom"/>
          </w:tcPr>
          <w:p>
            <w:pPr>
              <w:spacing w:after="0"/>
              <w:rPr>
                <w:sz w:val="1"/>
                <w:szCs w:val="1"/>
                <w:color w:val="auto"/>
              </w:rPr>
            </w:pPr>
          </w:p>
        </w:tc>
      </w:tr>
      <w:tr>
        <w:trPr>
          <w:trHeight w:val="27"/>
        </w:trPr>
        <w:tc>
          <w:tcPr>
            <w:tcW w:w="760" w:type="dxa"/>
            <w:vAlign w:val="bottom"/>
            <w:tcBorders>
              <w:left w:val="single" w:sz="8" w:color="auto"/>
            </w:tcBorders>
            <w:shd w:val="clear" w:color="auto" w:fill="929292"/>
          </w:tcPr>
          <w:p>
            <w:pPr>
              <w:spacing w:after="0"/>
              <w:rPr>
                <w:sz w:val="2"/>
                <w:szCs w:val="2"/>
                <w:color w:val="auto"/>
              </w:rPr>
            </w:pPr>
          </w:p>
        </w:tc>
        <w:tc>
          <w:tcPr>
            <w:tcW w:w="780" w:type="dxa"/>
            <w:vAlign w:val="bottom"/>
            <w:shd w:val="clear" w:color="auto" w:fill="929292"/>
          </w:tcPr>
          <w:p>
            <w:pPr>
              <w:spacing w:after="0"/>
              <w:rPr>
                <w:sz w:val="2"/>
                <w:szCs w:val="2"/>
                <w:color w:val="auto"/>
              </w:rPr>
            </w:pPr>
          </w:p>
        </w:tc>
        <w:tc>
          <w:tcPr>
            <w:tcW w:w="1380" w:type="dxa"/>
            <w:vAlign w:val="bottom"/>
            <w:vMerge w:val="restart"/>
            <w:shd w:val="clear" w:color="auto" w:fill="929292"/>
          </w:tcPr>
          <w:p>
            <w:pPr>
              <w:jc w:val="right"/>
              <w:ind w:right="47"/>
              <w:spacing w:after="0"/>
              <w:rPr>
                <w:sz w:val="20"/>
                <w:szCs w:val="20"/>
                <w:color w:val="auto"/>
              </w:rPr>
            </w:pPr>
            <w:r>
              <w:rPr>
                <w:rFonts w:ascii="Arial" w:cs="Arial" w:eastAsia="Arial" w:hAnsi="Arial"/>
                <w:sz w:val="11"/>
                <w:szCs w:val="11"/>
                <w:b w:val="1"/>
                <w:bCs w:val="1"/>
                <w:color w:val="FFFFFF"/>
                <w:w w:val="98"/>
              </w:rPr>
              <w:t>Vesting Commencement</w:t>
            </w:r>
          </w:p>
        </w:tc>
        <w:tc>
          <w:tcPr>
            <w:tcW w:w="920" w:type="dxa"/>
            <w:vAlign w:val="bottom"/>
            <w:vMerge w:val="continue"/>
            <w:shd w:val="clear" w:color="auto" w:fill="929292"/>
          </w:tcPr>
          <w:p>
            <w:pPr>
              <w:spacing w:after="0"/>
              <w:rPr>
                <w:sz w:val="2"/>
                <w:szCs w:val="2"/>
                <w:color w:val="auto"/>
              </w:rPr>
            </w:pPr>
          </w:p>
        </w:tc>
        <w:tc>
          <w:tcPr>
            <w:tcW w:w="1000" w:type="dxa"/>
            <w:vAlign w:val="bottom"/>
            <w:vMerge w:val="continue"/>
            <w:shd w:val="clear" w:color="auto" w:fill="929292"/>
          </w:tcPr>
          <w:p>
            <w:pPr>
              <w:spacing w:after="0"/>
              <w:rPr>
                <w:sz w:val="2"/>
                <w:szCs w:val="2"/>
                <w:color w:val="auto"/>
              </w:rPr>
            </w:pPr>
          </w:p>
        </w:tc>
        <w:tc>
          <w:tcPr>
            <w:tcW w:w="1200" w:type="dxa"/>
            <w:vAlign w:val="bottom"/>
            <w:vMerge w:val="restart"/>
            <w:shd w:val="clear" w:color="auto" w:fill="929292"/>
          </w:tcPr>
          <w:p>
            <w:pPr>
              <w:jc w:val="center"/>
              <w:spacing w:after="0"/>
              <w:rPr>
                <w:sz w:val="20"/>
                <w:szCs w:val="20"/>
                <w:color w:val="auto"/>
              </w:rPr>
            </w:pPr>
            <w:r>
              <w:rPr>
                <w:rFonts w:ascii="Arial" w:cs="Arial" w:eastAsia="Arial" w:hAnsi="Arial"/>
                <w:sz w:val="11"/>
                <w:szCs w:val="11"/>
                <w:b w:val="1"/>
                <w:bCs w:val="1"/>
                <w:color w:val="FFFFFF"/>
                <w:w w:val="98"/>
              </w:rPr>
              <w:t>Unearned Options</w:t>
            </w:r>
          </w:p>
        </w:tc>
        <w:tc>
          <w:tcPr>
            <w:tcW w:w="800" w:type="dxa"/>
            <w:vAlign w:val="bottom"/>
            <w:gridSpan w:val="2"/>
            <w:vMerge w:val="continue"/>
            <w:shd w:val="clear" w:color="auto" w:fill="929292"/>
          </w:tcPr>
          <w:p>
            <w:pPr>
              <w:spacing w:after="0"/>
              <w:rPr>
                <w:sz w:val="2"/>
                <w:szCs w:val="2"/>
                <w:color w:val="auto"/>
              </w:rPr>
            </w:pPr>
          </w:p>
        </w:tc>
        <w:tc>
          <w:tcPr>
            <w:tcW w:w="1000" w:type="dxa"/>
            <w:vAlign w:val="bottom"/>
            <w:vMerge w:val="restart"/>
            <w:shd w:val="clear" w:color="auto" w:fill="929292"/>
          </w:tcPr>
          <w:p>
            <w:pPr>
              <w:jc w:val="right"/>
              <w:ind w:right="326"/>
              <w:spacing w:after="0"/>
              <w:rPr>
                <w:sz w:val="20"/>
                <w:szCs w:val="20"/>
                <w:color w:val="auto"/>
              </w:rPr>
            </w:pPr>
            <w:r>
              <w:rPr>
                <w:rFonts w:ascii="Arial" w:cs="Arial" w:eastAsia="Arial" w:hAnsi="Arial"/>
                <w:sz w:val="11"/>
                <w:szCs w:val="11"/>
                <w:b w:val="1"/>
                <w:bCs w:val="1"/>
                <w:color w:val="FFFFFF"/>
              </w:rPr>
              <w:t>Option</w:t>
            </w:r>
          </w:p>
        </w:tc>
        <w:tc>
          <w:tcPr>
            <w:tcW w:w="780" w:type="dxa"/>
            <w:vAlign w:val="bottom"/>
            <w:vMerge w:val="continue"/>
            <w:shd w:val="clear" w:color="auto" w:fill="929292"/>
          </w:tcPr>
          <w:p>
            <w:pPr>
              <w:spacing w:after="0"/>
              <w:rPr>
                <w:sz w:val="2"/>
                <w:szCs w:val="2"/>
                <w:color w:val="auto"/>
              </w:rPr>
            </w:pPr>
          </w:p>
        </w:tc>
        <w:tc>
          <w:tcPr>
            <w:tcW w:w="100" w:type="dxa"/>
            <w:vAlign w:val="bottom"/>
            <w:shd w:val="clear" w:color="auto" w:fill="929292"/>
          </w:tcPr>
          <w:p>
            <w:pPr>
              <w:spacing w:after="0"/>
              <w:rPr>
                <w:sz w:val="2"/>
                <w:szCs w:val="2"/>
                <w:color w:val="auto"/>
              </w:rPr>
            </w:pPr>
          </w:p>
        </w:tc>
        <w:tc>
          <w:tcPr>
            <w:tcW w:w="700" w:type="dxa"/>
            <w:vAlign w:val="bottom"/>
            <w:vMerge w:val="continue"/>
            <w:shd w:val="clear" w:color="auto" w:fill="929292"/>
          </w:tcPr>
          <w:p>
            <w:pPr>
              <w:spacing w:after="0"/>
              <w:rPr>
                <w:sz w:val="2"/>
                <w:szCs w:val="2"/>
                <w:color w:val="auto"/>
              </w:rPr>
            </w:pPr>
          </w:p>
        </w:tc>
        <w:tc>
          <w:tcPr>
            <w:tcW w:w="880" w:type="dxa"/>
            <w:vAlign w:val="bottom"/>
            <w:vMerge w:val="continue"/>
            <w:shd w:val="clear" w:color="auto" w:fill="929292"/>
          </w:tcPr>
          <w:p>
            <w:pPr>
              <w:spacing w:after="0"/>
              <w:rPr>
                <w:sz w:val="2"/>
                <w:szCs w:val="2"/>
                <w:color w:val="auto"/>
              </w:rPr>
            </w:pPr>
          </w:p>
        </w:tc>
        <w:tc>
          <w:tcPr>
            <w:tcW w:w="100" w:type="dxa"/>
            <w:vAlign w:val="bottom"/>
            <w:shd w:val="clear" w:color="auto" w:fill="929292"/>
          </w:tcPr>
          <w:p>
            <w:pPr>
              <w:spacing w:after="0"/>
              <w:rPr>
                <w:sz w:val="2"/>
                <w:szCs w:val="2"/>
                <w:color w:val="auto"/>
              </w:rPr>
            </w:pPr>
          </w:p>
        </w:tc>
        <w:tc>
          <w:tcPr>
            <w:tcW w:w="860" w:type="dxa"/>
            <w:vAlign w:val="bottom"/>
            <w:tcBorders>
              <w:right w:val="single" w:sz="8" w:color="auto"/>
            </w:tcBorders>
            <w:vMerge w:val="continue"/>
            <w:shd w:val="clear" w:color="auto" w:fill="92929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60" w:type="dxa"/>
            <w:vAlign w:val="bottom"/>
            <w:tcBorders>
              <w:left w:val="single" w:sz="8" w:color="auto"/>
            </w:tcBorders>
            <w:vMerge w:val="restart"/>
            <w:shd w:val="clear" w:color="auto" w:fill="929292"/>
          </w:tcPr>
          <w:p>
            <w:pPr>
              <w:ind w:left="60"/>
              <w:spacing w:after="0"/>
              <w:rPr>
                <w:sz w:val="20"/>
                <w:szCs w:val="20"/>
                <w:color w:val="auto"/>
              </w:rPr>
            </w:pPr>
            <w:r>
              <w:rPr>
                <w:rFonts w:ascii="Arial" w:cs="Arial" w:eastAsia="Arial" w:hAnsi="Arial"/>
                <w:sz w:val="11"/>
                <w:szCs w:val="11"/>
                <w:b w:val="1"/>
                <w:bCs w:val="1"/>
                <w:color w:val="FFFFFF"/>
              </w:rPr>
              <w:t>Name</w:t>
            </w:r>
          </w:p>
        </w:tc>
        <w:tc>
          <w:tcPr>
            <w:tcW w:w="780" w:type="dxa"/>
            <w:vAlign w:val="bottom"/>
            <w:vMerge w:val="restart"/>
            <w:shd w:val="clear" w:color="auto" w:fill="929292"/>
          </w:tcPr>
          <w:p>
            <w:pPr>
              <w:jc w:val="right"/>
              <w:ind w:right="66"/>
              <w:spacing w:after="0"/>
              <w:rPr>
                <w:sz w:val="20"/>
                <w:szCs w:val="20"/>
                <w:color w:val="auto"/>
              </w:rPr>
            </w:pPr>
            <w:r>
              <w:rPr>
                <w:rFonts w:ascii="Arial" w:cs="Arial" w:eastAsia="Arial" w:hAnsi="Arial"/>
                <w:sz w:val="11"/>
                <w:szCs w:val="11"/>
                <w:b w:val="1"/>
                <w:bCs w:val="1"/>
                <w:color w:val="FFFFFF"/>
              </w:rPr>
              <w:t>Grant Date</w:t>
            </w:r>
          </w:p>
        </w:tc>
        <w:tc>
          <w:tcPr>
            <w:tcW w:w="1380" w:type="dxa"/>
            <w:vAlign w:val="bottom"/>
            <w:vMerge w:val="continue"/>
            <w:shd w:val="clear" w:color="auto" w:fill="929292"/>
          </w:tcPr>
          <w:p>
            <w:pPr>
              <w:spacing w:after="0"/>
              <w:rPr>
                <w:sz w:val="9"/>
                <w:szCs w:val="9"/>
                <w:color w:val="auto"/>
              </w:rPr>
            </w:pPr>
          </w:p>
        </w:tc>
        <w:tc>
          <w:tcPr>
            <w:tcW w:w="920" w:type="dxa"/>
            <w:vAlign w:val="bottom"/>
            <w:shd w:val="clear" w:color="auto" w:fill="929292"/>
          </w:tcPr>
          <w:p>
            <w:pPr>
              <w:jc w:val="center"/>
              <w:ind w:right="26"/>
              <w:spacing w:after="0" w:line="108" w:lineRule="exact"/>
              <w:rPr>
                <w:sz w:val="20"/>
                <w:szCs w:val="20"/>
                <w:color w:val="auto"/>
              </w:rPr>
            </w:pPr>
            <w:r>
              <w:rPr>
                <w:rFonts w:ascii="Arial" w:cs="Arial" w:eastAsia="Arial" w:hAnsi="Arial"/>
                <w:sz w:val="11"/>
                <w:szCs w:val="11"/>
                <w:b w:val="1"/>
                <w:bCs w:val="1"/>
                <w:color w:val="FFFFFF"/>
                <w:w w:val="98"/>
              </w:rPr>
              <w:t>Exercisable</w:t>
            </w:r>
          </w:p>
        </w:tc>
        <w:tc>
          <w:tcPr>
            <w:tcW w:w="100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rPr>
              <w:t>Options</w:t>
            </w:r>
          </w:p>
        </w:tc>
        <w:tc>
          <w:tcPr>
            <w:tcW w:w="1200" w:type="dxa"/>
            <w:vAlign w:val="bottom"/>
            <w:vMerge w:val="continue"/>
            <w:shd w:val="clear" w:color="auto" w:fill="929292"/>
          </w:tcPr>
          <w:p>
            <w:pPr>
              <w:spacing w:after="0"/>
              <w:rPr>
                <w:sz w:val="9"/>
                <w:szCs w:val="9"/>
                <w:color w:val="auto"/>
              </w:rPr>
            </w:pPr>
          </w:p>
        </w:tc>
        <w:tc>
          <w:tcPr>
            <w:tcW w:w="800" w:type="dxa"/>
            <w:vAlign w:val="bottom"/>
            <w:gridSpan w:val="2"/>
            <w:shd w:val="clear" w:color="auto" w:fill="929292"/>
          </w:tcPr>
          <w:p>
            <w:pPr>
              <w:ind w:left="20"/>
              <w:spacing w:after="0" w:line="108" w:lineRule="exact"/>
              <w:rPr>
                <w:sz w:val="20"/>
                <w:szCs w:val="20"/>
                <w:color w:val="auto"/>
              </w:rPr>
            </w:pPr>
            <w:r>
              <w:rPr>
                <w:rFonts w:ascii="Arial" w:cs="Arial" w:eastAsia="Arial" w:hAnsi="Arial"/>
                <w:sz w:val="11"/>
                <w:szCs w:val="11"/>
                <w:b w:val="1"/>
                <w:bCs w:val="1"/>
                <w:color w:val="FFFFFF"/>
              </w:rPr>
              <w:t>Exercise Price</w:t>
            </w:r>
          </w:p>
        </w:tc>
        <w:tc>
          <w:tcPr>
            <w:tcW w:w="1000" w:type="dxa"/>
            <w:vAlign w:val="bottom"/>
            <w:vMerge w:val="continue"/>
            <w:shd w:val="clear" w:color="auto" w:fill="929292"/>
          </w:tcPr>
          <w:p>
            <w:pPr>
              <w:spacing w:after="0"/>
              <w:rPr>
                <w:sz w:val="9"/>
                <w:szCs w:val="9"/>
                <w:color w:val="auto"/>
              </w:rPr>
            </w:pPr>
          </w:p>
        </w:tc>
        <w:tc>
          <w:tcPr>
            <w:tcW w:w="78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Vested</w:t>
            </w:r>
          </w:p>
        </w:tc>
        <w:tc>
          <w:tcPr>
            <w:tcW w:w="100" w:type="dxa"/>
            <w:vAlign w:val="bottom"/>
            <w:shd w:val="clear" w:color="auto" w:fill="929292"/>
          </w:tcPr>
          <w:p>
            <w:pPr>
              <w:spacing w:after="0"/>
              <w:rPr>
                <w:sz w:val="9"/>
                <w:szCs w:val="9"/>
                <w:color w:val="auto"/>
              </w:rPr>
            </w:pPr>
          </w:p>
        </w:tc>
        <w:tc>
          <w:tcPr>
            <w:tcW w:w="700" w:type="dxa"/>
            <w:vAlign w:val="bottom"/>
            <w:shd w:val="clear" w:color="auto" w:fill="929292"/>
          </w:tcPr>
          <w:p>
            <w:pPr>
              <w:jc w:val="center"/>
              <w:ind w:right="25"/>
              <w:spacing w:after="0" w:line="108" w:lineRule="exact"/>
              <w:rPr>
                <w:sz w:val="20"/>
                <w:szCs w:val="20"/>
                <w:color w:val="auto"/>
              </w:rPr>
            </w:pPr>
            <w:r>
              <w:rPr>
                <w:rFonts w:ascii="Arial" w:cs="Arial" w:eastAsia="Arial" w:hAnsi="Arial"/>
                <w:sz w:val="11"/>
                <w:szCs w:val="11"/>
                <w:b w:val="1"/>
                <w:bCs w:val="1"/>
                <w:color w:val="FFFFFF"/>
                <w:w w:val="94"/>
              </w:rPr>
              <w:t>Vested</w:t>
            </w:r>
          </w:p>
        </w:tc>
        <w:tc>
          <w:tcPr>
            <w:tcW w:w="880" w:type="dxa"/>
            <w:vAlign w:val="bottom"/>
            <w:shd w:val="clear" w:color="auto" w:fill="929292"/>
          </w:tcPr>
          <w:p>
            <w:pPr>
              <w:jc w:val="center"/>
              <w:spacing w:after="0" w:line="108" w:lineRule="exact"/>
              <w:rPr>
                <w:sz w:val="20"/>
                <w:szCs w:val="20"/>
                <w:color w:val="auto"/>
              </w:rPr>
            </w:pPr>
            <w:r>
              <w:rPr>
                <w:rFonts w:ascii="Arial" w:cs="Arial" w:eastAsia="Arial" w:hAnsi="Arial"/>
                <w:sz w:val="11"/>
                <w:szCs w:val="11"/>
                <w:b w:val="1"/>
                <w:bCs w:val="1"/>
                <w:color w:val="FFFFFF"/>
                <w:w w:val="99"/>
              </w:rPr>
              <w:t>Vested</w:t>
            </w:r>
          </w:p>
        </w:tc>
        <w:tc>
          <w:tcPr>
            <w:tcW w:w="100" w:type="dxa"/>
            <w:vAlign w:val="bottom"/>
            <w:shd w:val="clear" w:color="auto" w:fill="929292"/>
          </w:tcPr>
          <w:p>
            <w:pPr>
              <w:spacing w:after="0"/>
              <w:rPr>
                <w:sz w:val="9"/>
                <w:szCs w:val="9"/>
                <w:color w:val="auto"/>
              </w:rPr>
            </w:pPr>
          </w:p>
        </w:tc>
        <w:tc>
          <w:tcPr>
            <w:tcW w:w="860" w:type="dxa"/>
            <w:vAlign w:val="bottom"/>
            <w:tcBorders>
              <w:right w:val="single" w:sz="8" w:color="auto"/>
            </w:tcBorders>
            <w:shd w:val="clear" w:color="auto" w:fill="929292"/>
          </w:tcPr>
          <w:p>
            <w:pPr>
              <w:jc w:val="center"/>
              <w:ind w:right="86"/>
              <w:spacing w:after="0" w:line="108" w:lineRule="exact"/>
              <w:rPr>
                <w:sz w:val="20"/>
                <w:szCs w:val="20"/>
                <w:color w:val="auto"/>
              </w:rPr>
            </w:pPr>
            <w:r>
              <w:rPr>
                <w:rFonts w:ascii="Arial" w:cs="Arial" w:eastAsia="Arial" w:hAnsi="Arial"/>
                <w:sz w:val="11"/>
                <w:szCs w:val="11"/>
                <w:b w:val="1"/>
                <w:bCs w:val="1"/>
                <w:color w:val="FFFFFF"/>
                <w:w w:val="99"/>
              </w:rPr>
              <w:t>Vested</w:t>
            </w:r>
          </w:p>
        </w:tc>
        <w:tc>
          <w:tcPr>
            <w:tcW w:w="0" w:type="dxa"/>
            <w:vAlign w:val="bottom"/>
          </w:tcPr>
          <w:p>
            <w:pPr>
              <w:spacing w:after="0"/>
              <w:rPr>
                <w:sz w:val="1"/>
                <w:szCs w:val="1"/>
                <w:color w:val="auto"/>
              </w:rPr>
            </w:pPr>
          </w:p>
        </w:tc>
      </w:tr>
      <w:tr>
        <w:trPr>
          <w:trHeight w:val="162"/>
        </w:trPr>
        <w:tc>
          <w:tcPr>
            <w:tcW w:w="760" w:type="dxa"/>
            <w:vAlign w:val="bottom"/>
            <w:tcBorders>
              <w:left w:val="single" w:sz="8" w:color="auto"/>
              <w:bottom w:val="single" w:sz="8" w:color="auto"/>
            </w:tcBorders>
            <w:vMerge w:val="continue"/>
            <w:shd w:val="clear" w:color="auto" w:fill="929292"/>
          </w:tcPr>
          <w:p>
            <w:pPr>
              <w:spacing w:after="0"/>
              <w:rPr>
                <w:sz w:val="14"/>
                <w:szCs w:val="14"/>
                <w:color w:val="auto"/>
              </w:rPr>
            </w:pPr>
          </w:p>
        </w:tc>
        <w:tc>
          <w:tcPr>
            <w:tcW w:w="780" w:type="dxa"/>
            <w:vAlign w:val="bottom"/>
            <w:tcBorders>
              <w:bottom w:val="single" w:sz="8" w:color="auto"/>
            </w:tcBorders>
            <w:vMerge w:val="continue"/>
            <w:shd w:val="clear" w:color="auto" w:fill="929292"/>
          </w:tcPr>
          <w:p>
            <w:pPr>
              <w:spacing w:after="0"/>
              <w:rPr>
                <w:sz w:val="14"/>
                <w:szCs w:val="14"/>
                <w:color w:val="auto"/>
              </w:rPr>
            </w:pPr>
          </w:p>
        </w:tc>
        <w:tc>
          <w:tcPr>
            <w:tcW w:w="1380" w:type="dxa"/>
            <w:vAlign w:val="bottom"/>
            <w:tcBorders>
              <w:bottom w:val="single" w:sz="8" w:color="auto"/>
            </w:tcBorders>
            <w:shd w:val="clear" w:color="auto" w:fill="929292"/>
          </w:tcPr>
          <w:p>
            <w:pPr>
              <w:jc w:val="right"/>
              <w:ind w:right="467"/>
              <w:spacing w:after="0" w:line="162" w:lineRule="exact"/>
              <w:rPr>
                <w:sz w:val="20"/>
                <w:szCs w:val="20"/>
                <w:color w:val="auto"/>
              </w:rPr>
            </w:pPr>
            <w:r>
              <w:rPr>
                <w:rFonts w:ascii="Arial" w:cs="Arial" w:eastAsia="Arial" w:hAnsi="Arial"/>
                <w:sz w:val="18"/>
                <w:szCs w:val="18"/>
                <w:b w:val="1"/>
                <w:bCs w:val="1"/>
                <w:color w:val="FFFFFF"/>
                <w:vertAlign w:val="subscript"/>
              </w:rPr>
              <w:t>Date</w:t>
            </w:r>
            <w:r>
              <w:rPr>
                <w:rFonts w:ascii="Arial" w:cs="Arial" w:eastAsia="Arial" w:hAnsi="Arial"/>
                <w:sz w:val="6"/>
                <w:szCs w:val="6"/>
                <w:b w:val="1"/>
                <w:bCs w:val="1"/>
                <w:color w:val="FFFFFF"/>
              </w:rPr>
              <w:t>(2)(3)</w:t>
            </w:r>
          </w:p>
        </w:tc>
        <w:tc>
          <w:tcPr>
            <w:tcW w:w="920" w:type="dxa"/>
            <w:vAlign w:val="bottom"/>
            <w:tcBorders>
              <w:bottom w:val="single" w:sz="8" w:color="auto"/>
            </w:tcBorders>
            <w:shd w:val="clear" w:color="auto" w:fill="929292"/>
          </w:tcPr>
          <w:p>
            <w:pPr>
              <w:jc w:val="center"/>
              <w:ind w:right="26"/>
              <w:spacing w:after="0"/>
              <w:rPr>
                <w:sz w:val="20"/>
                <w:szCs w:val="20"/>
                <w:color w:val="auto"/>
              </w:rPr>
            </w:pPr>
            <w:r>
              <w:rPr>
                <w:rFonts w:ascii="Arial" w:cs="Arial" w:eastAsia="Arial" w:hAnsi="Arial"/>
                <w:sz w:val="11"/>
                <w:szCs w:val="11"/>
                <w:b w:val="1"/>
                <w:bCs w:val="1"/>
                <w:color w:val="FFFFFF"/>
                <w:w w:val="88"/>
              </w:rPr>
              <w:t>(#)</w:t>
            </w:r>
          </w:p>
        </w:tc>
        <w:tc>
          <w:tcPr>
            <w:tcW w:w="100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w w:val="98"/>
              </w:rPr>
              <w:t>Unexercisable (#)</w:t>
            </w:r>
          </w:p>
        </w:tc>
        <w:tc>
          <w:tcPr>
            <w:tcW w:w="120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rPr>
              <w:t>(#)</w:t>
            </w:r>
          </w:p>
        </w:tc>
        <w:tc>
          <w:tcPr>
            <w:tcW w:w="420" w:type="dxa"/>
            <w:vAlign w:val="bottom"/>
            <w:tcBorders>
              <w:bottom w:val="single" w:sz="8" w:color="auto"/>
            </w:tcBorders>
            <w:shd w:val="clear" w:color="auto" w:fill="929292"/>
          </w:tcPr>
          <w:p>
            <w:pPr>
              <w:ind w:left="320"/>
              <w:spacing w:after="0"/>
              <w:rPr>
                <w:sz w:val="20"/>
                <w:szCs w:val="20"/>
                <w:color w:val="auto"/>
              </w:rPr>
            </w:pPr>
            <w:r>
              <w:rPr>
                <w:rFonts w:ascii="Arial" w:cs="Arial" w:eastAsia="Arial" w:hAnsi="Arial"/>
                <w:sz w:val="11"/>
                <w:szCs w:val="11"/>
                <w:b w:val="1"/>
                <w:bCs w:val="1"/>
                <w:color w:val="FFFFFF"/>
                <w:w w:val="81"/>
              </w:rPr>
              <w:t>($</w:t>
            </w:r>
          </w:p>
        </w:tc>
        <w:tc>
          <w:tcPr>
            <w:tcW w:w="380" w:type="dxa"/>
            <w:vAlign w:val="bottom"/>
            <w:tcBorders>
              <w:bottom w:val="single" w:sz="8" w:color="auto"/>
            </w:tcBorders>
            <w:shd w:val="clear" w:color="auto" w:fill="929292"/>
          </w:tcPr>
          <w:p>
            <w:pPr>
              <w:jc w:val="right"/>
              <w:ind w:right="287"/>
              <w:spacing w:after="0"/>
              <w:rPr>
                <w:sz w:val="20"/>
                <w:szCs w:val="20"/>
                <w:color w:val="auto"/>
              </w:rPr>
            </w:pPr>
            <w:r>
              <w:rPr>
                <w:rFonts w:ascii="Arial" w:cs="Arial" w:eastAsia="Arial" w:hAnsi="Arial"/>
                <w:sz w:val="8"/>
                <w:szCs w:val="8"/>
                <w:b w:val="1"/>
                <w:bCs w:val="1"/>
                <w:color w:val="FFFFFF"/>
                <w:w w:val="73"/>
              </w:rPr>
              <w:t>)</w:t>
            </w:r>
          </w:p>
        </w:tc>
        <w:tc>
          <w:tcPr>
            <w:tcW w:w="1000" w:type="dxa"/>
            <w:vAlign w:val="bottom"/>
            <w:tcBorders>
              <w:bottom w:val="single" w:sz="8" w:color="auto"/>
            </w:tcBorders>
            <w:shd w:val="clear" w:color="auto" w:fill="929292"/>
          </w:tcPr>
          <w:p>
            <w:pPr>
              <w:jc w:val="right"/>
              <w:ind w:right="106"/>
              <w:spacing w:after="0"/>
              <w:rPr>
                <w:sz w:val="20"/>
                <w:szCs w:val="20"/>
                <w:color w:val="auto"/>
              </w:rPr>
            </w:pPr>
            <w:r>
              <w:rPr>
                <w:rFonts w:ascii="Arial" w:cs="Arial" w:eastAsia="Arial" w:hAnsi="Arial"/>
                <w:sz w:val="11"/>
                <w:szCs w:val="11"/>
                <w:b w:val="1"/>
                <w:bCs w:val="1"/>
                <w:color w:val="FFFFFF"/>
              </w:rPr>
              <w:t>Expiration Date</w:t>
            </w:r>
          </w:p>
        </w:tc>
        <w:tc>
          <w:tcPr>
            <w:tcW w:w="78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w w:val="88"/>
              </w:rPr>
              <w:t>(#)</w:t>
            </w:r>
          </w:p>
        </w:tc>
        <w:tc>
          <w:tcPr>
            <w:tcW w:w="100" w:type="dxa"/>
            <w:vAlign w:val="bottom"/>
            <w:tcBorders>
              <w:bottom w:val="single" w:sz="8" w:color="auto"/>
            </w:tcBorders>
            <w:shd w:val="clear" w:color="auto" w:fill="929292"/>
          </w:tcPr>
          <w:p>
            <w:pPr>
              <w:spacing w:after="0"/>
              <w:rPr>
                <w:sz w:val="14"/>
                <w:szCs w:val="14"/>
                <w:color w:val="auto"/>
              </w:rPr>
            </w:pPr>
          </w:p>
        </w:tc>
        <w:tc>
          <w:tcPr>
            <w:tcW w:w="700" w:type="dxa"/>
            <w:vAlign w:val="bottom"/>
            <w:tcBorders>
              <w:bottom w:val="single" w:sz="8" w:color="auto"/>
            </w:tcBorders>
            <w:shd w:val="clear" w:color="auto" w:fill="929292"/>
          </w:tcPr>
          <w:p>
            <w:pPr>
              <w:jc w:val="center"/>
              <w:ind w:right="5"/>
              <w:spacing w:after="0"/>
              <w:rPr>
                <w:sz w:val="20"/>
                <w:szCs w:val="20"/>
                <w:color w:val="auto"/>
              </w:rPr>
            </w:pPr>
            <w:r>
              <w:rPr>
                <w:rFonts w:ascii="Arial" w:cs="Arial" w:eastAsia="Arial" w:hAnsi="Arial"/>
                <w:sz w:val="11"/>
                <w:szCs w:val="11"/>
                <w:b w:val="1"/>
                <w:bCs w:val="1"/>
                <w:color w:val="FFFFFF"/>
                <w:w w:val="88"/>
              </w:rPr>
              <w:t>($)</w:t>
            </w:r>
          </w:p>
        </w:tc>
        <w:tc>
          <w:tcPr>
            <w:tcW w:w="880" w:type="dxa"/>
            <w:vAlign w:val="bottom"/>
            <w:tcBorders>
              <w:bottom w:val="single" w:sz="8" w:color="auto"/>
            </w:tcBorders>
            <w:shd w:val="clear" w:color="auto" w:fill="929292"/>
          </w:tcPr>
          <w:p>
            <w:pPr>
              <w:jc w:val="center"/>
              <w:spacing w:after="0"/>
              <w:rPr>
                <w:sz w:val="20"/>
                <w:szCs w:val="20"/>
                <w:color w:val="auto"/>
              </w:rPr>
            </w:pPr>
            <w:r>
              <w:rPr>
                <w:rFonts w:ascii="Arial" w:cs="Arial" w:eastAsia="Arial" w:hAnsi="Arial"/>
                <w:sz w:val="11"/>
                <w:szCs w:val="11"/>
                <w:b w:val="1"/>
                <w:bCs w:val="1"/>
                <w:color w:val="FFFFFF"/>
                <w:w w:val="88"/>
              </w:rPr>
              <w:t>(#)</w:t>
            </w:r>
          </w:p>
        </w:tc>
        <w:tc>
          <w:tcPr>
            <w:tcW w:w="100" w:type="dxa"/>
            <w:vAlign w:val="bottom"/>
            <w:tcBorders>
              <w:bottom w:val="single" w:sz="8" w:color="auto"/>
            </w:tcBorders>
            <w:shd w:val="clear" w:color="auto" w:fill="929292"/>
          </w:tcPr>
          <w:p>
            <w:pPr>
              <w:spacing w:after="0"/>
              <w:rPr>
                <w:sz w:val="14"/>
                <w:szCs w:val="14"/>
                <w:color w:val="auto"/>
              </w:rPr>
            </w:pPr>
          </w:p>
        </w:tc>
        <w:tc>
          <w:tcPr>
            <w:tcW w:w="860" w:type="dxa"/>
            <w:vAlign w:val="bottom"/>
            <w:tcBorders>
              <w:bottom w:val="single" w:sz="8" w:color="auto"/>
              <w:right w:val="single" w:sz="8" w:color="auto"/>
            </w:tcBorders>
            <w:shd w:val="clear" w:color="auto" w:fill="929292"/>
          </w:tcPr>
          <w:p>
            <w:pPr>
              <w:jc w:val="center"/>
              <w:ind w:right="66"/>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313"/>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3/15/2022</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3/1/2022</w:t>
            </w:r>
            <w:r>
              <w:rPr>
                <w:rFonts w:ascii="Arial" w:cs="Arial" w:eastAsia="Arial" w:hAnsi="Arial"/>
                <w:sz w:val="14"/>
                <w:szCs w:val="14"/>
                <w:color w:val="auto"/>
                <w:vertAlign w:val="superscript"/>
              </w:rPr>
              <w:t>(4)</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3/14/2032</w:t>
            </w:r>
          </w:p>
        </w:tc>
        <w:tc>
          <w:tcPr>
            <w:tcW w:w="780" w:type="dxa"/>
            <w:vAlign w:val="bottom"/>
          </w:tcPr>
          <w:p>
            <w:pPr>
              <w:jc w:val="right"/>
              <w:spacing w:after="0"/>
              <w:rPr>
                <w:sz w:val="20"/>
                <w:szCs w:val="20"/>
                <w:color w:val="auto"/>
              </w:rPr>
            </w:pPr>
            <w:r>
              <w:rPr>
                <w:rFonts w:ascii="Arial" w:cs="Arial" w:eastAsia="Arial" w:hAnsi="Arial"/>
                <w:sz w:val="11"/>
                <w:szCs w:val="11"/>
                <w:color w:val="auto"/>
              </w:rPr>
              <w:t>28,670</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136,183</w:t>
            </w:r>
          </w:p>
        </w:tc>
        <w:tc>
          <w:tcPr>
            <w:tcW w:w="880" w:type="dxa"/>
            <w:vAlign w:val="bottom"/>
          </w:tcPr>
          <w:p>
            <w:pPr>
              <w:jc w:val="right"/>
              <w:spacing w:after="0"/>
              <w:rPr>
                <w:sz w:val="20"/>
                <w:szCs w:val="20"/>
                <w:color w:val="auto"/>
              </w:rPr>
            </w:pPr>
            <w:r>
              <w:rPr>
                <w:rFonts w:ascii="Arial" w:cs="Arial" w:eastAsia="Arial" w:hAnsi="Arial"/>
                <w:sz w:val="11"/>
                <w:szCs w:val="11"/>
                <w:color w:val="auto"/>
              </w:rPr>
              <w:t>28,670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136,183</w:t>
            </w:r>
          </w:p>
        </w:tc>
        <w:tc>
          <w:tcPr>
            <w:tcW w:w="0" w:type="dxa"/>
            <w:vAlign w:val="bottom"/>
          </w:tcPr>
          <w:p>
            <w:pPr>
              <w:spacing w:after="0"/>
              <w:rPr>
                <w:sz w:val="1"/>
                <w:szCs w:val="1"/>
                <w:color w:val="auto"/>
              </w:rPr>
            </w:pPr>
          </w:p>
        </w:tc>
      </w:tr>
      <w:tr>
        <w:trPr>
          <w:trHeight w:val="310"/>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3/15/2022</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2/22/2022</w:t>
            </w:r>
            <w:r>
              <w:rPr>
                <w:rFonts w:ascii="Arial" w:cs="Arial" w:eastAsia="Arial" w:hAnsi="Arial"/>
                <w:sz w:val="14"/>
                <w:szCs w:val="14"/>
                <w:color w:val="auto"/>
                <w:vertAlign w:val="superscript"/>
              </w:rPr>
              <w:t>(5)</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780,814</w:t>
            </w:r>
          </w:p>
        </w:tc>
        <w:tc>
          <w:tcPr>
            <w:tcW w:w="1000" w:type="dxa"/>
            <w:vAlign w:val="bottom"/>
          </w:tcPr>
          <w:p>
            <w:pPr>
              <w:jc w:val="right"/>
              <w:spacing w:after="0"/>
              <w:rPr>
                <w:sz w:val="20"/>
                <w:szCs w:val="20"/>
                <w:color w:val="auto"/>
              </w:rPr>
            </w:pPr>
            <w:r>
              <w:rPr>
                <w:rFonts w:ascii="Arial" w:cs="Arial" w:eastAsia="Arial" w:hAnsi="Arial"/>
                <w:sz w:val="11"/>
                <w:szCs w:val="11"/>
                <w:color w:val="auto"/>
              </w:rPr>
              <w:t>33,949</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8.72</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3/14/2032</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5/21/2022</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2/22/2022</w:t>
            </w:r>
            <w:r>
              <w:rPr>
                <w:rFonts w:ascii="Arial" w:cs="Arial" w:eastAsia="Arial" w:hAnsi="Arial"/>
                <w:sz w:val="14"/>
                <w:szCs w:val="14"/>
                <w:color w:val="auto"/>
                <w:vertAlign w:val="superscript"/>
              </w:rPr>
              <w:t>(5)</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658,104</w:t>
            </w:r>
          </w:p>
        </w:tc>
        <w:tc>
          <w:tcPr>
            <w:tcW w:w="1000" w:type="dxa"/>
            <w:vAlign w:val="bottom"/>
          </w:tcPr>
          <w:p>
            <w:pPr>
              <w:jc w:val="right"/>
              <w:spacing w:after="0"/>
              <w:rPr>
                <w:sz w:val="20"/>
                <w:szCs w:val="20"/>
                <w:color w:val="auto"/>
              </w:rPr>
            </w:pPr>
            <w:r>
              <w:rPr>
                <w:rFonts w:ascii="Arial" w:cs="Arial" w:eastAsia="Arial" w:hAnsi="Arial"/>
                <w:sz w:val="11"/>
                <w:szCs w:val="11"/>
                <w:color w:val="auto"/>
              </w:rPr>
              <w:t>28,614</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9.84</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5/20/2032</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5/21/2022</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3/1/2022</w:t>
            </w:r>
            <w:r>
              <w:rPr>
                <w:rFonts w:ascii="Arial" w:cs="Arial" w:eastAsia="Arial" w:hAnsi="Arial"/>
                <w:sz w:val="14"/>
                <w:szCs w:val="14"/>
                <w:color w:val="auto"/>
                <w:vertAlign w:val="superscript"/>
              </w:rPr>
              <w:t>(4)</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5/20/2032</w:t>
            </w:r>
          </w:p>
        </w:tc>
        <w:tc>
          <w:tcPr>
            <w:tcW w:w="780" w:type="dxa"/>
            <w:vAlign w:val="bottom"/>
          </w:tcPr>
          <w:p>
            <w:pPr>
              <w:jc w:val="right"/>
              <w:spacing w:after="0"/>
              <w:rPr>
                <w:sz w:val="20"/>
                <w:szCs w:val="20"/>
                <w:color w:val="auto"/>
              </w:rPr>
            </w:pPr>
            <w:r>
              <w:rPr>
                <w:rFonts w:ascii="Arial" w:cs="Arial" w:eastAsia="Arial" w:hAnsi="Arial"/>
                <w:sz w:val="11"/>
                <w:szCs w:val="11"/>
                <w:color w:val="auto"/>
              </w:rPr>
              <w:t>25,407</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120,683</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3/15/2023</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3/1/2023</w:t>
            </w:r>
            <w:r>
              <w:rPr>
                <w:rFonts w:ascii="Arial" w:cs="Arial" w:eastAsia="Arial" w:hAnsi="Arial"/>
                <w:sz w:val="14"/>
                <w:szCs w:val="14"/>
                <w:color w:val="auto"/>
                <w:vertAlign w:val="superscript"/>
              </w:rPr>
              <w:t>(6)</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3/14/2033</w:t>
            </w:r>
          </w:p>
        </w:tc>
        <w:tc>
          <w:tcPr>
            <w:tcW w:w="780" w:type="dxa"/>
            <w:vAlign w:val="bottom"/>
          </w:tcPr>
          <w:p>
            <w:pPr>
              <w:jc w:val="right"/>
              <w:spacing w:after="0"/>
              <w:rPr>
                <w:sz w:val="20"/>
                <w:szCs w:val="20"/>
                <w:color w:val="auto"/>
              </w:rPr>
            </w:pPr>
            <w:r>
              <w:rPr>
                <w:rFonts w:ascii="Arial" w:cs="Arial" w:eastAsia="Arial" w:hAnsi="Arial"/>
                <w:sz w:val="11"/>
                <w:szCs w:val="11"/>
                <w:color w:val="auto"/>
              </w:rPr>
              <w:t>23,756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112,841</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3/15/2023</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3/15/2023</w:t>
            </w:r>
            <w:r>
              <w:rPr>
                <w:rFonts w:ascii="Arial" w:cs="Arial" w:eastAsia="Arial" w:hAnsi="Arial"/>
                <w:sz w:val="14"/>
                <w:szCs w:val="14"/>
                <w:color w:val="auto"/>
                <w:vertAlign w:val="superscript"/>
              </w:rPr>
              <w:t>(7)</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513,960</w:t>
            </w:r>
          </w:p>
        </w:tc>
        <w:tc>
          <w:tcPr>
            <w:tcW w:w="1000" w:type="dxa"/>
            <w:vAlign w:val="bottom"/>
          </w:tcPr>
          <w:p>
            <w:pPr>
              <w:jc w:val="right"/>
              <w:spacing w:after="0"/>
              <w:rPr>
                <w:sz w:val="20"/>
                <w:szCs w:val="20"/>
                <w:color w:val="auto"/>
              </w:rPr>
            </w:pPr>
            <w:r>
              <w:rPr>
                <w:rFonts w:ascii="Arial" w:cs="Arial" w:eastAsia="Arial" w:hAnsi="Arial"/>
                <w:sz w:val="11"/>
                <w:szCs w:val="11"/>
                <w:color w:val="auto"/>
              </w:rPr>
              <w:t>46,724</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4.07</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3/14/2033</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4"/>
        </w:trPr>
        <w:tc>
          <w:tcPr>
            <w:tcW w:w="760" w:type="dxa"/>
            <w:vAlign w:val="bottom"/>
            <w:tcBorders>
              <w:left w:val="single" w:sz="8" w:color="auto"/>
            </w:tcBorders>
            <w:vMerge w:val="restart"/>
          </w:tcPr>
          <w:p>
            <w:pPr>
              <w:ind w:left="40"/>
              <w:spacing w:after="0"/>
              <w:rPr>
                <w:sz w:val="20"/>
                <w:szCs w:val="20"/>
                <w:color w:val="auto"/>
              </w:rPr>
            </w:pPr>
            <w:r>
              <w:rPr>
                <w:rFonts w:ascii="Arial" w:cs="Arial" w:eastAsia="Arial" w:hAnsi="Arial"/>
                <w:sz w:val="11"/>
                <w:szCs w:val="11"/>
                <w:b w:val="1"/>
                <w:bCs w:val="1"/>
                <w:color w:val="auto"/>
              </w:rPr>
              <w:t>Mike Milotich</w:t>
            </w: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3/1/2024</w:t>
            </w:r>
            <w:r>
              <w:rPr>
                <w:rFonts w:ascii="Arial" w:cs="Arial" w:eastAsia="Arial" w:hAnsi="Arial"/>
                <w:sz w:val="14"/>
                <w:szCs w:val="14"/>
                <w:color w:val="auto"/>
                <w:vertAlign w:val="superscript"/>
              </w:rPr>
              <w:t>(6)</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3/14/2034</w:t>
            </w:r>
          </w:p>
        </w:tc>
        <w:tc>
          <w:tcPr>
            <w:tcW w:w="780" w:type="dxa"/>
            <w:vAlign w:val="bottom"/>
          </w:tcPr>
          <w:p>
            <w:pPr>
              <w:jc w:val="right"/>
              <w:spacing w:after="0"/>
              <w:rPr>
                <w:sz w:val="20"/>
                <w:szCs w:val="20"/>
                <w:color w:val="auto"/>
              </w:rPr>
            </w:pPr>
            <w:r>
              <w:rPr>
                <w:rFonts w:ascii="Arial" w:cs="Arial" w:eastAsia="Arial" w:hAnsi="Arial"/>
                <w:sz w:val="11"/>
                <w:szCs w:val="11"/>
                <w:color w:val="auto"/>
              </w:rPr>
              <w:t>248,796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1,181,781</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0"/>
        </w:trPr>
        <w:tc>
          <w:tcPr>
            <w:tcW w:w="760" w:type="dxa"/>
            <w:vAlign w:val="bottom"/>
            <w:tcBorders>
              <w:lef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7"/>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3/14/2034</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73,731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350,222</w:t>
            </w:r>
          </w:p>
        </w:tc>
        <w:tc>
          <w:tcPr>
            <w:tcW w:w="0" w:type="dxa"/>
            <w:vAlign w:val="bottom"/>
          </w:tcPr>
          <w:p>
            <w:pPr>
              <w:spacing w:after="0"/>
              <w:rPr>
                <w:sz w:val="1"/>
                <w:szCs w:val="1"/>
                <w:color w:val="auto"/>
              </w:rPr>
            </w:pPr>
          </w:p>
        </w:tc>
      </w:tr>
      <w:tr>
        <w:trPr>
          <w:trHeight w:val="311"/>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3/14/2034</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41,291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196,132</w:t>
            </w:r>
          </w:p>
        </w:tc>
        <w:tc>
          <w:tcPr>
            <w:tcW w:w="0" w:type="dxa"/>
            <w:vAlign w:val="bottom"/>
          </w:tcPr>
          <w:p>
            <w:pPr>
              <w:spacing w:after="0"/>
              <w:rPr>
                <w:sz w:val="1"/>
                <w:szCs w:val="1"/>
                <w:color w:val="auto"/>
              </w:rPr>
            </w:pPr>
          </w:p>
        </w:tc>
      </w:tr>
      <w:tr>
        <w:trPr>
          <w:trHeight w:val="310"/>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(6)</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3/14/2035</w:t>
            </w:r>
          </w:p>
        </w:tc>
        <w:tc>
          <w:tcPr>
            <w:tcW w:w="780" w:type="dxa"/>
            <w:vAlign w:val="bottom"/>
          </w:tcPr>
          <w:p>
            <w:pPr>
              <w:jc w:val="right"/>
              <w:spacing w:after="0"/>
              <w:rPr>
                <w:sz w:val="20"/>
                <w:szCs w:val="20"/>
                <w:color w:val="auto"/>
              </w:rPr>
            </w:pPr>
            <w:r>
              <w:rPr>
                <w:rFonts w:ascii="Arial" w:cs="Arial" w:eastAsia="Arial" w:hAnsi="Arial"/>
                <w:sz w:val="11"/>
                <w:szCs w:val="11"/>
                <w:color w:val="auto"/>
              </w:rPr>
              <w:t>376,530</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1,788,518</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(9)</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3/14/2035</w:t>
            </w:r>
          </w:p>
        </w:tc>
        <w:tc>
          <w:tcPr>
            <w:tcW w:w="780" w:type="dxa"/>
            <w:vAlign w:val="bottom"/>
          </w:tcPr>
          <w:p>
            <w:pPr>
              <w:jc w:val="right"/>
              <w:spacing w:after="0"/>
              <w:rPr>
                <w:sz w:val="20"/>
                <w:szCs w:val="20"/>
                <w:color w:val="auto"/>
              </w:rPr>
            </w:pPr>
            <w:r>
              <w:rPr>
                <w:rFonts w:ascii="Arial" w:cs="Arial" w:eastAsia="Arial" w:hAnsi="Arial"/>
                <w:sz w:val="11"/>
                <w:szCs w:val="11"/>
                <w:color w:val="auto"/>
              </w:rPr>
              <w:t>254,958</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1,211,051</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3/14/2035</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150,611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715,402</w:t>
            </w:r>
          </w:p>
        </w:tc>
        <w:tc>
          <w:tcPr>
            <w:tcW w:w="0" w:type="dxa"/>
            <w:vAlign w:val="bottom"/>
          </w:tcPr>
          <w:p>
            <w:pPr>
              <w:spacing w:after="0"/>
              <w:rPr>
                <w:sz w:val="1"/>
                <w:szCs w:val="1"/>
                <w:color w:val="auto"/>
              </w:rPr>
            </w:pPr>
          </w:p>
        </w:tc>
      </w:tr>
      <w:tr>
        <w:trPr>
          <w:trHeight w:val="310"/>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3/14/2035</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64,548</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306,603</w:t>
            </w:r>
          </w:p>
        </w:tc>
        <w:tc>
          <w:tcPr>
            <w:tcW w:w="0" w:type="dxa"/>
            <w:vAlign w:val="bottom"/>
          </w:tcPr>
          <w:p>
            <w:pPr>
              <w:spacing w:after="0"/>
              <w:rPr>
                <w:sz w:val="1"/>
                <w:szCs w:val="1"/>
                <w:color w:val="auto"/>
              </w:rPr>
            </w:pPr>
          </w:p>
        </w:tc>
      </w:tr>
      <w:tr>
        <w:trPr>
          <w:trHeight w:val="288"/>
        </w:trPr>
        <w:tc>
          <w:tcPr>
            <w:tcW w:w="76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9/15/2025</w:t>
            </w:r>
          </w:p>
        </w:tc>
        <w:tc>
          <w:tcPr>
            <w:tcW w:w="1380" w:type="dxa"/>
            <w:vAlign w:val="bottom"/>
          </w:tcPr>
          <w:p>
            <w:pPr>
              <w:jc w:val="right"/>
              <w:ind w:right="47"/>
              <w:spacing w:after="0"/>
              <w:rPr>
                <w:sz w:val="20"/>
                <w:szCs w:val="20"/>
                <w:color w:val="auto"/>
              </w:rPr>
            </w:pPr>
            <w:r>
              <w:rPr>
                <w:rFonts w:ascii="Arial" w:cs="Arial" w:eastAsia="Arial" w:hAnsi="Arial"/>
                <w:sz w:val="11"/>
                <w:szCs w:val="11"/>
                <w:color w:val="auto"/>
              </w:rPr>
              <w:t>9/1/2025</w:t>
            </w:r>
            <w:r>
              <w:rPr>
                <w:rFonts w:ascii="Arial" w:cs="Arial" w:eastAsia="Arial" w:hAnsi="Arial"/>
                <w:sz w:val="14"/>
                <w:szCs w:val="14"/>
                <w:color w:val="auto"/>
                <w:vertAlign w:val="superscript"/>
              </w:rPr>
              <w:t>(6)</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9/14/2035</w:t>
            </w:r>
          </w:p>
        </w:tc>
        <w:tc>
          <w:tcPr>
            <w:tcW w:w="780" w:type="dxa"/>
            <w:vAlign w:val="bottom"/>
          </w:tcPr>
          <w:p>
            <w:pPr>
              <w:jc w:val="right"/>
              <w:spacing w:after="0"/>
              <w:rPr>
                <w:sz w:val="20"/>
                <w:szCs w:val="20"/>
                <w:color w:val="auto"/>
              </w:rPr>
            </w:pPr>
            <w:r>
              <w:rPr>
                <w:rFonts w:ascii="Arial" w:cs="Arial" w:eastAsia="Arial" w:hAnsi="Arial"/>
                <w:sz w:val="11"/>
                <w:szCs w:val="11"/>
                <w:color w:val="auto"/>
              </w:rPr>
              <w:t>749,155</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3,558,486</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-3488690</wp:posOffset>
            </wp:positionV>
            <wp:extent cx="53403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310"/>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1/15/2023</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12/1/2022</w:t>
            </w:r>
            <w:r>
              <w:rPr>
                <w:rFonts w:ascii="Arial" w:cs="Arial" w:eastAsia="Arial" w:hAnsi="Arial"/>
                <w:sz w:val="14"/>
                <w:szCs w:val="14"/>
                <w:color w:val="auto"/>
                <w:vertAlign w:val="superscript"/>
              </w:rPr>
              <w:t>(4)</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1/14/2033</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201,467</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956,968</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1/15/2023</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12/19/2022</w:t>
            </w:r>
            <w:r>
              <w:rPr>
                <w:rFonts w:ascii="Arial" w:cs="Arial" w:eastAsia="Arial" w:hAnsi="Arial"/>
                <w:sz w:val="14"/>
                <w:szCs w:val="14"/>
                <w:color w:val="auto"/>
                <w:vertAlign w:val="superscript"/>
              </w:rPr>
              <w:t>(5)</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867,412</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289,138</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6.59</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1/14/2033</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2/15/2023</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3/1/2023</w:t>
            </w:r>
            <w:r>
              <w:rPr>
                <w:rFonts w:ascii="Arial" w:cs="Arial" w:eastAsia="Arial" w:hAnsi="Arial"/>
                <w:sz w:val="14"/>
                <w:szCs w:val="14"/>
                <w:color w:val="auto"/>
                <w:vertAlign w:val="superscript"/>
              </w:rPr>
              <w:t>(10)</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2/14/2033</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15,837</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75,226</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2/15/2023</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3/1/2023</w:t>
            </w:r>
            <w:r>
              <w:rPr>
                <w:rFonts w:ascii="Arial" w:cs="Arial" w:eastAsia="Arial" w:hAnsi="Arial"/>
                <w:sz w:val="14"/>
                <w:szCs w:val="14"/>
                <w:color w:val="auto"/>
                <w:vertAlign w:val="superscript"/>
              </w:rPr>
              <w:t>(11)</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279,064</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16,416</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6.38</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2/14/2033</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3/1/2024</w:t>
            </w:r>
            <w:r>
              <w:rPr>
                <w:rFonts w:ascii="Arial" w:cs="Arial" w:eastAsia="Arial" w:hAnsi="Arial"/>
                <w:sz w:val="14"/>
                <w:szCs w:val="14"/>
                <w:color w:val="auto"/>
                <w:vertAlign w:val="superscript"/>
              </w:rPr>
              <w:t>(6)</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161,257</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765,971</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1"/>
                <w:szCs w:val="11"/>
                <w:b w:val="1"/>
                <w:bCs w:val="1"/>
                <w:color w:val="auto"/>
                <w:w w:val="96"/>
              </w:rPr>
              <w:t>Todd Pollak</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15"/>
                <w:szCs w:val="15"/>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vMerge w:val="restart"/>
            <w:shd w:val="clear" w:color="auto" w:fill="DBDBDB"/>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47,790</w:t>
            </w:r>
          </w:p>
        </w:tc>
        <w:tc>
          <w:tcPr>
            <w:tcW w:w="320" w:type="dxa"/>
            <w:vAlign w:val="bottom"/>
            <w:vMerge w:val="restart"/>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shd w:val="clear" w:color="auto" w:fill="DBDBDB"/>
          </w:tcPr>
          <w:p>
            <w:pPr>
              <w:jc w:val="right"/>
              <w:ind w:right="26"/>
              <w:spacing w:after="0"/>
              <w:rPr>
                <w:sz w:val="20"/>
                <w:szCs w:val="20"/>
                <w:color w:val="auto"/>
              </w:rPr>
            </w:pPr>
            <w:r>
              <w:rPr>
                <w:rFonts w:ascii="Arial" w:cs="Arial" w:eastAsia="Arial" w:hAnsi="Arial"/>
                <w:sz w:val="11"/>
                <w:szCs w:val="11"/>
                <w:color w:val="auto"/>
              </w:rPr>
              <w:t>227,003</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tcBorders>
            <w:shd w:val="clear" w:color="auto" w:fill="DBDBDB"/>
          </w:tcPr>
          <w:p>
            <w:pPr>
              <w:spacing w:after="0"/>
              <w:rPr>
                <w:sz w:val="11"/>
                <w:szCs w:val="11"/>
                <w:color w:val="auto"/>
              </w:rPr>
            </w:pPr>
          </w:p>
        </w:tc>
        <w:tc>
          <w:tcPr>
            <w:tcW w:w="780" w:type="dxa"/>
            <w:vAlign w:val="bottom"/>
            <w:vMerge w:val="continue"/>
            <w:shd w:val="clear" w:color="auto" w:fill="DBDBDB"/>
          </w:tcPr>
          <w:p>
            <w:pPr>
              <w:spacing w:after="0"/>
              <w:rPr>
                <w:sz w:val="11"/>
                <w:szCs w:val="11"/>
                <w:color w:val="auto"/>
              </w:rPr>
            </w:pPr>
          </w:p>
        </w:tc>
        <w:tc>
          <w:tcPr>
            <w:tcW w:w="1340" w:type="dxa"/>
            <w:vAlign w:val="bottom"/>
            <w:vMerge w:val="continue"/>
            <w:shd w:val="clear" w:color="auto" w:fill="DBDBDB"/>
          </w:tcPr>
          <w:p>
            <w:pPr>
              <w:spacing w:after="0"/>
              <w:rPr>
                <w:sz w:val="11"/>
                <w:szCs w:val="11"/>
                <w:color w:val="auto"/>
              </w:rPr>
            </w:pPr>
          </w:p>
        </w:tc>
        <w:tc>
          <w:tcPr>
            <w:tcW w:w="980" w:type="dxa"/>
            <w:vAlign w:val="bottom"/>
            <w:vMerge w:val="continue"/>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980" w:type="dxa"/>
            <w:vAlign w:val="bottom"/>
            <w:vMerge w:val="continue"/>
            <w:shd w:val="clear" w:color="auto" w:fill="DBDBDB"/>
          </w:tcPr>
          <w:p>
            <w:pPr>
              <w:spacing w:after="0"/>
              <w:rPr>
                <w:sz w:val="11"/>
                <w:szCs w:val="11"/>
                <w:color w:val="auto"/>
              </w:rPr>
            </w:pPr>
          </w:p>
        </w:tc>
        <w:tc>
          <w:tcPr>
            <w:tcW w:w="1100" w:type="dxa"/>
            <w:vAlign w:val="bottom"/>
            <w:gridSpan w:val="2"/>
            <w:vMerge w:val="continue"/>
            <w:shd w:val="clear" w:color="auto" w:fill="DBDBDB"/>
          </w:tcPr>
          <w:p>
            <w:pPr>
              <w:spacing w:after="0"/>
              <w:rPr>
                <w:sz w:val="11"/>
                <w:szCs w:val="11"/>
                <w:color w:val="auto"/>
              </w:rPr>
            </w:pPr>
          </w:p>
        </w:tc>
        <w:tc>
          <w:tcPr>
            <w:tcW w:w="680" w:type="dxa"/>
            <w:vAlign w:val="bottom"/>
            <w:vMerge w:val="continue"/>
            <w:shd w:val="clear" w:color="auto" w:fill="DBDBDB"/>
          </w:tcPr>
          <w:p>
            <w:pPr>
              <w:spacing w:after="0"/>
              <w:rPr>
                <w:sz w:val="11"/>
                <w:szCs w:val="11"/>
                <w:color w:val="auto"/>
              </w:rPr>
            </w:pPr>
          </w:p>
        </w:tc>
        <w:tc>
          <w:tcPr>
            <w:tcW w:w="1180" w:type="dxa"/>
            <w:vAlign w:val="bottom"/>
            <w:vMerge w:val="continue"/>
            <w:shd w:val="clear" w:color="auto" w:fill="DBDBDB"/>
          </w:tcPr>
          <w:p>
            <w:pPr>
              <w:spacing w:after="0"/>
              <w:rPr>
                <w:sz w:val="11"/>
                <w:szCs w:val="11"/>
                <w:color w:val="auto"/>
              </w:rPr>
            </w:pPr>
          </w:p>
        </w:tc>
        <w:tc>
          <w:tcPr>
            <w:tcW w:w="680" w:type="dxa"/>
            <w:vAlign w:val="bottom"/>
            <w:vMerge w:val="continue"/>
            <w:shd w:val="clear" w:color="auto" w:fill="DBDBDB"/>
          </w:tcPr>
          <w:p>
            <w:pPr>
              <w:spacing w:after="0"/>
              <w:rPr>
                <w:sz w:val="11"/>
                <w:szCs w:val="11"/>
                <w:color w:val="auto"/>
              </w:rPr>
            </w:pPr>
          </w:p>
        </w:tc>
        <w:tc>
          <w:tcPr>
            <w:tcW w:w="200" w:type="dxa"/>
            <w:vAlign w:val="bottom"/>
            <w:vMerge w:val="continue"/>
            <w:shd w:val="clear" w:color="auto" w:fill="DBDBDB"/>
          </w:tcPr>
          <w:p>
            <w:pPr>
              <w:spacing w:after="0"/>
              <w:rPr>
                <w:sz w:val="11"/>
                <w:szCs w:val="11"/>
                <w:color w:val="auto"/>
              </w:rPr>
            </w:pPr>
          </w:p>
        </w:tc>
        <w:tc>
          <w:tcPr>
            <w:tcW w:w="840" w:type="dxa"/>
            <w:vAlign w:val="bottom"/>
            <w:vMerge w:val="continue"/>
            <w:shd w:val="clear" w:color="auto" w:fill="DBDBDB"/>
          </w:tcPr>
          <w:p>
            <w:pPr>
              <w:spacing w:after="0"/>
              <w:rPr>
                <w:sz w:val="11"/>
                <w:szCs w:val="11"/>
                <w:color w:val="auto"/>
              </w:rPr>
            </w:pPr>
          </w:p>
        </w:tc>
        <w:tc>
          <w:tcPr>
            <w:tcW w:w="660" w:type="dxa"/>
            <w:vAlign w:val="bottom"/>
            <w:vMerge w:val="continue"/>
            <w:shd w:val="clear" w:color="auto" w:fill="DBDBDB"/>
          </w:tcPr>
          <w:p>
            <w:pPr>
              <w:spacing w:after="0"/>
              <w:rPr>
                <w:sz w:val="11"/>
                <w:szCs w:val="11"/>
                <w:color w:val="auto"/>
              </w:rPr>
            </w:pPr>
          </w:p>
        </w:tc>
        <w:tc>
          <w:tcPr>
            <w:tcW w:w="320" w:type="dxa"/>
            <w:vAlign w:val="bottom"/>
            <w:vMerge w:val="continue"/>
            <w:shd w:val="clear" w:color="auto" w:fill="DBDBDB"/>
          </w:tcPr>
          <w:p>
            <w:pPr>
              <w:spacing w:after="0"/>
              <w:rPr>
                <w:sz w:val="11"/>
                <w:szCs w:val="11"/>
                <w:color w:val="auto"/>
              </w:rPr>
            </w:pPr>
          </w:p>
        </w:tc>
        <w:tc>
          <w:tcPr>
            <w:tcW w:w="68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ind w:left="82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26,762</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127,120</w:t>
            </w:r>
          </w:p>
        </w:tc>
        <w:tc>
          <w:tcPr>
            <w:tcW w:w="0" w:type="dxa"/>
            <w:vAlign w:val="bottom"/>
          </w:tcPr>
          <w:p>
            <w:pPr>
              <w:spacing w:after="0"/>
              <w:rPr>
                <w:sz w:val="1"/>
                <w:szCs w:val="1"/>
                <w:color w:val="auto"/>
              </w:rPr>
            </w:pPr>
          </w:p>
        </w:tc>
      </w:tr>
      <w:tr>
        <w:trPr>
          <w:trHeight w:val="310"/>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(6)</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ind w:left="82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316,296</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1,502,406</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(9)</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ind w:left="82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254,958</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1,211,051</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ind w:left="82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126,518</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600,961</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shd w:val="clear" w:color="auto" w:fill="DBDBDB"/>
          </w:tcPr>
          <w:p>
            <w:pPr>
              <w:spacing w:after="0"/>
              <w:rPr>
                <w:sz w:val="24"/>
                <w:szCs w:val="2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DBDBDB"/>
          </w:tcPr>
          <w:p>
            <w:pPr>
              <w:ind w:left="82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54,222</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257,555</w:t>
            </w:r>
          </w:p>
        </w:tc>
        <w:tc>
          <w:tcPr>
            <w:tcW w:w="0" w:type="dxa"/>
            <w:vAlign w:val="bottom"/>
          </w:tcPr>
          <w:p>
            <w:pPr>
              <w:spacing w:after="0"/>
              <w:rPr>
                <w:sz w:val="1"/>
                <w:szCs w:val="1"/>
                <w:color w:val="auto"/>
              </w:rPr>
            </w:pPr>
          </w:p>
        </w:tc>
      </w:tr>
      <w:tr>
        <w:trPr>
          <w:trHeight w:val="333"/>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3/15/2023</w:t>
            </w:r>
          </w:p>
        </w:tc>
        <w:tc>
          <w:tcPr>
            <w:tcW w:w="1340" w:type="dxa"/>
            <w:vAlign w:val="bottom"/>
          </w:tcPr>
          <w:p>
            <w:pPr>
              <w:jc w:val="right"/>
              <w:spacing w:after="0"/>
              <w:rPr>
                <w:sz w:val="20"/>
                <w:szCs w:val="20"/>
                <w:color w:val="auto"/>
              </w:rPr>
            </w:pPr>
            <w:r>
              <w:rPr>
                <w:rFonts w:ascii="Arial" w:cs="Arial" w:eastAsia="Arial" w:hAnsi="Arial"/>
                <w:sz w:val="11"/>
                <w:szCs w:val="11"/>
                <w:color w:val="auto"/>
              </w:rPr>
              <w:t>3/1/2023</w:t>
            </w:r>
            <w:r>
              <w:rPr>
                <w:rFonts w:ascii="Arial" w:cs="Arial" w:eastAsia="Arial" w:hAnsi="Arial"/>
                <w:sz w:val="14"/>
                <w:szCs w:val="14"/>
                <w:color w:val="auto"/>
                <w:vertAlign w:val="superscript"/>
              </w:rPr>
              <w:t>(4)</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3/14/2033</w:t>
            </w:r>
          </w:p>
        </w:tc>
        <w:tc>
          <w:tcPr>
            <w:tcW w:w="680" w:type="dxa"/>
            <w:vAlign w:val="bottom"/>
          </w:tcPr>
          <w:p>
            <w:pPr>
              <w:jc w:val="right"/>
              <w:spacing w:after="0"/>
              <w:rPr>
                <w:sz w:val="20"/>
                <w:szCs w:val="20"/>
                <w:color w:val="auto"/>
              </w:rPr>
            </w:pPr>
            <w:r>
              <w:rPr>
                <w:rFonts w:ascii="Arial" w:cs="Arial" w:eastAsia="Arial" w:hAnsi="Arial"/>
                <w:sz w:val="11"/>
                <w:szCs w:val="11"/>
                <w:color w:val="auto"/>
              </w:rPr>
              <w:t>136,593</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648,817</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3/15/2023</w:t>
            </w:r>
          </w:p>
        </w:tc>
        <w:tc>
          <w:tcPr>
            <w:tcW w:w="1340" w:type="dxa"/>
            <w:vAlign w:val="bottom"/>
          </w:tcPr>
          <w:p>
            <w:pPr>
              <w:jc w:val="right"/>
              <w:spacing w:after="0"/>
              <w:rPr>
                <w:sz w:val="20"/>
                <w:szCs w:val="20"/>
                <w:color w:val="auto"/>
              </w:rPr>
            </w:pPr>
            <w:r>
              <w:rPr>
                <w:rFonts w:ascii="Arial" w:cs="Arial" w:eastAsia="Arial" w:hAnsi="Arial"/>
                <w:sz w:val="11"/>
                <w:szCs w:val="11"/>
                <w:color w:val="auto"/>
              </w:rPr>
              <w:t>2/13/2023</w:t>
            </w:r>
            <w:r>
              <w:rPr>
                <w:rFonts w:ascii="Arial" w:cs="Arial" w:eastAsia="Arial" w:hAnsi="Arial"/>
                <w:sz w:val="14"/>
                <w:szCs w:val="14"/>
                <w:color w:val="auto"/>
                <w:vertAlign w:val="superscript"/>
              </w:rPr>
              <w:t>(5)</w:t>
            </w:r>
          </w:p>
        </w:tc>
        <w:tc>
          <w:tcPr>
            <w:tcW w:w="980" w:type="dxa"/>
            <w:vAlign w:val="bottom"/>
          </w:tcPr>
          <w:p>
            <w:pPr>
              <w:jc w:val="right"/>
              <w:spacing w:after="0"/>
              <w:rPr>
                <w:sz w:val="20"/>
                <w:szCs w:val="20"/>
                <w:color w:val="auto"/>
              </w:rPr>
            </w:pPr>
            <w:r>
              <w:rPr>
                <w:rFonts w:ascii="Arial" w:cs="Arial" w:eastAsia="Arial" w:hAnsi="Arial"/>
                <w:sz w:val="11"/>
                <w:szCs w:val="11"/>
                <w:color w:val="auto"/>
              </w:rPr>
              <w:t>606,652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249,799</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4.07</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3/14/2033</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tcPr>
          <w:p>
            <w:pPr>
              <w:jc w:val="right"/>
              <w:spacing w:after="0"/>
              <w:rPr>
                <w:sz w:val="20"/>
                <w:szCs w:val="20"/>
                <w:color w:val="auto"/>
              </w:rPr>
            </w:pPr>
            <w:r>
              <w:rPr>
                <w:rFonts w:ascii="Arial" w:cs="Arial" w:eastAsia="Arial" w:hAnsi="Arial"/>
                <w:sz w:val="11"/>
                <w:szCs w:val="11"/>
                <w:color w:val="auto"/>
              </w:rPr>
              <w:t>3/1/2024</w:t>
            </w:r>
            <w:r>
              <w:rPr>
                <w:rFonts w:ascii="Arial" w:cs="Arial" w:eastAsia="Arial" w:hAnsi="Arial"/>
                <w:sz w:val="14"/>
                <w:szCs w:val="14"/>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tcPr>
          <w:p>
            <w:pPr>
              <w:jc w:val="right"/>
              <w:spacing w:after="0"/>
              <w:rPr>
                <w:sz w:val="20"/>
                <w:szCs w:val="20"/>
                <w:color w:val="auto"/>
              </w:rPr>
            </w:pPr>
            <w:r>
              <w:rPr>
                <w:rFonts w:ascii="Arial" w:cs="Arial" w:eastAsia="Arial" w:hAnsi="Arial"/>
                <w:sz w:val="11"/>
                <w:szCs w:val="11"/>
                <w:color w:val="auto"/>
              </w:rPr>
              <w:t>184,293</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875,392</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1"/>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54,618</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259,436</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6"/>
              </w:rPr>
              <w:t>Crystal</w:t>
            </w: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800" w:type="dxa"/>
            <w:vAlign w:val="bottom"/>
            <w:tcBorders>
              <w:lef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Sumner</w:t>
            </w:r>
          </w:p>
        </w:tc>
        <w:tc>
          <w:tcPr>
            <w:tcW w:w="780" w:type="dxa"/>
            <w:vAlign w:val="bottom"/>
          </w:tcPr>
          <w:p>
            <w:pPr>
              <w:jc w:val="right"/>
              <w:spacing w:after="0"/>
              <w:rPr>
                <w:sz w:val="20"/>
                <w:szCs w:val="20"/>
                <w:color w:val="auto"/>
              </w:rPr>
            </w:pPr>
            <w:r>
              <w:rPr>
                <w:rFonts w:ascii="Arial" w:cs="Arial" w:eastAsia="Arial" w:hAnsi="Arial"/>
                <w:sz w:val="11"/>
                <w:szCs w:val="11"/>
                <w:color w:val="auto"/>
              </w:rPr>
              <w:t>3/15/2024</w:t>
            </w:r>
          </w:p>
        </w:tc>
        <w:tc>
          <w:tcPr>
            <w:tcW w:w="1340" w:type="dxa"/>
            <w:vAlign w:val="bottom"/>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3/14/2034</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30,585</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145,279</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tcPr>
          <w:p>
            <w:pPr>
              <w:jc w:val="right"/>
              <w:spacing w:after="0"/>
              <w:rPr>
                <w:sz w:val="20"/>
                <w:szCs w:val="20"/>
                <w:color w:val="auto"/>
              </w:rPr>
            </w:pPr>
            <w:r>
              <w:rPr>
                <w:rFonts w:ascii="Arial" w:cs="Arial" w:eastAsia="Arial" w:hAnsi="Arial"/>
                <w:sz w:val="11"/>
                <w:szCs w:val="11"/>
                <w:color w:val="auto"/>
              </w:rPr>
              <w:t>351,366</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1,668,989</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1"/>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tcPr>
          <w:p>
            <w:pPr>
              <w:jc w:val="right"/>
              <w:spacing w:after="0"/>
              <w:rPr>
                <w:sz w:val="20"/>
                <w:szCs w:val="20"/>
                <w:color w:val="auto"/>
              </w:rPr>
            </w:pPr>
            <w:r>
              <w:rPr>
                <w:rFonts w:ascii="Arial" w:cs="Arial" w:eastAsia="Arial" w:hAnsi="Arial"/>
                <w:sz w:val="11"/>
                <w:szCs w:val="11"/>
                <w:color w:val="auto"/>
              </w:rPr>
              <w:t>3/1/2025</w:t>
            </w:r>
            <w:r>
              <w:rPr>
                <w:rFonts w:ascii="Arial" w:cs="Arial" w:eastAsia="Arial" w:hAnsi="Arial"/>
                <w:sz w:val="14"/>
                <w:szCs w:val="14"/>
                <w:color w:val="auto"/>
                <w:vertAlign w:val="superscript"/>
              </w:rPr>
              <w:t>(9)</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tcPr>
          <w:p>
            <w:pPr>
              <w:jc w:val="right"/>
              <w:spacing w:after="0"/>
              <w:rPr>
                <w:sz w:val="20"/>
                <w:szCs w:val="20"/>
                <w:color w:val="auto"/>
              </w:rPr>
            </w:pPr>
            <w:r>
              <w:rPr>
                <w:rFonts w:ascii="Arial" w:cs="Arial" w:eastAsia="Arial" w:hAnsi="Arial"/>
                <w:sz w:val="11"/>
                <w:szCs w:val="11"/>
                <w:color w:val="auto"/>
              </w:rPr>
              <w:t>254,958</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1,211,051</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800" w:type="dxa"/>
            <w:vAlign w:val="bottom"/>
            <w:tcBorders>
              <w:left w:val="single" w:sz="8" w:color="auto"/>
            </w:tcBorders>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tcPr>
          <w:p>
            <w:pPr>
              <w:jc w:val="right"/>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140,546</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667,594</w:t>
            </w:r>
          </w:p>
        </w:tc>
        <w:tc>
          <w:tcPr>
            <w:tcW w:w="0" w:type="dxa"/>
            <w:vAlign w:val="bottom"/>
          </w:tcPr>
          <w:p>
            <w:pPr>
              <w:spacing w:after="0"/>
              <w:rPr>
                <w:sz w:val="1"/>
                <w:szCs w:val="1"/>
                <w:color w:val="auto"/>
              </w:rPr>
            </w:pPr>
          </w:p>
        </w:tc>
      </w:tr>
      <w:tr>
        <w:trPr>
          <w:trHeight w:val="288"/>
        </w:trPr>
        <w:tc>
          <w:tcPr>
            <w:tcW w:w="80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3/15/2025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3/1/2026</w:t>
            </w:r>
            <w:r>
              <w:rPr>
                <w:rFonts w:ascii="Arial" w:cs="Arial" w:eastAsia="Arial" w:hAnsi="Arial"/>
                <w:sz w:val="14"/>
                <w:szCs w:val="14"/>
                <w:color w:val="auto"/>
                <w:vertAlign w:val="superscript"/>
              </w:rPr>
              <w:t>(8)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3/14/2035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60,234</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286,112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right="20" w:hanging="330"/>
        <w:spacing w:after="0" w:line="261" w:lineRule="auto"/>
        <w:tabs>
          <w:tab w:leader="none" w:pos="527" w:val="left"/>
        </w:tabs>
        <w:numPr>
          <w:ilvl w:val="0"/>
          <w:numId w:val="85"/>
        </w:numPr>
        <w:rPr>
          <w:rFonts w:ascii="Arial" w:cs="Arial" w:eastAsia="Arial" w:hAnsi="Arial"/>
          <w:sz w:val="14"/>
          <w:szCs w:val="14"/>
          <w:color w:val="auto"/>
        </w:rPr>
      </w:pPr>
      <w:r>
        <w:rPr>
          <w:rFonts w:ascii="Arial" w:cs="Arial" w:eastAsia="Arial" w:hAnsi="Arial"/>
          <w:sz w:val="14"/>
          <w:szCs w:val="14"/>
          <w:color w:val="auto"/>
        </w:rPr>
        <w:t>Stock Options are subject to the terms of our 2021 Plan. Shares underlying each award granted under our 2021 Plan are shares of Class A common stock of the Company.</w:t>
      </w:r>
    </w:p>
    <w:p>
      <w:pPr>
        <w:spacing w:after="0" w:line="176" w:lineRule="exact"/>
        <w:rPr>
          <w:rFonts w:ascii="Arial" w:cs="Arial" w:eastAsia="Arial" w:hAnsi="Arial"/>
          <w:sz w:val="14"/>
          <w:szCs w:val="14"/>
          <w:color w:val="auto"/>
        </w:rPr>
      </w:pPr>
    </w:p>
    <w:p>
      <w:pPr>
        <w:jc w:val="both"/>
        <w:ind w:left="500" w:right="20" w:hanging="330"/>
        <w:spacing w:after="0" w:line="261" w:lineRule="auto"/>
        <w:tabs>
          <w:tab w:leader="none" w:pos="487" w:val="left"/>
        </w:tabs>
        <w:numPr>
          <w:ilvl w:val="0"/>
          <w:numId w:val="85"/>
        </w:numPr>
        <w:rPr>
          <w:rFonts w:ascii="Arial" w:cs="Arial" w:eastAsia="Arial" w:hAnsi="Arial"/>
          <w:sz w:val="14"/>
          <w:szCs w:val="14"/>
          <w:color w:val="auto"/>
        </w:rPr>
      </w:pPr>
      <w:r>
        <w:rPr>
          <w:rFonts w:ascii="Arial" w:cs="Arial" w:eastAsia="Arial" w:hAnsi="Arial"/>
          <w:sz w:val="14"/>
          <w:szCs w:val="14"/>
          <w:color w:val="auto"/>
        </w:rPr>
        <w:t>If the NEO is terminated without Cause or resigns with Good Reason (both such terms as defined in the applicable award agreement) in either case within 3 months before or 12 months after the consummation of a Sale Event (as defined in our 2021 Plan), then, subject to delivering a fully executed and effective general release of claims, 100 percent (100%) of the shares subject to the NEO’s outstanding equity awards shall vest as of such termination date or, if later, the Sale Event.</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Quarterly vest dates are March 1, June 1, September 1, and December 1.</w:t>
      </w:r>
    </w:p>
    <w:p>
      <w:pPr>
        <w:spacing w:after="0" w:line="1" w:lineRule="exact"/>
        <w:rPr>
          <w:rFonts w:ascii="Arial" w:cs="Arial" w:eastAsia="Arial" w:hAnsi="Arial"/>
          <w:sz w:val="14"/>
          <w:szCs w:val="14"/>
          <w:color w:val="auto"/>
        </w:rPr>
      </w:pPr>
    </w:p>
    <w:p>
      <w:pPr>
        <w:ind w:left="500" w:right="40" w:hanging="330"/>
        <w:spacing w:after="0" w:line="261" w:lineRule="auto"/>
        <w:tabs>
          <w:tab w:leader="none" w:pos="473" w:val="left"/>
        </w:tabs>
        <w:numPr>
          <w:ilvl w:val="0"/>
          <w:numId w:val="85"/>
        </w:numPr>
        <w:rPr>
          <w:rFonts w:ascii="Arial" w:cs="Arial" w:eastAsia="Arial" w:hAnsi="Arial"/>
          <w:sz w:val="14"/>
          <w:szCs w:val="14"/>
          <w:color w:val="auto"/>
        </w:rPr>
      </w:pPr>
      <w:r>
        <w:rPr>
          <w:rFonts w:ascii="Arial" w:cs="Arial" w:eastAsia="Arial" w:hAnsi="Arial"/>
          <w:sz w:val="14"/>
          <w:szCs w:val="14"/>
          <w:color w:val="auto"/>
        </w:rPr>
        <w:t>Twenty-five percent (25%) of the RSUs vest on the first anniversary of the vesting commencement date and 1/16th of the remaining RSUs vest on each quarterly vest date thereafter, subject to the NEO's continuous service relationship with the Company through each applicable vesting date.</w:t>
      </w:r>
    </w:p>
    <w:p>
      <w:pPr>
        <w:ind w:left="500" w:right="40" w:hanging="330"/>
        <w:spacing w:after="0" w:line="261" w:lineRule="auto"/>
        <w:tabs>
          <w:tab w:leader="none" w:pos="48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Twenty-five (25%) of the shares subject to the Stock Option vest on the first anniversary of the vesting commencement date and 1/48 of the shares subject to the Stock Option vest monthly thereafter, subject to the NEO’s continuous service relationship with the Company through each applicable vesting date.</w:t>
      </w:r>
    </w:p>
    <w:p>
      <w:pPr>
        <w:ind w:left="500" w:right="40" w:hanging="330"/>
        <w:spacing w:after="0" w:line="251" w:lineRule="auto"/>
        <w:tabs>
          <w:tab w:leader="none" w:pos="487"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One-twelfth (1/12th) of the RSUs vest on each quarterly vesting date that occurs after the vesting commencement date, subject to the NEO’s continuous service relationship with the Company through each applicable vesting date.</w:t>
      </w:r>
    </w:p>
    <w:p>
      <w:pPr>
        <w:ind w:left="500" w:right="20" w:hanging="330"/>
        <w:spacing w:after="0" w:line="261" w:lineRule="auto"/>
        <w:tabs>
          <w:tab w:leader="none" w:pos="487"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 thirty-sixth (1/36th) of the shares subject to the Stock Option vest each month following the vesting commencement date, subject to the NEO’s continuous service relationship with the Company through each applicable vesting date.</w:t>
      </w:r>
    </w:p>
    <w:p>
      <w:pPr>
        <w:ind w:left="500" w:right="20" w:hanging="330"/>
        <w:spacing w:after="0" w:line="251" w:lineRule="auto"/>
        <w:tabs>
          <w:tab w:leader="none" w:pos="487"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One-third (1/3) of the earned PSUs vest on the vesting commencement date, and one-twelfth (1/12) of the earned PSUs vest on each quarterly vesting date that occurs after the vesting commencement date, subject to the NEO’s continuous service relationship with the Company through each applicable vesting date.</w:t>
      </w:r>
    </w:p>
    <w:p>
      <w:pPr>
        <w:ind w:left="480" w:hanging="310"/>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100% of the RSUs vested on the date that was six months following the CEO Appointment Date.</w:t>
      </w:r>
    </w:p>
    <w:p>
      <w:pPr>
        <w:spacing w:after="0" w:line="14" w:lineRule="exact"/>
        <w:rPr>
          <w:rFonts w:ascii="Arial" w:cs="Arial" w:eastAsia="Arial" w:hAnsi="Arial"/>
          <w:sz w:val="14"/>
          <w:szCs w:val="14"/>
          <w:color w:val="auto"/>
        </w:rPr>
      </w:pPr>
    </w:p>
    <w:p>
      <w:pPr>
        <w:ind w:left="500" w:right="20" w:hanging="330"/>
        <w:spacing w:after="0" w:line="261" w:lineRule="auto"/>
        <w:tabs>
          <w:tab w:leader="none" w:pos="513"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One-third (1/3rd) of the RSUs vest on the first anniversary of the vesting commencement date and 1/12th of the RSUs vest on each quarterly vest date thereafter, subject to the NEO's continuous service relationship with the Company through each applicable vesting date.</w:t>
      </w:r>
    </w:p>
    <w:p>
      <w:pPr>
        <w:ind w:left="500" w:right="20" w:hanging="330"/>
        <w:spacing w:after="0" w:line="284" w:lineRule="auto"/>
        <w:tabs>
          <w:tab w:leader="none" w:pos="543"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One-third (1/3rd) of the shares subject to the Stock Option vest on the first anniversary of the vesting commencement date and 1/36th of the shares subject to the Stock Option vest on the 15th of each month thereafter, subject to the NEO's continuous service relationship with the Company through each applicable vesting date.</w:t>
      </w:r>
    </w:p>
    <w:p>
      <w:pPr>
        <w:spacing w:after="0" w:line="200" w:lineRule="exact"/>
        <w:rPr>
          <w:sz w:val="20"/>
          <w:szCs w:val="20"/>
          <w:color w:val="auto"/>
        </w:rPr>
      </w:pPr>
    </w:p>
    <w:p>
      <w:pPr>
        <w:spacing w:after="0" w:line="32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5" w:right="31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sets forth the number of shares of common stock acquired during fiscal year 2025 by our NEOs upon the exercise of Stock Options or upon the vesting of RSUs, as well as the value realized upon such equity award transactions.</w:t>
      </w:r>
    </w:p>
    <w:p>
      <w:pPr>
        <w:spacing w:after="0" w:line="71" w:lineRule="exact"/>
        <w:rPr>
          <w:sz w:val="20"/>
          <w:szCs w:val="20"/>
          <w:color w:val="auto"/>
        </w:rPr>
      </w:pPr>
    </w:p>
    <w:tbl>
      <w:tblPr>
        <w:tblLayout w:type="fixed"/>
        <w:tblInd w:w="2370" w:type="dxa"/>
        <w:tblCellMar>
          <w:top w:w="0" w:type="dxa"/>
          <w:left w:w="0" w:type="dxa"/>
          <w:bottom w:w="0" w:type="dxa"/>
          <w:right w:w="0" w:type="dxa"/>
        </w:tblCellMar>
      </w:tblPr>
      <w:tr>
        <w:trPr>
          <w:trHeight w:val="214"/>
        </w:trPr>
        <w:tc>
          <w:tcPr>
            <w:tcW w:w="2580" w:type="dxa"/>
            <w:vAlign w:val="bottom"/>
            <w:tcBorders>
              <w:top w:val="single" w:sz="8" w:color="auto"/>
              <w:left w:val="single" w:sz="8" w:color="auto"/>
            </w:tcBorders>
            <w:shd w:val="clear" w:color="auto" w:fill="929292"/>
          </w:tcPr>
          <w:p>
            <w:pPr>
              <w:spacing w:after="0"/>
              <w:rPr>
                <w:sz w:val="18"/>
                <w:szCs w:val="18"/>
                <w:color w:val="auto"/>
              </w:rPr>
            </w:pPr>
          </w:p>
        </w:tc>
        <w:tc>
          <w:tcPr>
            <w:tcW w:w="3980" w:type="dxa"/>
            <w:vAlign w:val="bottom"/>
            <w:tcBorders>
              <w:top w:val="single" w:sz="8" w:color="auto"/>
              <w:right w:val="single" w:sz="8" w:color="auto"/>
            </w:tcBorders>
            <w:gridSpan w:val="2"/>
            <w:shd w:val="clear" w:color="auto" w:fill="929292"/>
          </w:tcPr>
          <w:p>
            <w:pPr>
              <w:jc w:val="right"/>
              <w:ind w:right="1413"/>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68"/>
        </w:trPr>
        <w:tc>
          <w:tcPr>
            <w:tcW w:w="2580" w:type="dxa"/>
            <w:vAlign w:val="bottom"/>
            <w:tcBorders>
              <w:left w:val="single" w:sz="8" w:color="auto"/>
            </w:tcBorders>
            <w:shd w:val="clear" w:color="auto" w:fill="929292"/>
          </w:tcPr>
          <w:p>
            <w:pPr>
              <w:spacing w:after="0"/>
              <w:rPr>
                <w:sz w:val="14"/>
                <w:szCs w:val="14"/>
                <w:color w:val="auto"/>
              </w:rPr>
            </w:pPr>
          </w:p>
        </w:tc>
        <w:tc>
          <w:tcPr>
            <w:tcW w:w="2080" w:type="dxa"/>
            <w:vAlign w:val="bottom"/>
            <w:shd w:val="clear" w:color="auto" w:fill="929292"/>
          </w:tcPr>
          <w:p>
            <w:pPr>
              <w:jc w:val="center"/>
              <w:ind w:left="32"/>
              <w:spacing w:after="0"/>
              <w:rPr>
                <w:sz w:val="20"/>
                <w:szCs w:val="20"/>
                <w:color w:val="auto"/>
              </w:rPr>
            </w:pPr>
            <w:r>
              <w:rPr>
                <w:rFonts w:ascii="Arial" w:cs="Arial" w:eastAsia="Arial" w:hAnsi="Arial"/>
                <w:sz w:val="14"/>
                <w:szCs w:val="14"/>
                <w:b w:val="1"/>
                <w:bCs w:val="1"/>
                <w:color w:val="FFFFFF"/>
              </w:rPr>
              <w:t>Number of Shares Acquired</w:t>
            </w:r>
          </w:p>
        </w:tc>
        <w:tc>
          <w:tcPr>
            <w:tcW w:w="1900" w:type="dxa"/>
            <w:vAlign w:val="bottom"/>
            <w:tcBorders>
              <w:right w:val="single" w:sz="8" w:color="auto"/>
            </w:tcBorders>
            <w:shd w:val="clear" w:color="auto" w:fill="929292"/>
          </w:tcPr>
          <w:p>
            <w:pPr>
              <w:jc w:val="right"/>
              <w:ind w:right="33"/>
              <w:spacing w:after="0"/>
              <w:rPr>
                <w:sz w:val="20"/>
                <w:szCs w:val="20"/>
                <w:color w:val="auto"/>
              </w:rPr>
            </w:pPr>
            <w:r>
              <w:rPr>
                <w:rFonts w:ascii="Arial" w:cs="Arial" w:eastAsia="Arial" w:hAnsi="Arial"/>
                <w:sz w:val="14"/>
                <w:szCs w:val="14"/>
                <w:b w:val="1"/>
                <w:bCs w:val="1"/>
                <w:color w:val="FFFFFF"/>
              </w:rPr>
              <w:t>Value Realized on Vesting</w:t>
            </w:r>
          </w:p>
        </w:tc>
        <w:tc>
          <w:tcPr>
            <w:tcW w:w="0" w:type="dxa"/>
            <w:vAlign w:val="bottom"/>
          </w:tcPr>
          <w:p>
            <w:pPr>
              <w:spacing w:after="0"/>
              <w:rPr>
                <w:sz w:val="1"/>
                <w:szCs w:val="1"/>
                <w:color w:val="auto"/>
              </w:rPr>
            </w:pPr>
          </w:p>
        </w:tc>
      </w:tr>
      <w:tr>
        <w:trPr>
          <w:trHeight w:val="146"/>
        </w:trPr>
        <w:tc>
          <w:tcPr>
            <w:tcW w:w="2580" w:type="dxa"/>
            <w:vAlign w:val="bottom"/>
            <w:tcBorders>
              <w:lef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w w:val="99"/>
              </w:rPr>
              <w:t>Name</w:t>
            </w:r>
          </w:p>
        </w:tc>
        <w:tc>
          <w:tcPr>
            <w:tcW w:w="2080" w:type="dxa"/>
            <w:vAlign w:val="bottom"/>
            <w:shd w:val="clear" w:color="auto" w:fill="929292"/>
          </w:tcPr>
          <w:p>
            <w:pPr>
              <w:jc w:val="center"/>
              <w:ind w:left="12"/>
              <w:spacing w:after="0" w:line="146" w:lineRule="exact"/>
              <w:rPr>
                <w:sz w:val="20"/>
                <w:szCs w:val="20"/>
                <w:color w:val="auto"/>
              </w:rPr>
            </w:pPr>
            <w:r>
              <w:rPr>
                <w:rFonts w:ascii="Arial" w:cs="Arial" w:eastAsia="Arial" w:hAnsi="Arial"/>
                <w:sz w:val="14"/>
                <w:szCs w:val="14"/>
                <w:b w:val="1"/>
                <w:bCs w:val="1"/>
                <w:color w:val="FFFFFF"/>
              </w:rPr>
              <w:t>on Vesting of RSUs</w:t>
            </w:r>
          </w:p>
        </w:tc>
        <w:tc>
          <w:tcPr>
            <w:tcW w:w="1900" w:type="dxa"/>
            <w:vAlign w:val="bottom"/>
            <w:tcBorders>
              <w:right w:val="single" w:sz="8" w:color="auto"/>
            </w:tcBorders>
            <w:shd w:val="clear" w:color="auto" w:fill="929292"/>
          </w:tcPr>
          <w:p>
            <w:pPr>
              <w:jc w:val="right"/>
              <w:ind w:right="633"/>
              <w:spacing w:after="0" w:line="146" w:lineRule="exact"/>
              <w:rPr>
                <w:sz w:val="20"/>
                <w:szCs w:val="20"/>
                <w:color w:val="auto"/>
              </w:rPr>
            </w:pPr>
            <w:r>
              <w:rPr>
                <w:rFonts w:ascii="Arial" w:cs="Arial" w:eastAsia="Arial" w:hAnsi="Arial"/>
                <w:sz w:val="14"/>
                <w:szCs w:val="14"/>
                <w:b w:val="1"/>
                <w:bCs w:val="1"/>
                <w:color w:val="FFFFFF"/>
              </w:rPr>
              <w:t>of RSUs</w:t>
            </w:r>
          </w:p>
        </w:tc>
        <w:tc>
          <w:tcPr>
            <w:tcW w:w="0" w:type="dxa"/>
            <w:vAlign w:val="bottom"/>
          </w:tcPr>
          <w:p>
            <w:pPr>
              <w:spacing w:after="0"/>
              <w:rPr>
                <w:sz w:val="1"/>
                <w:szCs w:val="1"/>
                <w:color w:val="auto"/>
              </w:rPr>
            </w:pPr>
          </w:p>
        </w:tc>
      </w:tr>
      <w:tr>
        <w:trPr>
          <w:trHeight w:val="187"/>
        </w:trPr>
        <w:tc>
          <w:tcPr>
            <w:tcW w:w="2580" w:type="dxa"/>
            <w:vAlign w:val="bottom"/>
            <w:tcBorders>
              <w:left w:val="single" w:sz="8" w:color="auto"/>
              <w:bottom w:val="single" w:sz="8" w:color="auto"/>
            </w:tcBorders>
            <w:vMerge w:val="continue"/>
            <w:shd w:val="clear" w:color="auto" w:fill="929292"/>
          </w:tcPr>
          <w:p>
            <w:pPr>
              <w:spacing w:after="0"/>
              <w:rPr>
                <w:sz w:val="16"/>
                <w:szCs w:val="16"/>
                <w:color w:val="auto"/>
              </w:rPr>
            </w:pPr>
          </w:p>
        </w:tc>
        <w:tc>
          <w:tcPr>
            <w:tcW w:w="2080" w:type="dxa"/>
            <w:vAlign w:val="bottom"/>
            <w:tcBorders>
              <w:bottom w:val="single" w:sz="8" w:color="auto"/>
            </w:tcBorders>
            <w:shd w:val="clear" w:color="auto" w:fill="929292"/>
          </w:tcPr>
          <w:p>
            <w:pPr>
              <w:jc w:val="center"/>
              <w:ind w:left="12"/>
              <w:spacing w:after="0" w:line="188"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(1)</w:t>
            </w:r>
          </w:p>
        </w:tc>
        <w:tc>
          <w:tcPr>
            <w:tcW w:w="1900" w:type="dxa"/>
            <w:vAlign w:val="bottom"/>
            <w:tcBorders>
              <w:bottom w:val="single" w:sz="8" w:color="auto"/>
              <w:right w:val="single" w:sz="8" w:color="auto"/>
            </w:tcBorders>
            <w:shd w:val="clear" w:color="auto" w:fill="929292"/>
          </w:tcPr>
          <w:p>
            <w:pPr>
              <w:jc w:val="right"/>
              <w:ind w:right="753"/>
              <w:spacing w:after="0" w:line="188"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(2)</w:t>
            </w:r>
          </w:p>
        </w:tc>
        <w:tc>
          <w:tcPr>
            <w:tcW w:w="0" w:type="dxa"/>
            <w:vAlign w:val="bottom"/>
          </w:tcPr>
          <w:p>
            <w:pPr>
              <w:spacing w:after="0"/>
              <w:rPr>
                <w:sz w:val="1"/>
                <w:szCs w:val="1"/>
                <w:color w:val="auto"/>
              </w:rPr>
            </w:pPr>
          </w:p>
        </w:tc>
      </w:tr>
      <w:tr>
        <w:trPr>
          <w:trHeight w:val="192"/>
        </w:trPr>
        <w:tc>
          <w:tcPr>
            <w:tcW w:w="25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rPr>
              <w:t>Mike Milotich</w:t>
            </w:r>
          </w:p>
        </w:tc>
        <w:tc>
          <w:tcPr>
            <w:tcW w:w="2080" w:type="dxa"/>
            <w:vAlign w:val="bottom"/>
          </w:tcPr>
          <w:p>
            <w:pPr>
              <w:jc w:val="right"/>
              <w:ind w:right="32"/>
              <w:spacing w:after="0"/>
              <w:rPr>
                <w:sz w:val="20"/>
                <w:szCs w:val="20"/>
                <w:color w:val="auto"/>
              </w:rPr>
            </w:pPr>
            <w:r>
              <w:rPr>
                <w:rFonts w:ascii="Arial" w:cs="Arial" w:eastAsia="Arial" w:hAnsi="Arial"/>
                <w:sz w:val="14"/>
                <w:szCs w:val="14"/>
                <w:color w:val="auto"/>
              </w:rPr>
              <w:t>865,002</w:t>
            </w:r>
          </w:p>
        </w:tc>
        <w:tc>
          <w:tcPr>
            <w:tcW w:w="190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4,336,236</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Simon Khalaf</w:t>
            </w:r>
          </w:p>
        </w:tc>
        <w:tc>
          <w:tcPr>
            <w:tcW w:w="2080" w:type="dxa"/>
            <w:vAlign w:val="bottom"/>
            <w:shd w:val="clear" w:color="auto" w:fill="DBDBDB"/>
          </w:tcPr>
          <w:p>
            <w:pPr>
              <w:jc w:val="right"/>
              <w:ind w:right="32"/>
              <w:spacing w:after="0"/>
              <w:rPr>
                <w:sz w:val="20"/>
                <w:szCs w:val="20"/>
                <w:color w:val="auto"/>
              </w:rPr>
            </w:pPr>
            <w:r>
              <w:rPr>
                <w:rFonts w:ascii="Arial" w:cs="Arial" w:eastAsia="Arial" w:hAnsi="Arial"/>
                <w:sz w:val="14"/>
                <w:szCs w:val="14"/>
                <w:color w:val="auto"/>
              </w:rPr>
              <w:t>429,796</w:t>
            </w:r>
          </w:p>
        </w:tc>
        <w:tc>
          <w:tcPr>
            <w:tcW w:w="1900" w:type="dxa"/>
            <w:vAlign w:val="bottom"/>
            <w:tcBorders>
              <w:right w:val="single" w:sz="8" w:color="auto"/>
            </w:tcBorders>
            <w:shd w:val="clear" w:color="auto" w:fill="DBDBDB"/>
          </w:tcPr>
          <w:p>
            <w:pPr>
              <w:jc w:val="right"/>
              <w:ind w:right="13"/>
              <w:spacing w:after="0"/>
              <w:rPr>
                <w:sz w:val="20"/>
                <w:szCs w:val="20"/>
                <w:color w:val="auto"/>
              </w:rPr>
            </w:pPr>
            <w:r>
              <w:rPr>
                <w:rFonts w:ascii="Arial" w:cs="Arial" w:eastAsia="Arial" w:hAnsi="Arial"/>
                <w:sz w:val="14"/>
                <w:szCs w:val="14"/>
                <w:color w:val="auto"/>
              </w:rPr>
              <w:t>1,775,057</w:t>
            </w:r>
          </w:p>
        </w:tc>
        <w:tc>
          <w:tcPr>
            <w:tcW w:w="0" w:type="dxa"/>
            <w:vAlign w:val="bottom"/>
          </w:tcPr>
          <w:p>
            <w:pPr>
              <w:spacing w:after="0"/>
              <w:rPr>
                <w:sz w:val="1"/>
                <w:szCs w:val="1"/>
                <w:color w:val="auto"/>
              </w:rPr>
            </w:pPr>
          </w:p>
        </w:tc>
      </w:tr>
      <w:tr>
        <w:trPr>
          <w:trHeight w:val="198"/>
        </w:trPr>
        <w:tc>
          <w:tcPr>
            <w:tcW w:w="25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rPr>
              <w:t>Todd Pollak</w:t>
            </w:r>
          </w:p>
        </w:tc>
        <w:tc>
          <w:tcPr>
            <w:tcW w:w="2080" w:type="dxa"/>
            <w:vAlign w:val="bottom"/>
          </w:tcPr>
          <w:p>
            <w:pPr>
              <w:jc w:val="right"/>
              <w:ind w:right="32"/>
              <w:spacing w:after="0"/>
              <w:rPr>
                <w:sz w:val="20"/>
                <w:szCs w:val="20"/>
                <w:color w:val="auto"/>
              </w:rPr>
            </w:pPr>
            <w:r>
              <w:rPr>
                <w:rFonts w:ascii="Arial" w:cs="Arial" w:eastAsia="Arial" w:hAnsi="Arial"/>
                <w:sz w:val="14"/>
                <w:szCs w:val="14"/>
                <w:color w:val="auto"/>
              </w:rPr>
              <w:t>603,617</w:t>
            </w:r>
          </w:p>
        </w:tc>
        <w:tc>
          <w:tcPr>
            <w:tcW w:w="190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3,050,585</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Crystal Sumner</w:t>
            </w:r>
          </w:p>
        </w:tc>
        <w:tc>
          <w:tcPr>
            <w:tcW w:w="208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4"/>
                <w:szCs w:val="14"/>
                <w:color w:val="auto"/>
              </w:rPr>
              <w:t>493,108</w:t>
            </w:r>
          </w:p>
        </w:tc>
        <w:tc>
          <w:tcPr>
            <w:tcW w:w="1900" w:type="dxa"/>
            <w:vAlign w:val="bottom"/>
            <w:tcBorders>
              <w:bottom w:val="single" w:sz="8" w:color="auto"/>
              <w:right w:val="single" w:sz="8" w:color="auto"/>
            </w:tcBorders>
            <w:shd w:val="clear" w:color="auto" w:fill="DBDBDB"/>
          </w:tcPr>
          <w:p>
            <w:pPr>
              <w:jc w:val="right"/>
              <w:ind w:right="13"/>
              <w:spacing w:after="0"/>
              <w:rPr>
                <w:sz w:val="20"/>
                <w:szCs w:val="20"/>
                <w:color w:val="auto"/>
              </w:rPr>
            </w:pPr>
            <w:r>
              <w:rPr>
                <w:rFonts w:ascii="Arial" w:cs="Arial" w:eastAsia="Arial" w:hAnsi="Arial"/>
                <w:sz w:val="14"/>
                <w:szCs w:val="14"/>
                <w:color w:val="auto"/>
              </w:rPr>
              <w:t>2,488,102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-848360</wp:posOffset>
            </wp:positionV>
            <wp:extent cx="24517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5" w:lineRule="exact"/>
        <w:rPr>
          <w:sz w:val="20"/>
          <w:szCs w:val="20"/>
          <w:color w:val="auto"/>
        </w:rPr>
      </w:pPr>
    </w:p>
    <w:p>
      <w:pPr>
        <w:jc w:val="both"/>
        <w:ind w:left="500" w:hanging="330"/>
        <w:spacing w:after="0" w:line="261" w:lineRule="auto"/>
        <w:tabs>
          <w:tab w:leader="none" w:pos="527"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the aggregate number of shares of Class A common stock underlying RSUs that vested in fiscal year 2025. Of the amounts shown for Messrs. Milotich, Khalaf, and Pollak and Ms. Sumner, 472,624, 200,260, 330,349, and 269,392 shares of Class A common stock, respectively, were withheld to cover tax withholding obligations upon vesting.</w:t>
      </w:r>
    </w:p>
    <w:p>
      <w:pPr>
        <w:spacing w:after="0" w:line="1" w:lineRule="exact"/>
        <w:rPr>
          <w:rFonts w:ascii="Arial" w:cs="Arial" w:eastAsia="Arial" w:hAnsi="Arial"/>
          <w:sz w:val="14"/>
          <w:szCs w:val="14"/>
          <w:color w:val="auto"/>
        </w:rPr>
      </w:pPr>
    </w:p>
    <w:p>
      <w:pPr>
        <w:jc w:val="both"/>
        <w:ind w:left="500" w:hanging="330"/>
        <w:spacing w:after="0" w:line="269" w:lineRule="auto"/>
        <w:tabs>
          <w:tab w:leader="none" w:pos="487" w:val="left"/>
        </w:tabs>
        <w:numPr>
          <w:ilvl w:val="0"/>
          <w:numId w:val="86"/>
        </w:numPr>
        <w:rPr>
          <w:rFonts w:ascii="Arial" w:cs="Arial" w:eastAsia="Arial" w:hAnsi="Arial"/>
          <w:sz w:val="14"/>
          <w:szCs w:val="14"/>
          <w:color w:val="auto"/>
        </w:rPr>
      </w:pPr>
      <w:r>
        <w:rPr>
          <w:rFonts w:ascii="Arial" w:cs="Arial" w:eastAsia="Arial" w:hAnsi="Arial"/>
          <w:sz w:val="14"/>
          <w:szCs w:val="14"/>
          <w:color w:val="auto"/>
        </w:rPr>
        <w:t>Calculated by multiplying (i) the fair market value of Class A common stock on the vesting date, which was determined using the closing price on Nasdaq of a share of Class A common stock on the date of vest, or if such day is a holiday, on the next trading day, by (ii) the number of shares of common stock acquired upon vesting. Of the amounts shown for Messrs. Milotich, Khalaf, and Pollak and Ms. Sumner, $2,369,496, $827,074, $1,669,803, and $1,359,517 respectively, represents the value of shares withheld or sold to cover tax withholding obligations upon vesting.</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Aside from our 401(k) plan, we do not maintain any pension plan or arrangement under which our NEOs are entitled to participate or receive post-retirement benefits.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non-qualified deferred compensation plans or arrangements under which our NEOs are entitled to participate.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on Termination or Change of Control</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Executive Severance Plan provides our executive officers and certain key employees with certain post-employment payments and benefits in the event of a qualifying termination of employment, including in connection with a change in control of the Company. It provides that upon (i) a termination of a participant’s employment by us for any reason other than for “cause,” death, or disability, or (ii) a resignation of employment by the participant for “good reason” (as each term is defined in the Executive Severance Plan):</w:t>
      </w:r>
    </w:p>
    <w:p>
      <w:pPr>
        <w:spacing w:after="0" w:line="68" w:lineRule="exact"/>
        <w:rPr>
          <w:sz w:val="20"/>
          <w:szCs w:val="20"/>
          <w:color w:val="auto"/>
        </w:rPr>
      </w:pPr>
    </w:p>
    <w:p>
      <w:pPr>
        <w:jc w:val="both"/>
        <w:ind w:left="660" w:hanging="4"/>
        <w:spacing w:after="0" w:line="268" w:lineRule="auto"/>
        <w:tabs>
          <w:tab w:leader="none" w:pos="9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participant (other than our Chief Executive Officer) will be entitled to receive (1) a lump sum cash payment equal to nine months of his/her base salary, (2) continued health coverage pursuant to COBRA for up to nine months, and (3) a lump sum cash amount equal to 75% of the participant’s annual target bonus;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9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Chief Executive Officer will be entitled to receive (1) a lump sum cash payment equal to 12 months of his/her base salary, (2) continued health coverage pursuant to COBRA for up to 12 months, and (3) a lump sum amount equal to 100% of his/her annual target bonus.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these benefits, if such termination occurs within three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w:t>
      </w:r>
    </w:p>
    <w:p>
      <w:pPr>
        <w:spacing w:after="0" w:line="336"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0" w:name="page61"/>
    <w:bookmarkEnd w:id="60"/>
    <w:p>
      <w:pPr>
        <w:jc w:val="both"/>
        <w:spacing w:after="0" w:line="262" w:lineRule="auto"/>
        <w:rPr>
          <w:sz w:val="20"/>
          <w:szCs w:val="20"/>
          <w:color w:val="auto"/>
        </w:rPr>
      </w:pPr>
      <w:r>
        <w:rPr>
          <w:rFonts w:ascii="Arial" w:cs="Arial" w:eastAsia="Arial" w:hAnsi="Arial"/>
          <w:sz w:val="18"/>
          <w:szCs w:val="18"/>
          <w:color w:val="auto"/>
        </w:rPr>
        <w:t>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estimated payments and benefits that would be provided to our NEOs upon termination and a change in control under our plans and arrangements with our NEOs described above except with respect to Mr. Khalaf, whose service as our Chief Executive Officer terminated on February 24, 2025, whose payments and benefits pursuant to the terms of their respective separation agreements with the Company, are disclosed in the section entitled “Executive Employment Arrangements” above.</w:t>
      </w:r>
    </w:p>
    <w:p>
      <w:pPr>
        <w:spacing w:after="0" w:line="94"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2200" w:type="dxa"/>
            <w:vAlign w:val="bottom"/>
            <w:tcBorders>
              <w:top w:val="single" w:sz="8" w:color="auto"/>
              <w:left w:val="single" w:sz="8" w:color="auto"/>
            </w:tcBorders>
            <w:shd w:val="clear" w:color="auto" w:fill="929292"/>
          </w:tcPr>
          <w:p>
            <w:pPr>
              <w:spacing w:after="0"/>
              <w:rPr>
                <w:sz w:val="14"/>
                <w:szCs w:val="14"/>
                <w:color w:val="auto"/>
              </w:rPr>
            </w:pPr>
          </w:p>
        </w:tc>
        <w:tc>
          <w:tcPr>
            <w:tcW w:w="6720" w:type="dxa"/>
            <w:vAlign w:val="bottom"/>
            <w:tcBorders>
              <w:top w:val="single" w:sz="8" w:color="auto"/>
            </w:tcBorders>
            <w:gridSpan w:val="4"/>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Termination Without Cause or Resignation for Good Reason</w:t>
            </w:r>
          </w:p>
        </w:tc>
        <w:tc>
          <w:tcPr>
            <w:tcW w:w="2300" w:type="dxa"/>
            <w:vAlign w:val="bottom"/>
            <w:tcBorders>
              <w:top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In Connection with a Change in</w:t>
            </w:r>
          </w:p>
        </w:tc>
        <w:tc>
          <w:tcPr>
            <w:tcW w:w="0" w:type="dxa"/>
            <w:vAlign w:val="bottom"/>
          </w:tcPr>
          <w:p>
            <w:pPr>
              <w:spacing w:after="0"/>
              <w:rPr>
                <w:sz w:val="1"/>
                <w:szCs w:val="1"/>
                <w:color w:val="auto"/>
              </w:rPr>
            </w:pPr>
          </w:p>
        </w:tc>
      </w:tr>
      <w:tr>
        <w:trPr>
          <w:trHeight w:val="185"/>
        </w:trPr>
        <w:tc>
          <w:tcPr>
            <w:tcW w:w="2200" w:type="dxa"/>
            <w:vAlign w:val="bottom"/>
            <w:tcBorders>
              <w:left w:val="single" w:sz="8" w:color="auto"/>
            </w:tcBorders>
            <w:shd w:val="clear" w:color="auto" w:fill="929292"/>
          </w:tcPr>
          <w:p>
            <w:pPr>
              <w:spacing w:after="0"/>
              <w:rPr>
                <w:sz w:val="16"/>
                <w:szCs w:val="16"/>
                <w:color w:val="auto"/>
              </w:rPr>
            </w:pPr>
          </w:p>
        </w:tc>
        <w:tc>
          <w:tcPr>
            <w:tcW w:w="6720" w:type="dxa"/>
            <w:vAlign w:val="bottom"/>
            <w:gridSpan w:val="4"/>
            <w:vMerge w:val="continue"/>
            <w:shd w:val="clear" w:color="auto" w:fill="929292"/>
          </w:tcPr>
          <w:p>
            <w:pPr>
              <w:spacing w:after="0"/>
              <w:rPr>
                <w:sz w:val="16"/>
                <w:szCs w:val="16"/>
                <w:color w:val="auto"/>
              </w:rPr>
            </w:pPr>
          </w:p>
        </w:tc>
        <w:tc>
          <w:tcPr>
            <w:tcW w:w="230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166"/>
        </w:trPr>
        <w:tc>
          <w:tcPr>
            <w:tcW w:w="2200" w:type="dxa"/>
            <w:vAlign w:val="bottom"/>
            <w:tcBorders>
              <w:left w:val="single" w:sz="8" w:color="auto"/>
            </w:tcBorders>
            <w:shd w:val="clear" w:color="auto" w:fill="929292"/>
          </w:tcPr>
          <w:p>
            <w:pPr>
              <w:spacing w:after="0"/>
              <w:rPr>
                <w:sz w:val="14"/>
                <w:szCs w:val="14"/>
                <w:color w:val="auto"/>
              </w:rPr>
            </w:pPr>
          </w:p>
        </w:tc>
        <w:tc>
          <w:tcPr>
            <w:tcW w:w="1620" w:type="dxa"/>
            <w:vAlign w:val="bottom"/>
            <w:vMerge w:val="restart"/>
            <w:shd w:val="clear" w:color="auto" w:fill="929292"/>
          </w:tcPr>
          <w:p>
            <w:pPr>
              <w:jc w:val="center"/>
              <w:ind w:left="508"/>
              <w:spacing w:after="0"/>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929292"/>
          </w:tcPr>
          <w:p>
            <w:pPr>
              <w:spacing w:after="0"/>
              <w:rPr>
                <w:sz w:val="14"/>
                <w:szCs w:val="14"/>
                <w:color w:val="auto"/>
              </w:rPr>
            </w:pPr>
          </w:p>
        </w:tc>
        <w:tc>
          <w:tcPr>
            <w:tcW w:w="2140" w:type="dxa"/>
            <w:vAlign w:val="bottom"/>
            <w:vMerge w:val="restart"/>
            <w:shd w:val="clear" w:color="auto" w:fill="929292"/>
          </w:tcPr>
          <w:p>
            <w:pPr>
              <w:jc w:val="center"/>
              <w:ind w:right="468"/>
              <w:spacing w:after="0"/>
              <w:rPr>
                <w:sz w:val="20"/>
                <w:szCs w:val="20"/>
                <w:color w:val="auto"/>
              </w:rPr>
            </w:pPr>
            <w:r>
              <w:rPr>
                <w:rFonts w:ascii="Arial" w:cs="Arial" w:eastAsia="Arial" w:hAnsi="Arial"/>
                <w:sz w:val="14"/>
                <w:szCs w:val="14"/>
                <w:b w:val="1"/>
                <w:bCs w:val="1"/>
                <w:color w:val="FFFFFF"/>
              </w:rPr>
              <w:t>Bonus</w:t>
            </w:r>
          </w:p>
        </w:tc>
        <w:tc>
          <w:tcPr>
            <w:tcW w:w="2060" w:type="dxa"/>
            <w:vAlign w:val="bottom"/>
            <w:shd w:val="clear" w:color="auto" w:fill="929292"/>
          </w:tcPr>
          <w:p>
            <w:pPr>
              <w:jc w:val="right"/>
              <w:ind w:right="828"/>
              <w:spacing w:after="0"/>
              <w:rPr>
                <w:sz w:val="20"/>
                <w:szCs w:val="20"/>
                <w:color w:val="auto"/>
              </w:rPr>
            </w:pPr>
            <w:r>
              <w:rPr>
                <w:rFonts w:ascii="Arial" w:cs="Arial" w:eastAsia="Arial" w:hAnsi="Arial"/>
                <w:sz w:val="14"/>
                <w:szCs w:val="14"/>
                <w:b w:val="1"/>
                <w:bCs w:val="1"/>
                <w:color w:val="FFFFFF"/>
              </w:rPr>
              <w:t>Value of</w:t>
            </w:r>
          </w:p>
        </w:tc>
        <w:tc>
          <w:tcPr>
            <w:tcW w:w="230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tcBorders>
            <w:vMerge w:val="restart"/>
            <w:shd w:val="clear" w:color="auto" w:fill="929292"/>
          </w:tcPr>
          <w:p>
            <w:pPr>
              <w:ind w:left="920"/>
              <w:spacing w:after="0"/>
              <w:rPr>
                <w:sz w:val="20"/>
                <w:szCs w:val="20"/>
                <w:color w:val="auto"/>
              </w:rPr>
            </w:pPr>
            <w:r>
              <w:rPr>
                <w:rFonts w:ascii="Arial" w:cs="Arial" w:eastAsia="Arial" w:hAnsi="Arial"/>
                <w:sz w:val="14"/>
                <w:szCs w:val="14"/>
                <w:b w:val="1"/>
                <w:bCs w:val="1"/>
                <w:color w:val="FFFFFF"/>
              </w:rPr>
              <w:t>Name</w:t>
            </w:r>
          </w:p>
        </w:tc>
        <w:tc>
          <w:tcPr>
            <w:tcW w:w="1620" w:type="dxa"/>
            <w:vAlign w:val="bottom"/>
            <w:vMerge w:val="continue"/>
            <w:shd w:val="clear" w:color="auto" w:fill="929292"/>
          </w:tcPr>
          <w:p>
            <w:pPr>
              <w:spacing w:after="0"/>
              <w:rPr>
                <w:sz w:val="12"/>
                <w:szCs w:val="12"/>
                <w:color w:val="auto"/>
              </w:rPr>
            </w:pPr>
          </w:p>
        </w:tc>
        <w:tc>
          <w:tcPr>
            <w:tcW w:w="900" w:type="dxa"/>
            <w:vAlign w:val="bottom"/>
            <w:shd w:val="clear" w:color="auto" w:fill="929292"/>
          </w:tcPr>
          <w:p>
            <w:pPr>
              <w:spacing w:after="0"/>
              <w:rPr>
                <w:sz w:val="12"/>
                <w:szCs w:val="12"/>
                <w:color w:val="auto"/>
              </w:rPr>
            </w:pPr>
          </w:p>
        </w:tc>
        <w:tc>
          <w:tcPr>
            <w:tcW w:w="2140" w:type="dxa"/>
            <w:vAlign w:val="bottom"/>
            <w:vMerge w:val="continue"/>
            <w:shd w:val="clear" w:color="auto" w:fill="929292"/>
          </w:tcPr>
          <w:p>
            <w:pPr>
              <w:spacing w:after="0"/>
              <w:rPr>
                <w:sz w:val="12"/>
                <w:szCs w:val="12"/>
                <w:color w:val="auto"/>
              </w:rPr>
            </w:pPr>
          </w:p>
        </w:tc>
        <w:tc>
          <w:tcPr>
            <w:tcW w:w="2060" w:type="dxa"/>
            <w:vAlign w:val="bottom"/>
            <w:shd w:val="clear" w:color="auto" w:fill="929292"/>
          </w:tcPr>
          <w:p>
            <w:pPr>
              <w:jc w:val="right"/>
              <w:ind w:right="728"/>
              <w:spacing w:after="0" w:line="145" w:lineRule="exact"/>
              <w:rPr>
                <w:sz w:val="20"/>
                <w:szCs w:val="20"/>
                <w:color w:val="auto"/>
              </w:rPr>
            </w:pPr>
            <w:r>
              <w:rPr>
                <w:rFonts w:ascii="Arial" w:cs="Arial" w:eastAsia="Arial" w:hAnsi="Arial"/>
                <w:sz w:val="14"/>
                <w:szCs w:val="14"/>
                <w:b w:val="1"/>
                <w:bCs w:val="1"/>
                <w:color w:val="FFFFFF"/>
              </w:rPr>
              <w:t>Continued</w:t>
            </w:r>
          </w:p>
        </w:tc>
        <w:tc>
          <w:tcPr>
            <w:tcW w:w="230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Accelerated</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bottom w:val="single" w:sz="8" w:color="auto"/>
            </w:tcBorders>
            <w:vMerge w:val="continue"/>
            <w:shd w:val="clear" w:color="auto" w:fill="929292"/>
          </w:tcPr>
          <w:p>
            <w:pPr>
              <w:spacing w:after="0"/>
              <w:rPr>
                <w:sz w:val="16"/>
                <w:szCs w:val="16"/>
                <w:color w:val="auto"/>
              </w:rPr>
            </w:pPr>
          </w:p>
        </w:tc>
        <w:tc>
          <w:tcPr>
            <w:tcW w:w="1620" w:type="dxa"/>
            <w:vAlign w:val="bottom"/>
            <w:tcBorders>
              <w:bottom w:val="single" w:sz="8" w:color="auto"/>
            </w:tcBorders>
            <w:shd w:val="clear" w:color="auto" w:fill="929292"/>
          </w:tcPr>
          <w:p>
            <w:pPr>
              <w:jc w:val="center"/>
              <w:ind w:left="528"/>
              <w:spacing w:after="0"/>
              <w:rPr>
                <w:sz w:val="20"/>
                <w:szCs w:val="20"/>
                <w:color w:val="auto"/>
              </w:rPr>
            </w:pPr>
            <w:r>
              <w:rPr>
                <w:rFonts w:ascii="Arial" w:cs="Arial" w:eastAsia="Arial" w:hAnsi="Arial"/>
                <w:sz w:val="14"/>
                <w:szCs w:val="14"/>
                <w:b w:val="1"/>
                <w:bCs w:val="1"/>
                <w:color w:val="FFFFFF"/>
              </w:rPr>
              <w:t>Severance ($)</w:t>
            </w:r>
          </w:p>
        </w:tc>
        <w:tc>
          <w:tcPr>
            <w:tcW w:w="900" w:type="dxa"/>
            <w:vAlign w:val="bottom"/>
            <w:tcBorders>
              <w:bottom w:val="single" w:sz="8" w:color="auto"/>
            </w:tcBorders>
            <w:shd w:val="clear" w:color="auto" w:fill="929292"/>
          </w:tcPr>
          <w:p>
            <w:pPr>
              <w:spacing w:after="0"/>
              <w:rPr>
                <w:sz w:val="16"/>
                <w:szCs w:val="16"/>
                <w:color w:val="auto"/>
              </w:rPr>
            </w:pPr>
          </w:p>
        </w:tc>
        <w:tc>
          <w:tcPr>
            <w:tcW w:w="2140" w:type="dxa"/>
            <w:vAlign w:val="bottom"/>
            <w:tcBorders>
              <w:bottom w:val="single" w:sz="8" w:color="auto"/>
            </w:tcBorders>
            <w:shd w:val="clear" w:color="auto" w:fill="929292"/>
          </w:tcPr>
          <w:p>
            <w:pPr>
              <w:jc w:val="center"/>
              <w:ind w:right="408"/>
              <w:spacing w:after="0"/>
              <w:rPr>
                <w:sz w:val="20"/>
                <w:szCs w:val="20"/>
                <w:color w:val="auto"/>
              </w:rPr>
            </w:pPr>
            <w:r>
              <w:rPr>
                <w:rFonts w:ascii="Arial" w:cs="Arial" w:eastAsia="Arial" w:hAnsi="Arial"/>
                <w:sz w:val="14"/>
                <w:szCs w:val="14"/>
                <w:b w:val="1"/>
                <w:bCs w:val="1"/>
                <w:color w:val="FFFFFF"/>
              </w:rPr>
              <w:t>Severance ($)</w:t>
            </w:r>
          </w:p>
        </w:tc>
        <w:tc>
          <w:tcPr>
            <w:tcW w:w="2060" w:type="dxa"/>
            <w:vAlign w:val="bottom"/>
            <w:tcBorders>
              <w:bottom w:val="single" w:sz="8" w:color="auto"/>
            </w:tcBorders>
            <w:shd w:val="clear" w:color="auto" w:fill="929292"/>
          </w:tcPr>
          <w:p>
            <w:pPr>
              <w:jc w:val="right"/>
              <w:ind w:right="388"/>
              <w:spacing w:after="0"/>
              <w:rPr>
                <w:sz w:val="20"/>
                <w:szCs w:val="20"/>
                <w:color w:val="auto"/>
              </w:rPr>
            </w:pPr>
            <w:r>
              <w:rPr>
                <w:rFonts w:ascii="Arial" w:cs="Arial" w:eastAsia="Arial" w:hAnsi="Arial"/>
                <w:sz w:val="14"/>
                <w:szCs w:val="14"/>
                <w:b w:val="1"/>
                <w:bCs w:val="1"/>
                <w:color w:val="FFFFFF"/>
              </w:rPr>
              <w:t>Health Coverage ($)</w:t>
            </w:r>
          </w:p>
        </w:tc>
        <w:tc>
          <w:tcPr>
            <w:tcW w:w="23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Vesting ($)</w:t>
            </w:r>
          </w:p>
        </w:tc>
        <w:tc>
          <w:tcPr>
            <w:tcW w:w="0" w:type="dxa"/>
            <w:vAlign w:val="bottom"/>
          </w:tcPr>
          <w:p>
            <w:pPr>
              <w:spacing w:after="0"/>
              <w:rPr>
                <w:sz w:val="1"/>
                <w:szCs w:val="1"/>
                <w:color w:val="auto"/>
              </w:rPr>
            </w:pPr>
          </w:p>
        </w:tc>
      </w:tr>
      <w:tr>
        <w:trPr>
          <w:trHeight w:val="196"/>
        </w:trPr>
        <w:tc>
          <w:tcPr>
            <w:tcW w:w="22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Mike Milotich</w:t>
            </w:r>
          </w:p>
        </w:tc>
        <w:tc>
          <w:tcPr>
            <w:tcW w:w="162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auto"/>
              </w:rPr>
              <w:t>600,000</w:t>
            </w:r>
          </w:p>
        </w:tc>
        <w:tc>
          <w:tcPr>
            <w:tcW w:w="214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600,000</w:t>
            </w:r>
          </w:p>
        </w:tc>
        <w:tc>
          <w:tcPr>
            <w:tcW w:w="2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42,283</w:t>
            </w:r>
          </w:p>
        </w:tc>
        <w:tc>
          <w:tcPr>
            <w:tcW w:w="230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9,709,674</w:t>
            </w:r>
          </w:p>
        </w:tc>
        <w:tc>
          <w:tcPr>
            <w:tcW w:w="0" w:type="dxa"/>
            <w:vAlign w:val="bottom"/>
          </w:tcPr>
          <w:p>
            <w:pPr>
              <w:spacing w:after="0"/>
              <w:rPr>
                <w:sz w:val="1"/>
                <w:szCs w:val="1"/>
                <w:color w:val="auto"/>
              </w:rPr>
            </w:pPr>
          </w:p>
        </w:tc>
      </w:tr>
      <w:tr>
        <w:trPr>
          <w:trHeight w:val="198"/>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Todd Pollak</w:t>
            </w:r>
          </w:p>
        </w:tc>
        <w:tc>
          <w:tcPr>
            <w:tcW w:w="162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330,000</w:t>
            </w: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330,000</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31,712</w:t>
            </w:r>
          </w:p>
        </w:tc>
        <w:tc>
          <w:tcPr>
            <w:tcW w:w="23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5,724,258</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Crystal Sumner</w:t>
            </w:r>
          </w:p>
        </w:tc>
        <w:tc>
          <w:tcPr>
            <w:tcW w:w="16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color w:val="auto"/>
              </w:rPr>
              <w:t>345,000</w:t>
            </w:r>
          </w:p>
        </w:tc>
        <w:tc>
          <w:tcPr>
            <w:tcW w:w="214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258,750</w:t>
            </w:r>
          </w:p>
        </w:tc>
        <w:tc>
          <w:tcPr>
            <w:tcW w:w="206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31,712</w:t>
            </w:r>
          </w:p>
        </w:tc>
        <w:tc>
          <w:tcPr>
            <w:tcW w:w="230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5,932,530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-719455</wp:posOffset>
            </wp:positionV>
            <wp:extent cx="57264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5"/>
          <w:szCs w:val="25"/>
          <w:b w:val="1"/>
          <w:bCs w:val="1"/>
          <w:color w:val="auto"/>
        </w:rPr>
        <w:t>PAY VERSUS PERFORMANCE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rules adopted pursuant to the Dodd-Frank Act, we are required to disclose certain information about the relationship between the compensation actually paid (“CAP”) to our NEOs and certain measures of company performance. The material that follows is provided in compliance with these rules. Additional information regarding our compensation philosophy, the structure of our performance-based compensation programs, and compensation decisions made for fiscal year 2025 is described above in our "Compensation Discussion &amp; Analysis".</w:t>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provides information regarding compensation actually paid to our principal executive officer (“PEO”), and other NEOs for each year from the date of our IPO in 2021 to 2025, compared to our cumulative total shareholder return (“TSR”), from our IPO through the end of each corresponding year, and our net income and our company-selected measure, gross profit, for each such year.</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CAP for the PEO and the average non-PEO NEOs is calculated by taking the total compensation shown in the Summary Compensation Table (“SCT”) and adding and subtracting certain items as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SCT values LESS:</w:t>
      </w:r>
    </w:p>
    <w:p>
      <w:pPr>
        <w:spacing w:after="0" w:line="117"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grant date value of equity granted during the year;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fair value of awards granted during prior years that were forfeited during the applicable year;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year-end fair value of unvested equity awards granted during the year;</w:t>
      </w:r>
    </w:p>
    <w:p>
      <w:pPr>
        <w:spacing w:after="0" w:line="117"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difference between the year-end fair value and the immediately prior year-end fair value for awards granted in prior years that are outstanding and unvested at the end of the year; and</w:t>
      </w:r>
    </w:p>
    <w:p>
      <w:pPr>
        <w:spacing w:after="0" w:line="44"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difference between the fair value as of the vesting date and the immediately prior year-end fair value for awards granted in prior years that vested during the year.</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620" w:type="dxa"/>
            <w:vAlign w:val="bottom"/>
            <w:tcBorders>
              <w:right w:val="single" w:sz="8" w:color="auto"/>
            </w:tcBorders>
          </w:tcPr>
          <w:p>
            <w:pPr>
              <w:spacing w:after="0"/>
              <w:rPr>
                <w:sz w:val="14"/>
                <w:szCs w:val="14"/>
                <w:color w:val="auto"/>
              </w:rPr>
            </w:pPr>
          </w:p>
        </w:tc>
        <w:tc>
          <w:tcPr>
            <w:tcW w:w="1780" w:type="dxa"/>
            <w:vAlign w:val="bottom"/>
            <w:tcBorders>
              <w:top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Summary Compensation</w:t>
            </w:r>
          </w:p>
        </w:tc>
        <w:tc>
          <w:tcPr>
            <w:tcW w:w="1920" w:type="dxa"/>
            <w:vAlign w:val="bottom"/>
            <w:tcBorders>
              <w:top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7"/>
              </w:rPr>
              <w:t>Compensation Actually Paid to</w:t>
            </w:r>
          </w:p>
        </w:tc>
        <w:tc>
          <w:tcPr>
            <w:tcW w:w="13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2320" w:type="dxa"/>
            <w:vAlign w:val="bottom"/>
            <w:tcBorders>
              <w:top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Value of Initial Fixed $100 Investment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Table Total for PEO ($)(1)(2)</w:t>
            </w:r>
          </w:p>
        </w:tc>
        <w:tc>
          <w:tcPr>
            <w:tcW w:w="1920" w:type="dxa"/>
            <w:vAlign w:val="bottom"/>
            <w:tcBorders>
              <w:bottom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8"/>
              </w:rPr>
              <w:t>PEO ($)(3)</w:t>
            </w:r>
          </w:p>
        </w:tc>
        <w:tc>
          <w:tcPr>
            <w:tcW w:w="134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gridSpan w:val="2"/>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Based On:</w:t>
            </w: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0" w:type="dxa"/>
            <w:vAlign w:val="bottom"/>
            <w:tcBorders>
              <w:left w:val="single" w:sz="8" w:color="auto"/>
              <w:right w:val="single" w:sz="8" w:color="auto"/>
            </w:tcBorders>
            <w:shd w:val="clear" w:color="auto" w:fill="929292"/>
          </w:tcPr>
          <w:p>
            <w:pPr>
              <w:spacing w:after="0"/>
              <w:rPr>
                <w:sz w:val="13"/>
                <w:szCs w:val="13"/>
                <w:color w:val="auto"/>
              </w:rPr>
            </w:pPr>
          </w:p>
        </w:tc>
        <w:tc>
          <w:tcPr>
            <w:tcW w:w="840" w:type="dxa"/>
            <w:vAlign w:val="bottom"/>
            <w:tcBorders>
              <w:right w:val="single" w:sz="8" w:color="auto"/>
            </w:tcBorders>
            <w:shd w:val="clear" w:color="auto" w:fill="929292"/>
          </w:tcPr>
          <w:p>
            <w:pPr>
              <w:spacing w:after="0"/>
              <w:rPr>
                <w:sz w:val="13"/>
                <w:szCs w:val="13"/>
                <w:color w:val="auto"/>
              </w:rPr>
            </w:pPr>
          </w:p>
        </w:tc>
        <w:tc>
          <w:tcPr>
            <w:tcW w:w="940" w:type="dxa"/>
            <w:vAlign w:val="bottom"/>
            <w:tcBorders>
              <w:right w:val="single" w:sz="8" w:color="auto"/>
            </w:tcBorders>
            <w:shd w:val="clear" w:color="auto" w:fill="929292"/>
          </w:tcPr>
          <w:p>
            <w:pPr>
              <w:spacing w:after="0"/>
              <w:rPr>
                <w:sz w:val="13"/>
                <w:szCs w:val="13"/>
                <w:color w:val="auto"/>
              </w:rPr>
            </w:pPr>
          </w:p>
        </w:tc>
        <w:tc>
          <w:tcPr>
            <w:tcW w:w="940" w:type="dxa"/>
            <w:vAlign w:val="bottom"/>
            <w:tcBorders>
              <w:right w:val="single" w:sz="8" w:color="auto"/>
            </w:tcBorders>
            <w:shd w:val="clear" w:color="auto" w:fill="929292"/>
          </w:tcPr>
          <w:p>
            <w:pPr>
              <w:spacing w:after="0"/>
              <w:rPr>
                <w:sz w:val="13"/>
                <w:szCs w:val="13"/>
                <w:color w:val="auto"/>
              </w:rPr>
            </w:pPr>
          </w:p>
        </w:tc>
        <w:tc>
          <w:tcPr>
            <w:tcW w:w="980" w:type="dxa"/>
            <w:vAlign w:val="bottom"/>
            <w:tcBorders>
              <w:right w:val="single" w:sz="8" w:color="auto"/>
            </w:tcBorders>
            <w:shd w:val="clear" w:color="auto" w:fill="929292"/>
          </w:tcPr>
          <w:p>
            <w:pPr>
              <w:spacing w:after="0"/>
              <w:rPr>
                <w:sz w:val="13"/>
                <w:szCs w:val="13"/>
                <w:color w:val="auto"/>
              </w:rPr>
            </w:pPr>
          </w:p>
        </w:tc>
        <w:tc>
          <w:tcPr>
            <w:tcW w:w="13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Average Summary</w:t>
            </w:r>
          </w:p>
        </w:tc>
        <w:tc>
          <w:tcPr>
            <w:tcW w:w="13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3"/>
              </w:rPr>
              <w:t>Average</w:t>
            </w:r>
          </w:p>
        </w:tc>
        <w:tc>
          <w:tcPr>
            <w:tcW w:w="1160" w:type="dxa"/>
            <w:vAlign w:val="bottom"/>
            <w:tcBorders>
              <w:right w:val="single" w:sz="8" w:color="auto"/>
            </w:tcBorders>
            <w:shd w:val="clear" w:color="auto" w:fill="929292"/>
          </w:tcPr>
          <w:p>
            <w:pPr>
              <w:spacing w:after="0"/>
              <w:rPr>
                <w:sz w:val="13"/>
                <w:szCs w:val="13"/>
                <w:color w:val="auto"/>
              </w:rPr>
            </w:pPr>
          </w:p>
        </w:tc>
        <w:tc>
          <w:tcPr>
            <w:tcW w:w="1160" w:type="dxa"/>
            <w:vAlign w:val="bottom"/>
            <w:tcBorders>
              <w:right w:val="single" w:sz="8" w:color="auto"/>
            </w:tcBorders>
            <w:shd w:val="clear" w:color="auto" w:fill="929292"/>
          </w:tcPr>
          <w:p>
            <w:pPr>
              <w:spacing w:after="0"/>
              <w:rPr>
                <w:sz w:val="13"/>
                <w:szCs w:val="13"/>
                <w:color w:val="auto"/>
              </w:rPr>
            </w:pPr>
          </w:p>
        </w:tc>
        <w:tc>
          <w:tcPr>
            <w:tcW w:w="800" w:type="dxa"/>
            <w:vAlign w:val="bottom"/>
            <w:tcBorders>
              <w:right w:val="single" w:sz="8" w:color="auto"/>
            </w:tcBorders>
            <w:shd w:val="clear" w:color="auto" w:fill="929292"/>
          </w:tcPr>
          <w:p>
            <w:pPr>
              <w:spacing w:after="0"/>
              <w:rPr>
                <w:sz w:val="13"/>
                <w:szCs w:val="13"/>
                <w:color w:val="auto"/>
              </w:rPr>
            </w:pPr>
          </w:p>
        </w:tc>
        <w:tc>
          <w:tcPr>
            <w:tcW w:w="110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4"/>
              </w:rPr>
              <w:t>Company-</w:t>
            </w:r>
          </w:p>
        </w:tc>
        <w:tc>
          <w:tcPr>
            <w:tcW w:w="0" w:type="dxa"/>
            <w:vAlign w:val="bottom"/>
          </w:tcPr>
          <w:p>
            <w:pPr>
              <w:spacing w:after="0"/>
              <w:rPr>
                <w:sz w:val="1"/>
                <w:szCs w:val="1"/>
                <w:color w:val="auto"/>
              </w:rPr>
            </w:pPr>
          </w:p>
        </w:tc>
      </w:tr>
      <w:tr>
        <w:trPr>
          <w:trHeight w:val="135"/>
        </w:trPr>
        <w:tc>
          <w:tcPr>
            <w:tcW w:w="620" w:type="dxa"/>
            <w:vAlign w:val="bottom"/>
            <w:tcBorders>
              <w:left w:val="single" w:sz="8" w:color="auto"/>
              <w:right w:val="single" w:sz="8" w:color="auto"/>
            </w:tcBorders>
            <w:shd w:val="clear" w:color="auto" w:fill="929292"/>
          </w:tcPr>
          <w:p>
            <w:pPr>
              <w:spacing w:after="0"/>
              <w:rPr>
                <w:sz w:val="11"/>
                <w:szCs w:val="11"/>
                <w:color w:val="auto"/>
              </w:rPr>
            </w:pPr>
          </w:p>
        </w:tc>
        <w:tc>
          <w:tcPr>
            <w:tcW w:w="840" w:type="dxa"/>
            <w:vAlign w:val="bottom"/>
            <w:tcBorders>
              <w:right w:val="single" w:sz="8" w:color="auto"/>
            </w:tcBorders>
            <w:shd w:val="clear" w:color="auto" w:fill="929292"/>
          </w:tcPr>
          <w:p>
            <w:pPr>
              <w:spacing w:after="0"/>
              <w:rPr>
                <w:sz w:val="11"/>
                <w:szCs w:val="11"/>
                <w:color w:val="auto"/>
              </w:rPr>
            </w:pPr>
          </w:p>
        </w:tc>
        <w:tc>
          <w:tcPr>
            <w:tcW w:w="940" w:type="dxa"/>
            <w:vAlign w:val="bottom"/>
            <w:tcBorders>
              <w:right w:val="single" w:sz="8" w:color="auto"/>
            </w:tcBorders>
            <w:shd w:val="clear" w:color="auto" w:fill="929292"/>
          </w:tcPr>
          <w:p>
            <w:pPr>
              <w:spacing w:after="0"/>
              <w:rPr>
                <w:sz w:val="11"/>
                <w:szCs w:val="11"/>
                <w:color w:val="auto"/>
              </w:rPr>
            </w:pPr>
          </w:p>
        </w:tc>
        <w:tc>
          <w:tcPr>
            <w:tcW w:w="940" w:type="dxa"/>
            <w:vAlign w:val="bottom"/>
            <w:tcBorders>
              <w:right w:val="single" w:sz="8" w:color="auto"/>
            </w:tcBorders>
            <w:shd w:val="clear" w:color="auto" w:fill="929292"/>
          </w:tcPr>
          <w:p>
            <w:pPr>
              <w:spacing w:after="0"/>
              <w:rPr>
                <w:sz w:val="11"/>
                <w:szCs w:val="11"/>
                <w:color w:val="auto"/>
              </w:rPr>
            </w:pPr>
          </w:p>
        </w:tc>
        <w:tc>
          <w:tcPr>
            <w:tcW w:w="980" w:type="dxa"/>
            <w:vAlign w:val="bottom"/>
            <w:tcBorders>
              <w:right w:val="single" w:sz="8" w:color="auto"/>
            </w:tcBorders>
            <w:shd w:val="clear" w:color="auto" w:fill="929292"/>
          </w:tcPr>
          <w:p>
            <w:pPr>
              <w:spacing w:after="0"/>
              <w:rPr>
                <w:sz w:val="11"/>
                <w:szCs w:val="11"/>
                <w:color w:val="auto"/>
              </w:rPr>
            </w:pPr>
          </w:p>
        </w:tc>
        <w:tc>
          <w:tcPr>
            <w:tcW w:w="134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3"/>
                <w:szCs w:val="13"/>
                <w:b w:val="1"/>
                <w:bCs w:val="1"/>
                <w:color w:val="FFFFFF"/>
                <w:w w:val="96"/>
              </w:rPr>
              <w:t>Compensation Table</w:t>
            </w:r>
          </w:p>
        </w:tc>
        <w:tc>
          <w:tcPr>
            <w:tcW w:w="134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60" w:type="dxa"/>
            <w:vAlign w:val="bottom"/>
            <w:tcBorders>
              <w:right w:val="single" w:sz="8" w:color="auto"/>
            </w:tcBorders>
            <w:shd w:val="clear" w:color="auto" w:fill="929292"/>
          </w:tcPr>
          <w:p>
            <w:pPr>
              <w:spacing w:after="0"/>
              <w:rPr>
                <w:sz w:val="11"/>
                <w:szCs w:val="11"/>
                <w:color w:val="auto"/>
              </w:rPr>
            </w:pPr>
          </w:p>
        </w:tc>
        <w:tc>
          <w:tcPr>
            <w:tcW w:w="116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3"/>
                <w:szCs w:val="13"/>
                <w:b w:val="1"/>
                <w:bCs w:val="1"/>
                <w:color w:val="FFFFFF"/>
                <w:w w:val="94"/>
              </w:rPr>
              <w:t>Peer Group Total</w:t>
            </w:r>
          </w:p>
        </w:tc>
        <w:tc>
          <w:tcPr>
            <w:tcW w:w="800" w:type="dxa"/>
            <w:vAlign w:val="bottom"/>
            <w:tcBorders>
              <w:right w:val="single" w:sz="8" w:color="auto"/>
            </w:tcBorders>
            <w:shd w:val="clear" w:color="auto" w:fill="929292"/>
          </w:tcPr>
          <w:p>
            <w:pPr>
              <w:spacing w:after="0"/>
              <w:rPr>
                <w:sz w:val="11"/>
                <w:szCs w:val="11"/>
                <w:color w:val="auto"/>
              </w:rPr>
            </w:pPr>
          </w:p>
        </w:tc>
        <w:tc>
          <w:tcPr>
            <w:tcW w:w="110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3"/>
                <w:szCs w:val="13"/>
                <w:b w:val="1"/>
                <w:bCs w:val="1"/>
                <w:color w:val="FFFFFF"/>
                <w:w w:val="97"/>
              </w:rPr>
              <w:t>Selected</w:t>
            </w:r>
          </w:p>
        </w:tc>
        <w:tc>
          <w:tcPr>
            <w:tcW w:w="0" w:type="dxa"/>
            <w:vAlign w:val="bottom"/>
          </w:tcPr>
          <w:p>
            <w:pPr>
              <w:spacing w:after="0"/>
              <w:rPr>
                <w:sz w:val="1"/>
                <w:szCs w:val="1"/>
                <w:color w:val="auto"/>
              </w:rPr>
            </w:pPr>
          </w:p>
        </w:tc>
      </w:tr>
      <w:tr>
        <w:trPr>
          <w:trHeight w:val="148"/>
        </w:trPr>
        <w:tc>
          <w:tcPr>
            <w:tcW w:w="620" w:type="dxa"/>
            <w:vAlign w:val="bottom"/>
            <w:tcBorders>
              <w:left w:val="single" w:sz="8" w:color="auto"/>
              <w:right w:val="single" w:sz="8" w:color="auto"/>
            </w:tcBorders>
            <w:vMerge w:val="restart"/>
            <w:shd w:val="clear" w:color="auto" w:fill="929292"/>
          </w:tcPr>
          <w:p>
            <w:pPr>
              <w:jc w:val="right"/>
              <w:ind w:right="117"/>
              <w:spacing w:after="0"/>
              <w:rPr>
                <w:sz w:val="20"/>
                <w:szCs w:val="20"/>
                <w:color w:val="auto"/>
              </w:rPr>
            </w:pPr>
            <w:r>
              <w:rPr>
                <w:rFonts w:ascii="Arial" w:cs="Arial" w:eastAsia="Arial" w:hAnsi="Arial"/>
                <w:sz w:val="13"/>
                <w:szCs w:val="13"/>
                <w:b w:val="1"/>
                <w:bCs w:val="1"/>
                <w:color w:val="FFFFFF"/>
              </w:rPr>
              <w:t>Year</w:t>
            </w:r>
          </w:p>
        </w:tc>
        <w:tc>
          <w:tcPr>
            <w:tcW w:w="8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Simon</w:t>
            </w:r>
          </w:p>
        </w:tc>
        <w:tc>
          <w:tcPr>
            <w:tcW w:w="9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940" w:type="dxa"/>
            <w:vAlign w:val="bottom"/>
            <w:tcBorders>
              <w:right w:val="single" w:sz="8" w:color="auto"/>
            </w:tcBorders>
            <w:vMerge w:val="restart"/>
            <w:shd w:val="clear" w:color="auto" w:fill="929292"/>
          </w:tcPr>
          <w:p>
            <w:pPr>
              <w:jc w:val="right"/>
              <w:ind w:right="17"/>
              <w:spacing w:after="0"/>
              <w:rPr>
                <w:sz w:val="20"/>
                <w:szCs w:val="20"/>
                <w:color w:val="auto"/>
              </w:rPr>
            </w:pPr>
            <w:r>
              <w:rPr>
                <w:rFonts w:ascii="Arial" w:cs="Arial" w:eastAsia="Arial" w:hAnsi="Arial"/>
                <w:sz w:val="13"/>
                <w:szCs w:val="13"/>
                <w:b w:val="1"/>
                <w:bCs w:val="1"/>
                <w:color w:val="FFFFFF"/>
              </w:rPr>
              <w:t>Simon Khalaf</w:t>
            </w:r>
          </w:p>
        </w:tc>
        <w:tc>
          <w:tcPr>
            <w:tcW w:w="98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13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7"/>
              </w:rPr>
              <w:t>Total for non-PEO</w:t>
            </w:r>
          </w:p>
        </w:tc>
        <w:tc>
          <w:tcPr>
            <w:tcW w:w="134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Actually Paid to non-</w:t>
            </w:r>
          </w:p>
        </w:tc>
        <w:tc>
          <w:tcPr>
            <w:tcW w:w="116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Total Shareholder</w:t>
            </w:r>
          </w:p>
        </w:tc>
        <w:tc>
          <w:tcPr>
            <w:tcW w:w="116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4"/>
              </w:rPr>
              <w:t>Shareholder</w:t>
            </w:r>
          </w:p>
        </w:tc>
        <w:tc>
          <w:tcPr>
            <w:tcW w:w="800" w:type="dxa"/>
            <w:vAlign w:val="bottom"/>
            <w:tcBorders>
              <w:right w:val="single" w:sz="8" w:color="auto"/>
            </w:tcBorders>
            <w:shd w:val="clear" w:color="auto" w:fill="929292"/>
          </w:tcPr>
          <w:p>
            <w:pPr>
              <w:ind w:left="40"/>
              <w:spacing w:after="0"/>
              <w:rPr>
                <w:sz w:val="20"/>
                <w:szCs w:val="20"/>
                <w:color w:val="auto"/>
              </w:rPr>
            </w:pPr>
            <w:r>
              <w:rPr>
                <w:rFonts w:ascii="Arial" w:cs="Arial" w:eastAsia="Arial" w:hAnsi="Arial"/>
                <w:sz w:val="13"/>
                <w:szCs w:val="13"/>
                <w:b w:val="1"/>
                <w:bCs w:val="1"/>
                <w:color w:val="FFFFFF"/>
              </w:rPr>
              <w:t>Net Income</w:t>
            </w:r>
          </w:p>
        </w:tc>
        <w:tc>
          <w:tcPr>
            <w:tcW w:w="1100" w:type="dxa"/>
            <w:vAlign w:val="bottom"/>
            <w:tcBorders>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8"/>
              </w:rPr>
              <w:t>Measure - Gross</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right w:val="single" w:sz="8" w:color="auto"/>
            </w:tcBorders>
            <w:vMerge w:val="continue"/>
            <w:shd w:val="clear" w:color="auto" w:fill="929292"/>
          </w:tcPr>
          <w:p>
            <w:pPr>
              <w:spacing w:after="0"/>
              <w:rPr>
                <w:sz w:val="15"/>
                <w:szCs w:val="15"/>
                <w:color w:val="auto"/>
              </w:rPr>
            </w:pPr>
          </w:p>
        </w:tc>
        <w:tc>
          <w:tcPr>
            <w:tcW w:w="8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Khalaf</w:t>
            </w:r>
          </w:p>
        </w:tc>
        <w:tc>
          <w:tcPr>
            <w:tcW w:w="9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7"/>
              </w:rPr>
              <w:t>Milotich</w:t>
            </w:r>
          </w:p>
        </w:tc>
        <w:tc>
          <w:tcPr>
            <w:tcW w:w="940" w:type="dxa"/>
            <w:vAlign w:val="bottom"/>
            <w:tcBorders>
              <w:bottom w:val="single" w:sz="8" w:color="auto"/>
              <w:right w:val="single" w:sz="8" w:color="auto"/>
            </w:tcBorders>
            <w:vMerge w:val="continue"/>
            <w:shd w:val="clear" w:color="auto" w:fill="929292"/>
          </w:tcPr>
          <w:p>
            <w:pPr>
              <w:spacing w:after="0"/>
              <w:rPr>
                <w:sz w:val="15"/>
                <w:szCs w:val="15"/>
                <w:color w:val="auto"/>
              </w:rPr>
            </w:pPr>
          </w:p>
        </w:tc>
        <w:tc>
          <w:tcPr>
            <w:tcW w:w="98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7"/>
              </w:rPr>
              <w:t>Milotich</w:t>
            </w:r>
          </w:p>
        </w:tc>
        <w:tc>
          <w:tcPr>
            <w:tcW w:w="13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6"/>
              </w:rPr>
              <w:t>NEOs ($)(1)(2)</w:t>
            </w:r>
          </w:p>
        </w:tc>
        <w:tc>
          <w:tcPr>
            <w:tcW w:w="13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8"/>
              </w:rPr>
              <w:t>PEO NEOs ($)(3)</w:t>
            </w:r>
          </w:p>
        </w:tc>
        <w:tc>
          <w:tcPr>
            <w:tcW w:w="116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5"/>
              </w:rPr>
              <w:t>Return ($)(4)</w:t>
            </w:r>
          </w:p>
        </w:tc>
        <w:tc>
          <w:tcPr>
            <w:tcW w:w="116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8"/>
              </w:rPr>
              <w:t>Return ($)(5)</w:t>
            </w:r>
          </w:p>
        </w:tc>
        <w:tc>
          <w:tcPr>
            <w:tcW w:w="8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4"/>
              </w:rPr>
              <w:t>($)(6)</w:t>
            </w:r>
          </w:p>
        </w:tc>
        <w:tc>
          <w:tcPr>
            <w:tcW w:w="11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3"/>
                <w:szCs w:val="13"/>
                <w:b w:val="1"/>
                <w:bCs w:val="1"/>
                <w:color w:val="FFFFFF"/>
                <w:w w:val="98"/>
              </w:rPr>
              <w:t>Profit ($)(7)</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bottom w:val="single" w:sz="8" w:color="auto"/>
              <w:right w:val="single" w:sz="8" w:color="auto"/>
            </w:tcBorders>
            <w:shd w:val="clear" w:color="auto" w:fill="DBDBDB"/>
          </w:tcPr>
          <w:p>
            <w:pPr>
              <w:jc w:val="right"/>
              <w:ind w:right="97"/>
              <w:spacing w:after="0"/>
              <w:rPr>
                <w:sz w:val="20"/>
                <w:szCs w:val="20"/>
                <w:color w:val="auto"/>
              </w:rPr>
            </w:pPr>
            <w:r>
              <w:rPr>
                <w:rFonts w:ascii="Arial" w:cs="Arial" w:eastAsia="Arial" w:hAnsi="Arial"/>
                <w:sz w:val="13"/>
                <w:szCs w:val="13"/>
                <w:b w:val="1"/>
                <w:bCs w:val="1"/>
                <w:color w:val="auto"/>
              </w:rPr>
              <w:t>2025</w:t>
            </w:r>
          </w:p>
        </w:tc>
        <w:tc>
          <w:tcPr>
            <w:tcW w:w="8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7"/>
              </w:rPr>
              <w:t>113,546</w:t>
            </w:r>
          </w:p>
        </w:tc>
        <w:tc>
          <w:tcPr>
            <w:tcW w:w="9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11,049,523</w:t>
            </w:r>
          </w:p>
        </w:tc>
        <w:tc>
          <w:tcPr>
            <w:tcW w:w="940" w:type="dxa"/>
            <w:vAlign w:val="bottom"/>
            <w:tcBorders>
              <w:bottom w:val="single" w:sz="8" w:color="auto"/>
              <w:right w:val="single" w:sz="8" w:color="auto"/>
            </w:tcBorders>
            <w:shd w:val="clear" w:color="auto" w:fill="DBDBDB"/>
          </w:tcPr>
          <w:p>
            <w:pPr>
              <w:jc w:val="right"/>
              <w:ind w:right="97"/>
              <w:spacing w:after="0"/>
              <w:rPr>
                <w:sz w:val="20"/>
                <w:szCs w:val="20"/>
                <w:color w:val="auto"/>
              </w:rPr>
            </w:pPr>
            <w:r>
              <w:rPr>
                <w:rFonts w:ascii="Arial" w:cs="Arial" w:eastAsia="Arial" w:hAnsi="Arial"/>
                <w:sz w:val="13"/>
                <w:szCs w:val="13"/>
                <w:color w:val="auto"/>
              </w:rPr>
              <w:t>(8,721,648)</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11,362,083</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5,200,239</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6,200,385</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$15.56</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3"/>
              </w:rPr>
              <w:t>$239.88</w:t>
            </w:r>
          </w:p>
        </w:tc>
        <w:tc>
          <w:tcPr>
            <w:tcW w:w="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4"/>
              </w:rPr>
              <w:t>(13,925)</w:t>
            </w:r>
          </w:p>
        </w:tc>
        <w:tc>
          <w:tcPr>
            <w:tcW w:w="1100" w:type="dxa"/>
            <w:vAlign w:val="bottom"/>
            <w:tcBorders>
              <w:bottom w:val="single" w:sz="8" w:color="auto"/>
              <w:right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437,272</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11,445,828</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9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(1,094,582)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4,764,577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(765,784)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$12.41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$193.39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27,287</w:t>
            </w:r>
          </w:p>
        </w:tc>
        <w:tc>
          <w:tcPr>
            <w:tcW w:w="11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351,849</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bottom w:val="single" w:sz="8" w:color="auto"/>
              <w:right w:val="single" w:sz="8" w:color="auto"/>
            </w:tcBorders>
            <w:shd w:val="clear" w:color="auto" w:fill="DBDBDB"/>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16,294,313</w:t>
            </w:r>
          </w:p>
        </w:tc>
        <w:tc>
          <w:tcPr>
            <w:tcW w:w="9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3"/>
              </w:rPr>
              <w:t>600,764</w:t>
            </w:r>
          </w:p>
        </w:tc>
        <w:tc>
          <w:tcPr>
            <w:tcW w:w="940" w:type="dxa"/>
            <w:vAlign w:val="bottom"/>
            <w:tcBorders>
              <w:bottom w:val="single" w:sz="8" w:color="auto"/>
              <w:right w:val="single" w:sz="8" w:color="auto"/>
            </w:tcBorders>
            <w:shd w:val="clear" w:color="auto" w:fill="DBDBDB"/>
          </w:tcPr>
          <w:p>
            <w:pPr>
              <w:jc w:val="right"/>
              <w:ind w:right="97"/>
              <w:spacing w:after="0"/>
              <w:rPr>
                <w:sz w:val="20"/>
                <w:szCs w:val="20"/>
                <w:color w:val="auto"/>
              </w:rPr>
            </w:pPr>
            <w:r>
              <w:rPr>
                <w:rFonts w:ascii="Arial" w:cs="Arial" w:eastAsia="Arial" w:hAnsi="Arial"/>
                <w:sz w:val="13"/>
                <w:szCs w:val="13"/>
                <w:color w:val="auto"/>
              </w:rPr>
              <w:t>21,985,328</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7"/>
              </w:rPr>
              <w:t>(12,590,198)</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6,880,645</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8"/>
              </w:rPr>
              <w:t>10,545,053</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$22.86</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3"/>
              </w:rPr>
              <w:t>$141.56</w:t>
            </w:r>
          </w:p>
        </w:tc>
        <w:tc>
          <w:tcPr>
            <w:tcW w:w="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(222,962)</w:t>
            </w:r>
          </w:p>
        </w:tc>
        <w:tc>
          <w:tcPr>
            <w:tcW w:w="1100" w:type="dxa"/>
            <w:vAlign w:val="bottom"/>
            <w:tcBorders>
              <w:bottom w:val="single" w:sz="8" w:color="auto"/>
              <w:right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329,514</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1,180,634</w:t>
            </w:r>
          </w:p>
        </w:tc>
        <w:tc>
          <w:tcPr>
            <w:tcW w:w="940" w:type="dxa"/>
            <w:vAlign w:val="bottom"/>
            <w:tcBorders>
              <w:bottom w:val="single" w:sz="8" w:color="auto"/>
              <w:right w:val="single" w:sz="8" w:color="auto"/>
            </w:tcBorders>
          </w:tcPr>
          <w:p>
            <w:pPr>
              <w:jc w:val="right"/>
              <w:ind w:right="317"/>
              <w:spacing w:after="0"/>
              <w:rPr>
                <w:sz w:val="20"/>
                <w:szCs w:val="20"/>
                <w:color w:val="auto"/>
              </w:rPr>
            </w:pPr>
            <w:r>
              <w:rPr>
                <w:rFonts w:ascii="Arial" w:cs="Arial" w:eastAsia="Arial" w:hAnsi="Arial"/>
                <w:sz w:val="13"/>
                <w:szCs w:val="13"/>
                <w:color w:val="auto"/>
              </w:rPr>
              <w:t>N/A</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(96,873,981)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6,036,815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(5,614,356)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$20.02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$89.68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(184,780)</w:t>
            </w:r>
          </w:p>
        </w:tc>
        <w:tc>
          <w:tcPr>
            <w:tcW w:w="11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320,001</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bottom w:val="single" w:sz="8" w:color="auto"/>
              <w:right w:val="single" w:sz="8" w:color="auto"/>
            </w:tcBorders>
            <w:shd w:val="clear" w:color="auto" w:fill="DBDBDB"/>
          </w:tcPr>
          <w:p>
            <w:pPr>
              <w:jc w:val="right"/>
              <w:ind w:right="97"/>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224,387,431</w:t>
            </w:r>
          </w:p>
        </w:tc>
        <w:tc>
          <w:tcPr>
            <w:tcW w:w="940" w:type="dxa"/>
            <w:vAlign w:val="bottom"/>
            <w:tcBorders>
              <w:bottom w:val="single" w:sz="8" w:color="auto"/>
              <w:right w:val="single" w:sz="8" w:color="auto"/>
            </w:tcBorders>
            <w:shd w:val="clear" w:color="auto" w:fill="DBDBDB"/>
          </w:tcPr>
          <w:p>
            <w:pPr>
              <w:jc w:val="right"/>
              <w:ind w:right="317"/>
              <w:spacing w:after="0"/>
              <w:rPr>
                <w:sz w:val="20"/>
                <w:szCs w:val="20"/>
                <w:color w:val="auto"/>
              </w:rPr>
            </w:pPr>
            <w:r>
              <w:rPr>
                <w:rFonts w:ascii="Arial" w:cs="Arial" w:eastAsia="Arial" w:hAnsi="Arial"/>
                <w:sz w:val="13"/>
                <w:szCs w:val="13"/>
                <w:color w:val="auto"/>
              </w:rPr>
              <w:t>N/A</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123,182,820</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8"/>
              </w:rPr>
              <w:t>16,016,142</w:t>
            </w:r>
          </w:p>
        </w:tc>
        <w:tc>
          <w:tcPr>
            <w:tcW w:w="13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8"/>
              </w:rPr>
              <w:t>17,010,366</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5"/>
              </w:rPr>
              <w:t>$56.25</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3"/>
              </w:rPr>
              <w:t>$124.90</w:t>
            </w:r>
          </w:p>
        </w:tc>
        <w:tc>
          <w:tcPr>
            <w:tcW w:w="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3"/>
                <w:szCs w:val="13"/>
                <w:color w:val="auto"/>
                <w:w w:val="96"/>
              </w:rPr>
              <w:t>(163,929)</w:t>
            </w:r>
          </w:p>
        </w:tc>
        <w:tc>
          <w:tcPr>
            <w:tcW w:w="1100" w:type="dxa"/>
            <w:vAlign w:val="bottom"/>
            <w:tcBorders>
              <w:bottom w:val="single" w:sz="8" w:color="auto"/>
              <w:right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231,705</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500" w:hanging="330"/>
        <w:spacing w:after="0" w:line="267" w:lineRule="auto"/>
        <w:tabs>
          <w:tab w:leader="none" w:pos="527" w:val="left"/>
        </w:tabs>
        <w:numPr>
          <w:ilvl w:val="0"/>
          <w:numId w:val="89"/>
        </w:numPr>
        <w:rPr>
          <w:rFonts w:ascii="Arial" w:cs="Arial" w:eastAsia="Arial" w:hAnsi="Arial"/>
          <w:sz w:val="14"/>
          <w:szCs w:val="14"/>
          <w:color w:val="auto"/>
        </w:rPr>
      </w:pPr>
      <w:r>
        <w:rPr>
          <w:rFonts w:ascii="Arial" w:cs="Arial" w:eastAsia="Arial" w:hAnsi="Arial"/>
          <w:sz w:val="14"/>
          <w:szCs w:val="14"/>
          <w:color w:val="auto"/>
        </w:rPr>
        <w:t>During fiscal year 2025, Michael Milotich and Simon Khalaf each served for a period of time as our PEO. For fiscal year 2024, our PEO was Simon Khalaf. During fiscal year 2023, Simon Khalaf and Jason Gardner each served for a period of time as our PEO, while Mr. Gardner was our PEO in fiscal years 2022 and 2021. For fiscal year 2025, our non-PEO NEOs were Todd Pollak and Crystal Sumner. For fiscal years 2024 and 2023, our non-PEO NEOs were Mike Milotich, Randy Kern, Todd Pollak, and Crystal Sumner. For fiscal year 2022, our non-PEO NEOs were Mike Milotich, Randy Kern, Seth Weissman, Philip (Tripp) Faix, and Vidya Peters and for fiscal year 2021, our non-PEO NEOs were Randy Kern and Tripp Faix. We first became a reporting company pursuant to Section 13(a) or Section 15(d) of the Exchange Act in 2021.</w:t>
      </w:r>
    </w:p>
    <w:p>
      <w:pPr>
        <w:spacing w:after="0" w:line="157" w:lineRule="exact"/>
        <w:rPr>
          <w:rFonts w:ascii="Arial" w:cs="Arial" w:eastAsia="Arial" w:hAnsi="Arial"/>
          <w:sz w:val="14"/>
          <w:szCs w:val="14"/>
          <w:color w:val="auto"/>
        </w:rPr>
      </w:pPr>
    </w:p>
    <w:p>
      <w:pPr>
        <w:ind w:left="480" w:hanging="310"/>
        <w:spacing w:after="0"/>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total compensation paid to our PEO and non-PEO NEOs in each listed year, as shown in our SCT for such listed year.</w:t>
      </w:r>
    </w:p>
    <w:p>
      <w:pPr>
        <w:spacing w:after="0" w:line="14" w:lineRule="exact"/>
        <w:rPr>
          <w:rFonts w:ascii="Arial" w:cs="Arial" w:eastAsia="Arial" w:hAnsi="Arial"/>
          <w:sz w:val="14"/>
          <w:szCs w:val="14"/>
          <w:color w:val="auto"/>
        </w:rPr>
      </w:pPr>
    </w:p>
    <w:p>
      <w:pPr>
        <w:ind w:left="500" w:hanging="330"/>
        <w:spacing w:after="0" w:line="264" w:lineRule="auto"/>
        <w:tabs>
          <w:tab w:leader="none" w:pos="487" w:val="left"/>
        </w:tabs>
        <w:numPr>
          <w:ilvl w:val="0"/>
          <w:numId w:val="89"/>
        </w:numPr>
        <w:rPr>
          <w:rFonts w:ascii="Arial" w:cs="Arial" w:eastAsia="Arial" w:hAnsi="Arial"/>
          <w:sz w:val="14"/>
          <w:szCs w:val="14"/>
          <w:color w:val="auto"/>
        </w:rPr>
      </w:pPr>
      <w:r>
        <w:rPr>
          <w:rFonts w:ascii="Arial" w:cs="Arial" w:eastAsia="Arial" w:hAnsi="Arial"/>
          <w:sz w:val="14"/>
          <w:szCs w:val="14"/>
          <w:color w:val="auto"/>
        </w:rPr>
        <w:t>CAP does not mean that our PEO and non-PEO NEOs realized those amounts in the listed year, but reflects adjustments to the total compensation amount shown in the SCT as shown below:</w:t>
      </w:r>
    </w:p>
    <w:p>
      <w:pPr>
        <w:spacing w:after="0" w:line="343"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62" w:name="page63"/>
    <w:bookmarkEnd w:id="62"/>
    <w:p>
      <w:pPr>
        <w:ind w:left="2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1536700</wp:posOffset>
            </wp:positionH>
            <wp:positionV relativeFrom="page">
              <wp:posOffset>688975</wp:posOffset>
            </wp:positionV>
            <wp:extent cx="4483100" cy="5060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483100" cy="506095"/>
                    </a:xfrm>
                    <a:prstGeom prst="rect">
                      <a:avLst/>
                    </a:prstGeom>
                    <a:noFill/>
                  </pic:spPr>
                </pic:pic>
              </a:graphicData>
            </a:graphic>
          </wp:anchor>
        </w:drawing>
        <w:t>PEO SCT Total to CAP Reconciliation:</w:t>
      </w:r>
    </w:p>
    <w:p>
      <w:pPr>
        <w:spacing w:after="0" w:line="35" w:lineRule="exact"/>
        <w:rPr>
          <w:sz w:val="20"/>
          <w:szCs w:val="20"/>
          <w:color w:val="auto"/>
        </w:rPr>
      </w:pPr>
    </w:p>
    <w:tbl>
      <w:tblPr>
        <w:tblLayout w:type="fixed"/>
        <w:tblInd w:w="2110" w:type="dxa"/>
        <w:tblCellMar>
          <w:top w:w="0" w:type="dxa"/>
          <w:left w:w="0" w:type="dxa"/>
          <w:bottom w:w="0" w:type="dxa"/>
          <w:right w:w="0" w:type="dxa"/>
        </w:tblCellMar>
      </w:tblPr>
      <w:tr>
        <w:trPr>
          <w:trHeight w:val="148"/>
        </w:trPr>
        <w:tc>
          <w:tcPr>
            <w:tcW w:w="1620" w:type="dxa"/>
            <w:vAlign w:val="bottom"/>
            <w:tcBorders>
              <w:top w:val="single" w:sz="8" w:color="auto"/>
              <w:left w:val="single" w:sz="8" w:color="929292"/>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36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FFFFFF"/>
              </w:rPr>
              <w:t>SCT Total</w:t>
            </w:r>
          </w:p>
        </w:tc>
        <w:tc>
          <w:tcPr>
            <w:tcW w:w="13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Deductions from</w:t>
            </w:r>
          </w:p>
        </w:tc>
        <w:tc>
          <w:tcPr>
            <w:tcW w:w="13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Additions to SCT</w:t>
            </w:r>
          </w:p>
        </w:tc>
        <w:tc>
          <w:tcPr>
            <w:tcW w:w="1320" w:type="dxa"/>
            <w:vAlign w:val="bottom"/>
            <w:tcBorders>
              <w:top w:val="single" w:sz="8" w:color="auto"/>
            </w:tcBorders>
            <w:vMerge w:val="restart"/>
          </w:tcPr>
          <w:p>
            <w:pPr>
              <w:ind w:left="500"/>
              <w:spacing w:after="0"/>
              <w:rPr>
                <w:sz w:val="20"/>
                <w:szCs w:val="20"/>
                <w:color w:val="auto"/>
              </w:rPr>
            </w:pPr>
            <w:r>
              <w:rPr>
                <w:rFonts w:ascii="Arial" w:cs="Arial" w:eastAsia="Arial" w:hAnsi="Arial"/>
                <w:sz w:val="14"/>
                <w:szCs w:val="14"/>
                <w:b w:val="1"/>
                <w:bCs w:val="1"/>
                <w:color w:val="FFFFFF"/>
              </w:rPr>
              <w:t>CAP</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929292"/>
              <w:right w:val="single" w:sz="8" w:color="auto"/>
            </w:tcBorders>
            <w:vMerge w:val="continue"/>
            <w:shd w:val="clear" w:color="auto" w:fill="929292"/>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SCT Total</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Total</w:t>
            </w:r>
          </w:p>
        </w:tc>
        <w:tc>
          <w:tcPr>
            <w:tcW w:w="13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929292"/>
              <w:bottom w:val="single" w:sz="8" w:color="auto"/>
              <w:right w:val="single" w:sz="8" w:color="auto"/>
            </w:tcBorders>
            <w:shd w:val="clear" w:color="auto" w:fill="929292"/>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620" w:type="dxa"/>
            <w:vAlign w:val="bottom"/>
            <w:tcBorders>
              <w:left w:val="single" w:sz="8" w:color="929292"/>
              <w:bottom w:val="single" w:sz="8" w:color="6D6D6D"/>
              <w:right w:val="single" w:sz="8" w:color="auto"/>
            </w:tcBorders>
            <w:shd w:val="clear" w:color="auto" w:fill="929292"/>
          </w:tcPr>
          <w:p>
            <w:pPr>
              <w:spacing w:after="0"/>
              <w:rPr>
                <w:sz w:val="16"/>
                <w:szCs w:val="16"/>
                <w:color w:val="auto"/>
              </w:rPr>
            </w:pPr>
          </w:p>
        </w:tc>
        <w:tc>
          <w:tcPr>
            <w:tcW w:w="1360" w:type="dxa"/>
            <w:vAlign w:val="bottom"/>
            <w:tcBorders>
              <w:left w:val="single" w:sz="8" w:color="929292"/>
              <w:bottom w:val="single" w:sz="8" w:color="6D6D6D"/>
              <w:right w:val="single" w:sz="8" w:color="auto"/>
            </w:tcBorders>
            <w:shd w:val="clear" w:color="auto" w:fill="929292"/>
          </w:tcPr>
          <w:p>
            <w:pPr>
              <w:spacing w:after="0"/>
              <w:rPr>
                <w:sz w:val="16"/>
                <w:szCs w:val="16"/>
                <w:color w:val="auto"/>
              </w:rPr>
            </w:pPr>
          </w:p>
        </w:tc>
        <w:tc>
          <w:tcPr>
            <w:tcW w:w="1360" w:type="dxa"/>
            <w:vAlign w:val="bottom"/>
            <w:tcBorders>
              <w:bottom w:val="single" w:sz="8" w:color="6D6D6D"/>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w:t>
            </w:r>
          </w:p>
        </w:tc>
        <w:tc>
          <w:tcPr>
            <w:tcW w:w="1380" w:type="dxa"/>
            <w:vAlign w:val="bottom"/>
            <w:tcBorders>
              <w:bottom w:val="single" w:sz="8" w:color="6D6D6D"/>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(ii)</w:t>
            </w:r>
          </w:p>
        </w:tc>
        <w:tc>
          <w:tcPr>
            <w:tcW w:w="1320" w:type="dxa"/>
            <w:vAlign w:val="bottom"/>
            <w:tcBorders>
              <w:bottom w:val="single" w:sz="8" w:color="6D6D6D"/>
            </w:tcBorders>
            <w:shd w:val="clear" w:color="auto" w:fill="929292"/>
          </w:tcPr>
          <w:p>
            <w:pPr>
              <w:spacing w:after="0"/>
              <w:rPr>
                <w:sz w:val="16"/>
                <w:szCs w:val="16"/>
                <w:color w:val="auto"/>
              </w:rPr>
            </w:pPr>
          </w:p>
        </w:tc>
        <w:tc>
          <w:tcPr>
            <w:tcW w:w="20" w:type="dxa"/>
            <w:vAlign w:val="bottom"/>
            <w:tcBorders>
              <w:bottom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6D6D6D"/>
              <w:bottom w:val="single" w:sz="8" w:color="6D6D6D"/>
              <w:right w:val="single" w:sz="8" w:color="6D6D6D"/>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Mike Milotich</w:t>
            </w:r>
          </w:p>
        </w:tc>
        <w:tc>
          <w:tcPr>
            <w:tcW w:w="1360" w:type="dxa"/>
            <w:vAlign w:val="bottom"/>
            <w:tcBorders>
              <w:left w:val="single" w:sz="8" w:color="6D6D6D"/>
              <w:bottom w:val="single" w:sz="8" w:color="auto"/>
              <w:right w:val="single" w:sz="8" w:color="6D6D6D"/>
            </w:tcBorders>
            <w:shd w:val="clear" w:color="auto" w:fill="DBDBDB"/>
          </w:tcPr>
          <w:p>
            <w:pPr>
              <w:spacing w:after="0"/>
              <w:rPr>
                <w:sz w:val="17"/>
                <w:szCs w:val="17"/>
                <w:color w:val="auto"/>
              </w:rPr>
            </w:pPr>
          </w:p>
        </w:tc>
        <w:tc>
          <w:tcPr>
            <w:tcW w:w="1360" w:type="dxa"/>
            <w:vAlign w:val="bottom"/>
            <w:tcBorders>
              <w:bottom w:val="single" w:sz="8" w:color="auto"/>
              <w:right w:val="single" w:sz="8" w:color="6D6D6D"/>
            </w:tcBorders>
            <w:shd w:val="clear" w:color="auto" w:fill="DBDBDB"/>
          </w:tcPr>
          <w:p>
            <w:pPr>
              <w:spacing w:after="0"/>
              <w:rPr>
                <w:sz w:val="17"/>
                <w:szCs w:val="17"/>
                <w:color w:val="auto"/>
              </w:rPr>
            </w:pPr>
          </w:p>
        </w:tc>
        <w:tc>
          <w:tcPr>
            <w:tcW w:w="1380" w:type="dxa"/>
            <w:vAlign w:val="bottom"/>
            <w:tcBorders>
              <w:bottom w:val="single" w:sz="8" w:color="auto"/>
              <w:right w:val="single" w:sz="8" w:color="6D6D6D"/>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6D6D6D"/>
            </w:tcBorders>
            <w:shd w:val="clear" w:color="auto" w:fill="6D6D6D"/>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6D6D6D"/>
              <w:bottom w:val="single" w:sz="8" w:color="6D6D6D"/>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2025</w:t>
            </w:r>
          </w:p>
        </w:tc>
        <w:tc>
          <w:tcPr>
            <w:tcW w:w="136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$11,049,523</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$(8,725,948)</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$9,038,508</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$11,362,083</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4"/>
                <w:szCs w:val="14"/>
                <w:b w:val="1"/>
                <w:bCs w:val="1"/>
                <w:color w:val="auto"/>
              </w:rPr>
              <w:t>Simon Khalaf</w:t>
            </w:r>
          </w:p>
        </w:tc>
        <w:tc>
          <w:tcPr>
            <w:tcW w:w="1360" w:type="dxa"/>
            <w:vAlign w:val="bottom"/>
            <w:tcBorders>
              <w:left w:val="single" w:sz="8" w:color="6D6D6D"/>
              <w:bottom w:val="single" w:sz="8" w:color="6D6D6D"/>
              <w:right w:val="single" w:sz="8" w:color="6D6D6D"/>
            </w:tcBorders>
          </w:tcPr>
          <w:p>
            <w:pPr>
              <w:spacing w:after="0"/>
              <w:rPr>
                <w:sz w:val="17"/>
                <w:szCs w:val="17"/>
                <w:color w:val="auto"/>
              </w:rPr>
            </w:pPr>
          </w:p>
        </w:tc>
        <w:tc>
          <w:tcPr>
            <w:tcW w:w="1360" w:type="dxa"/>
            <w:vAlign w:val="bottom"/>
            <w:tcBorders>
              <w:bottom w:val="single" w:sz="8" w:color="6D6D6D"/>
              <w:right w:val="single" w:sz="8" w:color="6D6D6D"/>
            </w:tcBorders>
          </w:tcPr>
          <w:p>
            <w:pPr>
              <w:spacing w:after="0"/>
              <w:rPr>
                <w:sz w:val="17"/>
                <w:szCs w:val="17"/>
                <w:color w:val="auto"/>
              </w:rPr>
            </w:pPr>
          </w:p>
        </w:tc>
        <w:tc>
          <w:tcPr>
            <w:tcW w:w="1380" w:type="dxa"/>
            <w:vAlign w:val="bottom"/>
            <w:tcBorders>
              <w:bottom w:val="single" w:sz="8" w:color="6D6D6D"/>
              <w:right w:val="single" w:sz="8" w:color="6D6D6D"/>
            </w:tcBorders>
          </w:tcPr>
          <w:p>
            <w:pPr>
              <w:spacing w:after="0"/>
              <w:rPr>
                <w:sz w:val="17"/>
                <w:szCs w:val="17"/>
                <w:color w:val="auto"/>
              </w:rPr>
            </w:pPr>
          </w:p>
        </w:tc>
        <w:tc>
          <w:tcPr>
            <w:tcW w:w="1320" w:type="dxa"/>
            <w:vAlign w:val="bottom"/>
            <w:tcBorders>
              <w:bottom w:val="single" w:sz="8" w:color="6D6D6D"/>
            </w:tcBorders>
          </w:tcPr>
          <w:p>
            <w:pPr>
              <w:spacing w:after="0"/>
              <w:rPr>
                <w:sz w:val="17"/>
                <w:szCs w:val="17"/>
                <w:color w:val="auto"/>
              </w:rPr>
            </w:pPr>
          </w:p>
        </w:tc>
        <w:tc>
          <w:tcPr>
            <w:tcW w:w="20" w:type="dxa"/>
            <w:vAlign w:val="bottom"/>
            <w:tcBorders>
              <w:bottom w:val="single" w:sz="8" w:color="auto"/>
            </w:tcBorders>
            <w:shd w:val="clear" w:color="auto" w:fill="6D6D6D"/>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$113,546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$(8,835,194)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$(8,721,648)</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$11,445,828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$(10,321,451)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$(2,218,959)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$(1,094,582)</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$16,294,313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$(15,013,082)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$20,704,097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$21,985,328</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Jason Gardner</w:t>
            </w:r>
          </w:p>
        </w:tc>
        <w:tc>
          <w:tcPr>
            <w:tcW w:w="1360" w:type="dxa"/>
            <w:vAlign w:val="bottom"/>
            <w:tcBorders>
              <w:left w:val="single" w:sz="8" w:color="DBDBDB"/>
              <w:bottom w:val="single" w:sz="8" w:color="auto"/>
              <w:right w:val="single" w:sz="8" w:color="auto"/>
            </w:tcBorders>
            <w:shd w:val="clear" w:color="auto" w:fill="DBDBDB"/>
          </w:tcPr>
          <w:p>
            <w:pPr>
              <w:spacing w:after="0"/>
              <w:rPr>
                <w:sz w:val="17"/>
                <w:szCs w:val="17"/>
                <w:color w:val="auto"/>
              </w:rPr>
            </w:pPr>
          </w:p>
        </w:tc>
        <w:tc>
          <w:tcPr>
            <w:tcW w:w="1360" w:type="dxa"/>
            <w:vAlign w:val="bottom"/>
            <w:tcBorders>
              <w:bottom w:val="single" w:sz="8" w:color="auto"/>
              <w:right w:val="single" w:sz="8" w:color="auto"/>
            </w:tcBorders>
            <w:shd w:val="clear" w:color="auto" w:fill="DBDBDB"/>
          </w:tcPr>
          <w:p>
            <w:pPr>
              <w:spacing w:after="0"/>
              <w:rPr>
                <w:sz w:val="17"/>
                <w:szCs w:val="17"/>
                <w:color w:val="auto"/>
              </w:rPr>
            </w:pPr>
          </w:p>
        </w:tc>
        <w:tc>
          <w:tcPr>
            <w:tcW w:w="1380" w:type="dxa"/>
            <w:vAlign w:val="bottom"/>
            <w:tcBorders>
              <w:bottom w:val="single" w:sz="8" w:color="auto"/>
              <w:right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tcBorders>
              <w:left w:val="single" w:sz="8" w:color="DBDBDB"/>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$600,764</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$(13,190,962)</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$(12,590,198)</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left w:val="single" w:sz="8" w:color="DBDBDB"/>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$1,180,634</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$(98,054,615)</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$(96,873,981)</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left w:val="single" w:sz="8" w:color="DBDBDB"/>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$224,387,431</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$(223,774,512)</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$122,569,901</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$123,182,820</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40" w:type="dxa"/>
            <w:vAlign w:val="bottom"/>
            <w:tcBorders>
              <w:left w:val="single" w:sz="8" w:color="auto"/>
              <w:bottom w:val="single" w:sz="8" w:color="auto"/>
              <w:right w:val="single" w:sz="8" w:color="929292"/>
            </w:tcBorders>
            <w:gridSpan w:val="3"/>
            <w:shd w:val="clear" w:color="auto" w:fill="929292"/>
          </w:tcPr>
          <w:p>
            <w:pPr>
              <w:ind w:left="40"/>
              <w:spacing w:after="0"/>
              <w:rPr>
                <w:sz w:val="20"/>
                <w:szCs w:val="20"/>
                <w:color w:val="auto"/>
              </w:rPr>
            </w:pPr>
            <w:r>
              <w:rPr>
                <w:rFonts w:ascii="Arial" w:cs="Arial" w:eastAsia="Arial" w:hAnsi="Arial"/>
                <w:sz w:val="14"/>
                <w:szCs w:val="14"/>
                <w:b w:val="1"/>
                <w:bCs w:val="1"/>
                <w:color w:val="FFFFFF"/>
              </w:rPr>
              <w:t>Average Non-PEO NEOs SCT Total to CAP Reconciliation:</w:t>
            </w:r>
          </w:p>
        </w:tc>
        <w:tc>
          <w:tcPr>
            <w:tcW w:w="1380" w:type="dxa"/>
            <w:vAlign w:val="bottom"/>
            <w:tcBorders>
              <w:bottom w:val="single" w:sz="8" w:color="auto"/>
              <w:right w:val="single" w:sz="8" w:color="929292"/>
            </w:tcBorders>
            <w:shd w:val="clear" w:color="auto" w:fill="929292"/>
          </w:tcPr>
          <w:p>
            <w:pPr>
              <w:spacing w:after="0"/>
              <w:rPr>
                <w:sz w:val="16"/>
                <w:szCs w:val="16"/>
                <w:color w:val="auto"/>
              </w:rPr>
            </w:pPr>
          </w:p>
        </w:tc>
        <w:tc>
          <w:tcPr>
            <w:tcW w:w="1320" w:type="dxa"/>
            <w:vAlign w:val="bottom"/>
            <w:tcBorders>
              <w:bottom w:val="single" w:sz="8" w:color="auto"/>
            </w:tcBorders>
            <w:shd w:val="clear" w:color="auto" w:fill="92929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20" w:type="dxa"/>
            <w:vAlign w:val="bottom"/>
            <w:tcBorders>
              <w:left w:val="single" w:sz="8" w:color="auto"/>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360" w:type="dxa"/>
            <w:vAlign w:val="bottom"/>
            <w:tcBorders>
              <w:left w:val="single" w:sz="8" w:color="929292"/>
              <w:right w:val="single" w:sz="8" w:color="auto"/>
            </w:tcBorders>
            <w:vMerge w:val="restart"/>
            <w:shd w:val="clear" w:color="auto" w:fill="929292"/>
          </w:tcPr>
          <w:p>
            <w:pPr>
              <w:ind w:left="340"/>
              <w:spacing w:after="0"/>
              <w:rPr>
                <w:sz w:val="20"/>
                <w:szCs w:val="20"/>
                <w:color w:val="auto"/>
              </w:rPr>
            </w:pPr>
            <w:r>
              <w:rPr>
                <w:rFonts w:ascii="Arial" w:cs="Arial" w:eastAsia="Arial" w:hAnsi="Arial"/>
                <w:sz w:val="14"/>
                <w:szCs w:val="14"/>
                <w:b w:val="1"/>
                <w:bCs w:val="1"/>
                <w:color w:val="FFFFFF"/>
              </w:rPr>
              <w:t>SCT Total</w:t>
            </w:r>
          </w:p>
        </w:tc>
        <w:tc>
          <w:tcPr>
            <w:tcW w:w="136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Deductions from</w:t>
            </w:r>
          </w:p>
        </w:tc>
        <w:tc>
          <w:tcPr>
            <w:tcW w:w="138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Additions to SCT</w:t>
            </w:r>
          </w:p>
        </w:tc>
        <w:tc>
          <w:tcPr>
            <w:tcW w:w="1320" w:type="dxa"/>
            <w:vAlign w:val="bottom"/>
            <w:vMerge w:val="restart"/>
            <w:shd w:val="clear" w:color="auto" w:fill="929292"/>
          </w:tcPr>
          <w:p>
            <w:pPr>
              <w:ind w:left="500"/>
              <w:spacing w:after="0"/>
              <w:rPr>
                <w:sz w:val="20"/>
                <w:szCs w:val="20"/>
                <w:color w:val="auto"/>
              </w:rPr>
            </w:pPr>
            <w:r>
              <w:rPr>
                <w:rFonts w:ascii="Arial" w:cs="Arial" w:eastAsia="Arial" w:hAnsi="Arial"/>
                <w:sz w:val="14"/>
                <w:szCs w:val="14"/>
                <w:b w:val="1"/>
                <w:bCs w:val="1"/>
                <w:color w:val="FFFFFF"/>
              </w:rPr>
              <w:t>CAP</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continue"/>
            <w:shd w:val="clear" w:color="auto" w:fill="929292"/>
          </w:tcPr>
          <w:p>
            <w:pPr>
              <w:spacing w:after="0"/>
              <w:rPr>
                <w:sz w:val="10"/>
                <w:szCs w:val="10"/>
                <w:color w:val="auto"/>
              </w:rPr>
            </w:pPr>
          </w:p>
        </w:tc>
        <w:tc>
          <w:tcPr>
            <w:tcW w:w="1360" w:type="dxa"/>
            <w:vAlign w:val="bottom"/>
            <w:tcBorders>
              <w:left w:val="single" w:sz="8" w:color="929292"/>
              <w:right w:val="single" w:sz="8" w:color="auto"/>
            </w:tcBorders>
            <w:vMerge w:val="continue"/>
            <w:shd w:val="clear" w:color="auto" w:fill="929292"/>
          </w:tcPr>
          <w:p>
            <w:pPr>
              <w:spacing w:after="0"/>
              <w:rPr>
                <w:sz w:val="10"/>
                <w:szCs w:val="10"/>
                <w:color w:val="auto"/>
              </w:rPr>
            </w:pPr>
          </w:p>
        </w:tc>
        <w:tc>
          <w:tcPr>
            <w:tcW w:w="136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SCT Total</w:t>
            </w:r>
          </w:p>
        </w:tc>
        <w:tc>
          <w:tcPr>
            <w:tcW w:w="138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Total</w:t>
            </w:r>
          </w:p>
        </w:tc>
        <w:tc>
          <w:tcPr>
            <w:tcW w:w="1320" w:type="dxa"/>
            <w:vAlign w:val="bottom"/>
            <w:vMerge w:val="continue"/>
            <w:shd w:val="clear" w:color="auto" w:fill="92929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bottom w:val="single" w:sz="8" w:color="auto"/>
              <w:right w:val="single" w:sz="8" w:color="auto"/>
            </w:tcBorders>
            <w:shd w:val="clear" w:color="auto" w:fill="929292"/>
          </w:tcPr>
          <w:p>
            <w:pPr>
              <w:spacing w:after="0"/>
              <w:rPr>
                <w:sz w:val="6"/>
                <w:szCs w:val="6"/>
                <w:color w:val="auto"/>
              </w:rPr>
            </w:pPr>
          </w:p>
        </w:tc>
        <w:tc>
          <w:tcPr>
            <w:tcW w:w="1360" w:type="dxa"/>
            <w:vAlign w:val="bottom"/>
            <w:tcBorders>
              <w:left w:val="single" w:sz="8" w:color="929292"/>
              <w:bottom w:val="single" w:sz="8" w:color="auto"/>
              <w:right w:val="single" w:sz="8" w:color="auto"/>
            </w:tcBorders>
            <w:shd w:val="clear" w:color="auto" w:fill="929292"/>
          </w:tcPr>
          <w:p>
            <w:pPr>
              <w:spacing w:after="0"/>
              <w:rPr>
                <w:sz w:val="6"/>
                <w:szCs w:val="6"/>
                <w:color w:val="auto"/>
              </w:rPr>
            </w:pPr>
          </w:p>
        </w:tc>
        <w:tc>
          <w:tcPr>
            <w:tcW w:w="1360" w:type="dxa"/>
            <w:vAlign w:val="bottom"/>
            <w:tcBorders>
              <w:bottom w:val="single" w:sz="8" w:color="auto"/>
              <w:right w:val="single" w:sz="8" w:color="auto"/>
            </w:tcBorders>
            <w:vMerge w:val="continue"/>
            <w:shd w:val="clear" w:color="auto" w:fill="929292"/>
          </w:tcPr>
          <w:p>
            <w:pPr>
              <w:spacing w:after="0"/>
              <w:rPr>
                <w:sz w:val="6"/>
                <w:szCs w:val="6"/>
                <w:color w:val="auto"/>
              </w:rPr>
            </w:pPr>
          </w:p>
        </w:tc>
        <w:tc>
          <w:tcPr>
            <w:tcW w:w="1380" w:type="dxa"/>
            <w:vAlign w:val="bottom"/>
            <w:tcBorders>
              <w:bottom w:val="single" w:sz="8" w:color="auto"/>
              <w:right w:val="single" w:sz="8" w:color="auto"/>
            </w:tcBorders>
            <w:vMerge w:val="continue"/>
            <w:shd w:val="clear" w:color="auto" w:fill="929292"/>
          </w:tcPr>
          <w:p>
            <w:pPr>
              <w:spacing w:after="0"/>
              <w:rPr>
                <w:sz w:val="6"/>
                <w:szCs w:val="6"/>
                <w:color w:val="auto"/>
              </w:rPr>
            </w:pPr>
          </w:p>
        </w:tc>
        <w:tc>
          <w:tcPr>
            <w:tcW w:w="1320" w:type="dxa"/>
            <w:vAlign w:val="bottom"/>
            <w:tcBorders>
              <w:bottom w:val="single" w:sz="8" w:color="auto"/>
            </w:tcBorders>
            <w:shd w:val="clear" w:color="auto" w:fill="929292"/>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620" w:type="dxa"/>
            <w:vAlign w:val="bottom"/>
            <w:tcBorders>
              <w:left w:val="single" w:sz="8" w:color="auto"/>
              <w:bottom w:val="single" w:sz="8" w:color="auto"/>
              <w:right w:val="single" w:sz="8" w:color="auto"/>
            </w:tcBorders>
            <w:shd w:val="clear" w:color="auto" w:fill="929292"/>
          </w:tcPr>
          <w:p>
            <w:pPr>
              <w:spacing w:after="0"/>
              <w:rPr>
                <w:sz w:val="16"/>
                <w:szCs w:val="16"/>
                <w:color w:val="auto"/>
              </w:rPr>
            </w:pPr>
          </w:p>
        </w:tc>
        <w:tc>
          <w:tcPr>
            <w:tcW w:w="1360" w:type="dxa"/>
            <w:vAlign w:val="bottom"/>
            <w:tcBorders>
              <w:left w:val="single" w:sz="8" w:color="929292"/>
              <w:bottom w:val="single" w:sz="8" w:color="auto"/>
              <w:right w:val="single" w:sz="8" w:color="auto"/>
            </w:tcBorders>
            <w:shd w:val="clear" w:color="auto" w:fill="929292"/>
          </w:tcPr>
          <w:p>
            <w:pPr>
              <w:spacing w:after="0"/>
              <w:rPr>
                <w:sz w:val="16"/>
                <w:szCs w:val="16"/>
                <w:color w:val="auto"/>
              </w:rPr>
            </w:pPr>
          </w:p>
        </w:tc>
        <w:tc>
          <w:tcPr>
            <w:tcW w:w="136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w:t>
            </w:r>
          </w:p>
        </w:tc>
        <w:tc>
          <w:tcPr>
            <w:tcW w:w="138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(ii)</w:t>
            </w:r>
          </w:p>
        </w:tc>
        <w:tc>
          <w:tcPr>
            <w:tcW w:w="1320" w:type="dxa"/>
            <w:vAlign w:val="bottom"/>
            <w:tcBorders>
              <w:bottom w:val="single" w:sz="8" w:color="auto"/>
            </w:tcBorders>
            <w:shd w:val="clear" w:color="auto" w:fill="92929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$5,200,239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$(3,652,383)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$4,652,529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$6,200,385</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left w:val="single" w:sz="8" w:color="DBDBDB"/>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$4,764,577</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$(4,011,289)</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$(1,519,072)</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$(765,784)</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$6,880,645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$(4,887,264)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$8,551,672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$10,545,053</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left w:val="single" w:sz="8" w:color="DBDBDB"/>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$6,036,815</w:t>
            </w:r>
          </w:p>
        </w:tc>
        <w:tc>
          <w:tcPr>
            <w:tcW w:w="13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$(5,227,535)</w:t>
            </w:r>
          </w:p>
        </w:tc>
        <w:tc>
          <w:tcPr>
            <w:tcW w:w="13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$(6,423,636)</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$(5,614,356)</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$16,016,142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$(15,549,804)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$16,544,028</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$17,010,366</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hanging="324"/>
        <w:spacing w:after="0" w:line="261" w:lineRule="auto"/>
        <w:tabs>
          <w:tab w:leader="none" w:pos="973"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grant date fair value of equity-based awards granted each year. We did not sponsor a pension plan for any of the years reflected in this table; therefore, no adjustments to the SCT total related to pensions was needed.</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96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the value of equity calculated in accordance with the SEC methodology for determining CAP for each year shown. The Company has not paid dividends historically; thus no adjustments are made for this item. The valuation assumptions used to calculate fair values did not materially differ from those disclosed at the time of grant other than with respect to increased volatility and common stock price. As of December 31, 2025, the assumption we used for volatility was 83.04% and for the fair value of common stock was $4.75. As of December 31, 2024, the assumption we used for volatility was 69.52% and for the fair value of common stock was $3.79. As of December 31, 2023, the assumption we used for volatility was 71.69% and for the fair value of common stock was $6.98. As of December 31, 2022, the assumption we used for volatility was 60.84% and for the fair value of common stock was $6.11. As of December 31, 2021, the assumption we used for volatility was 49.59% and for the fair value of common stock was $17.17. The equity components of CAP for fiscal years 2021-2025 are further detailed in the supplemental tables below (due to rounding, the totals shown may not equal the precise values obtained by adding and subtracting the numbers in the column or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619760</wp:posOffset>
            </wp:positionH>
            <wp:positionV relativeFrom="page">
              <wp:posOffset>688975</wp:posOffset>
            </wp:positionV>
            <wp:extent cx="6583680" cy="24942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83680" cy="2494280"/>
                    </a:xfrm>
                    <a:prstGeom prst="rect">
                      <a:avLst/>
                    </a:prstGeom>
                    <a:noFill/>
                  </pic:spPr>
                </pic:pic>
              </a:graphicData>
            </a:graphic>
          </wp:anchor>
        </w:drawing>
        <w:t>PEO Equity Component of CAP for FY2025:</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in FY2025</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That Vested in FY2025</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FY2025 that Vested</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12/31/2025</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12/31/2025</w:t>
            </w: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During FY2025</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FY2025, determined as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14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 (d)+ (e)</w:t>
            </w:r>
          </w:p>
        </w:tc>
        <w:tc>
          <w:tcPr>
            <w:tcW w:w="0" w:type="dxa"/>
            <w:vAlign w:val="bottom"/>
          </w:tcPr>
          <w:p>
            <w:pPr>
              <w:spacing w:after="0"/>
              <w:rPr>
                <w:sz w:val="1"/>
                <w:szCs w:val="1"/>
                <w:color w:val="auto"/>
              </w:rPr>
            </w:pPr>
          </w:p>
        </w:tc>
      </w:tr>
      <w:tr>
        <w:trPr>
          <w:trHeight w:val="69"/>
        </w:trPr>
        <w:tc>
          <w:tcPr>
            <w:tcW w:w="11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140" w:type="dxa"/>
            <w:vAlign w:val="bottom"/>
            <w:tcBorders>
              <w:left w:val="single" w:sz="8" w:color="F2F2F2"/>
              <w:right w:val="single" w:sz="8" w:color="auto"/>
            </w:tcBorders>
            <w:shd w:val="clear" w:color="auto" w:fill="F2F2F2"/>
          </w:tcPr>
          <w:p>
            <w:pPr>
              <w:ind w:left="20"/>
              <w:spacing w:after="0" w:line="153" w:lineRule="exact"/>
              <w:rPr>
                <w:sz w:val="20"/>
                <w:szCs w:val="20"/>
                <w:color w:val="auto"/>
              </w:rPr>
            </w:pPr>
            <w:r>
              <w:rPr>
                <w:rFonts w:ascii="Arial" w:cs="Arial" w:eastAsia="Arial" w:hAnsi="Arial"/>
                <w:sz w:val="14"/>
                <w:szCs w:val="14"/>
                <w:b w:val="1"/>
                <w:bCs w:val="1"/>
                <w:color w:val="auto"/>
              </w:rPr>
              <w:t>Michael</w:t>
            </w:r>
          </w:p>
        </w:tc>
        <w:tc>
          <w:tcPr>
            <w:tcW w:w="1620" w:type="dxa"/>
            <w:vAlign w:val="bottom"/>
            <w:tcBorders>
              <w:right w:val="single" w:sz="8" w:color="auto"/>
            </w:tcBorders>
            <w:shd w:val="clear" w:color="auto" w:fill="F2F2F2"/>
          </w:tcPr>
          <w:p>
            <w:pPr>
              <w:spacing w:after="0"/>
              <w:rPr>
                <w:sz w:val="13"/>
                <w:szCs w:val="13"/>
                <w:color w:val="auto"/>
              </w:rPr>
            </w:pPr>
          </w:p>
        </w:tc>
        <w:tc>
          <w:tcPr>
            <w:tcW w:w="1620" w:type="dxa"/>
            <w:vAlign w:val="bottom"/>
            <w:tcBorders>
              <w:right w:val="single" w:sz="8" w:color="auto"/>
            </w:tcBorders>
            <w:shd w:val="clear" w:color="auto" w:fill="F2F2F2"/>
          </w:tcPr>
          <w:p>
            <w:pPr>
              <w:spacing w:after="0"/>
              <w:rPr>
                <w:sz w:val="13"/>
                <w:szCs w:val="13"/>
                <w:color w:val="auto"/>
              </w:rPr>
            </w:pPr>
          </w:p>
        </w:tc>
        <w:tc>
          <w:tcPr>
            <w:tcW w:w="1620" w:type="dxa"/>
            <w:vAlign w:val="bottom"/>
            <w:tcBorders>
              <w:right w:val="single" w:sz="8" w:color="auto"/>
            </w:tcBorders>
            <w:shd w:val="clear" w:color="auto" w:fill="F2F2F2"/>
          </w:tcPr>
          <w:p>
            <w:pPr>
              <w:spacing w:after="0"/>
              <w:rPr>
                <w:sz w:val="13"/>
                <w:szCs w:val="13"/>
                <w:color w:val="auto"/>
              </w:rPr>
            </w:pPr>
          </w:p>
        </w:tc>
        <w:tc>
          <w:tcPr>
            <w:tcW w:w="1620" w:type="dxa"/>
            <w:vAlign w:val="bottom"/>
            <w:tcBorders>
              <w:right w:val="single" w:sz="8" w:color="auto"/>
            </w:tcBorders>
            <w:shd w:val="clear" w:color="auto" w:fill="F2F2F2"/>
          </w:tcPr>
          <w:p>
            <w:pPr>
              <w:spacing w:after="0"/>
              <w:rPr>
                <w:sz w:val="13"/>
                <w:szCs w:val="13"/>
                <w:color w:val="auto"/>
              </w:rPr>
            </w:pPr>
          </w:p>
        </w:tc>
        <w:tc>
          <w:tcPr>
            <w:tcW w:w="1620" w:type="dxa"/>
            <w:vAlign w:val="bottom"/>
            <w:tcBorders>
              <w:right w:val="single" w:sz="8" w:color="auto"/>
            </w:tcBorders>
            <w:shd w:val="clear" w:color="auto" w:fill="F2F2F2"/>
          </w:tcPr>
          <w:p>
            <w:pPr>
              <w:spacing w:after="0"/>
              <w:rPr>
                <w:sz w:val="13"/>
                <w:szCs w:val="13"/>
                <w:color w:val="auto"/>
              </w:rPr>
            </w:pPr>
          </w:p>
        </w:tc>
        <w:tc>
          <w:tcPr>
            <w:tcW w:w="1140" w:type="dxa"/>
            <w:vAlign w:val="bottom"/>
            <w:tcBorders>
              <w:right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Milotich</w:t>
            </w:r>
          </w:p>
        </w:tc>
        <w:tc>
          <w:tcPr>
            <w:tcW w:w="1620" w:type="dxa"/>
            <w:vAlign w:val="bottom"/>
            <w:tcBorders>
              <w:bottom w:val="single" w:sz="8" w:color="auto"/>
              <w:right w:val="single" w:sz="8" w:color="auto"/>
            </w:tcBorders>
            <w:shd w:val="clear" w:color="auto" w:fill="F2F2F2"/>
          </w:tcPr>
          <w:p>
            <w:pPr>
              <w:spacing w:after="0"/>
              <w:rPr>
                <w:sz w:val="16"/>
                <w:szCs w:val="16"/>
                <w:color w:val="auto"/>
              </w:rPr>
            </w:pPr>
          </w:p>
        </w:tc>
        <w:tc>
          <w:tcPr>
            <w:tcW w:w="1620" w:type="dxa"/>
            <w:vAlign w:val="bottom"/>
            <w:tcBorders>
              <w:bottom w:val="single" w:sz="8" w:color="auto"/>
              <w:right w:val="single" w:sz="8" w:color="auto"/>
            </w:tcBorders>
            <w:shd w:val="clear" w:color="auto" w:fill="F2F2F2"/>
          </w:tcPr>
          <w:p>
            <w:pPr>
              <w:spacing w:after="0"/>
              <w:rPr>
                <w:sz w:val="16"/>
                <w:szCs w:val="16"/>
                <w:color w:val="auto"/>
              </w:rPr>
            </w:pPr>
          </w:p>
        </w:tc>
        <w:tc>
          <w:tcPr>
            <w:tcW w:w="1620" w:type="dxa"/>
            <w:vAlign w:val="bottom"/>
            <w:tcBorders>
              <w:bottom w:val="single" w:sz="8" w:color="auto"/>
              <w:right w:val="single" w:sz="8" w:color="auto"/>
            </w:tcBorders>
            <w:shd w:val="clear" w:color="auto" w:fill="F2F2F2"/>
          </w:tcPr>
          <w:p>
            <w:pPr>
              <w:spacing w:after="0"/>
              <w:rPr>
                <w:sz w:val="16"/>
                <w:szCs w:val="16"/>
                <w:color w:val="auto"/>
              </w:rPr>
            </w:pPr>
          </w:p>
        </w:tc>
        <w:tc>
          <w:tcPr>
            <w:tcW w:w="1620" w:type="dxa"/>
            <w:vAlign w:val="bottom"/>
            <w:tcBorders>
              <w:bottom w:val="single" w:sz="8" w:color="auto"/>
              <w:right w:val="single" w:sz="8" w:color="auto"/>
            </w:tcBorders>
            <w:shd w:val="clear" w:color="auto" w:fill="F2F2F2"/>
          </w:tcPr>
          <w:p>
            <w:pPr>
              <w:spacing w:after="0"/>
              <w:rPr>
                <w:sz w:val="16"/>
                <w:szCs w:val="16"/>
                <w:color w:val="auto"/>
              </w:rPr>
            </w:pPr>
          </w:p>
        </w:tc>
        <w:tc>
          <w:tcPr>
            <w:tcW w:w="1620" w:type="dxa"/>
            <w:vAlign w:val="bottom"/>
            <w:tcBorders>
              <w:bottom w:val="single" w:sz="8" w:color="auto"/>
              <w:right w:val="single" w:sz="8" w:color="auto"/>
            </w:tcBorders>
            <w:shd w:val="clear" w:color="auto" w:fill="F2F2F2"/>
          </w:tcPr>
          <w:p>
            <w:pPr>
              <w:spacing w:after="0"/>
              <w:rPr>
                <w:sz w:val="16"/>
                <w:szCs w:val="16"/>
                <w:color w:val="auto"/>
              </w:rPr>
            </w:pPr>
          </w:p>
        </w:tc>
        <w:tc>
          <w:tcPr>
            <w:tcW w:w="1140" w:type="dxa"/>
            <w:vAlign w:val="bottom"/>
            <w:tcBorders>
              <w:bottom w:val="single" w:sz="8" w:color="auto"/>
              <w:right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$87,260</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$(921,446)</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$(834,186)</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$6,640,893</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$333,162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$1,650,549</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$997,926</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$9,622,530</w:t>
            </w: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PSUs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$117,322</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$141,127</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$(8,285)</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$250,164</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$6,640,893</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$537,744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$870,230</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$997,926</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$(8,285)</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$9,038,508</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Simon Khalaf</w:t>
            </w: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140" w:type="dxa"/>
            <w:vAlign w:val="bottom"/>
            <w:tcBorders>
              <w:bottom w:val="single" w:sz="8" w:color="auto"/>
              <w:right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$3,123</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$(2,167,751)</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$(2,164,628)</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$82,401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$(5,378,999)</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$(5,296,598)</w:t>
            </w: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PSUs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$63,715</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$(1,437,683)</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$(1,373,968)</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$149,239</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$(8,984,433)</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$(8,835,194)</w:t>
            </w:r>
          </w:p>
        </w:tc>
        <w:tc>
          <w:tcPr>
            <w:tcW w:w="0" w:type="dxa"/>
            <w:vAlign w:val="bottom"/>
          </w:tcPr>
          <w:p>
            <w:pPr>
              <w:spacing w:after="0"/>
              <w:rPr>
                <w:sz w:val="1"/>
                <w:szCs w:val="1"/>
                <w:color w:val="auto"/>
              </w:rPr>
            </w:pPr>
          </w:p>
        </w:tc>
      </w:tr>
      <w:tr>
        <w:trPr>
          <w:trHeight w:val="251"/>
        </w:trPr>
        <w:tc>
          <w:tcPr>
            <w:tcW w:w="1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tcBorders>
              <w:left w:val="single" w:sz="8" w:color="auto"/>
              <w:bottom w:val="single" w:sz="8" w:color="auto"/>
              <w:right w:val="single" w:sz="8" w:color="929292"/>
            </w:tcBorders>
            <w:gridSpan w:val="3"/>
            <w:shd w:val="clear" w:color="auto" w:fill="929292"/>
          </w:tcPr>
          <w:p>
            <w:pPr>
              <w:ind w:left="20"/>
              <w:spacing w:after="0"/>
              <w:rPr>
                <w:sz w:val="20"/>
                <w:szCs w:val="20"/>
                <w:color w:val="auto"/>
              </w:rPr>
            </w:pPr>
            <w:r>
              <w:rPr>
                <w:rFonts w:ascii="Arial" w:cs="Arial" w:eastAsia="Arial" w:hAnsi="Arial"/>
                <w:sz w:val="14"/>
                <w:szCs w:val="14"/>
                <w:b w:val="1"/>
                <w:bCs w:val="1"/>
                <w:color w:val="FFFFFF"/>
              </w:rPr>
              <w:t>Average Non-PEO NEOs Equity Component of CAP for FY2025:</w:t>
            </w: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140" w:type="dxa"/>
            <w:vAlign w:val="bottom"/>
            <w:tcBorders>
              <w:bottom w:val="single" w:sz="8" w:color="auto"/>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in FY2025</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continue"/>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Borders>
              <w:right w:val="single" w:sz="8" w:color="auto"/>
            </w:tcBorders>
            <w:vMerge w:val="continue"/>
            <w:shd w:val="clear" w:color="auto" w:fill="92929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vMerge w:val="restart"/>
            <w:shd w:val="clear" w:color="auto" w:fill="929292"/>
          </w:tcPr>
          <w:p>
            <w:pPr>
              <w:ind w:left="16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FY2025 that Vested</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FY2025, determined as</w:t>
            </w:r>
          </w:p>
        </w:tc>
        <w:tc>
          <w:tcPr>
            <w:tcW w:w="114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vMerge w:val="continue"/>
            <w:shd w:val="clear" w:color="auto" w:fill="929292"/>
          </w:tcPr>
          <w:p>
            <w:pPr>
              <w:spacing w:after="0"/>
              <w:rPr>
                <w:sz w:val="16"/>
                <w:szCs w:val="16"/>
                <w:color w:val="auto"/>
              </w:rPr>
            </w:pP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12/31/2025</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12/31/2025</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That Vested in FY2025</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During FY2025</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15"/>
        </w:trPr>
        <w:tc>
          <w:tcPr>
            <w:tcW w:w="11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(d)+ (e)</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14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$296,868</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$(340,345)</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$(43,477)</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$2,832,075</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$356,718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$1,014,782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$(598,851)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$3,604,724</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PSUs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$917,556</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$81,475</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$98,004</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$(5,753)</w:t>
            </w:r>
          </w:p>
        </w:tc>
        <w:tc>
          <w:tcPr>
            <w:tcW w:w="11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$1,091,282</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$3,749,631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$735,061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$772,441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$(598,851)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$(5,753)</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$4,652,529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sz w:val="1"/>
          <w:szCs w:val="1"/>
          <w:color w:val="auto"/>
        </w:rPr>
        <w:drawing>
          <wp:inline distT="0" distB="0" distL="0" distR="0">
            <wp:extent cx="1105535" cy="154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168910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102" w:right="359" w:bottom="1440" w:gutter="0" w:footer="0" w:header="0"/>
        </w:sectPr>
      </w:pPr>
    </w:p>
    <w:bookmarkStart w:id="64" w:name="page65"/>
    <w:bookmarkEnd w:id="64"/>
    <w:p>
      <w:pPr>
        <w:ind w:left="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6583680" cy="17233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83680" cy="1723390"/>
                    </a:xfrm>
                    <a:prstGeom prst="rect">
                      <a:avLst/>
                    </a:prstGeom>
                    <a:noFill/>
                  </pic:spPr>
                </pic:pic>
              </a:graphicData>
            </a:graphic>
          </wp:anchor>
        </w:drawing>
        <w:t>PEO Equity Component of CAP for FY2024:</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in FY2024</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That Vested in FY2024</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FY2024 that Vested</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12/31/2024</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12/31/2024</w:t>
            </w: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During FY2024</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FY2024, determined as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(f) = (a) + (b) + (c)</w:t>
            </w:r>
          </w:p>
        </w:tc>
        <w:tc>
          <w:tcPr>
            <w:tcW w:w="0" w:type="dxa"/>
            <w:vAlign w:val="bottom"/>
          </w:tcPr>
          <w:p>
            <w:pPr>
              <w:spacing w:after="0"/>
              <w:rPr>
                <w:sz w:val="1"/>
                <w:szCs w:val="1"/>
                <w:color w:val="auto"/>
              </w:rPr>
            </w:pPr>
          </w:p>
        </w:tc>
      </w:tr>
      <w:tr>
        <w:trPr>
          <w:trHeight w:val="113"/>
        </w:trPr>
        <w:tc>
          <w:tcPr>
            <w:tcW w:w="114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 (d)+ (e)</w:t>
            </w:r>
          </w:p>
        </w:tc>
        <w:tc>
          <w:tcPr>
            <w:tcW w:w="0" w:type="dxa"/>
            <w:vAlign w:val="bottom"/>
          </w:tcPr>
          <w:p>
            <w:pPr>
              <w:spacing w:after="0"/>
              <w:rPr>
                <w:sz w:val="1"/>
                <w:szCs w:val="1"/>
                <w:color w:val="auto"/>
              </w:rPr>
            </w:pPr>
          </w:p>
        </w:tc>
      </w:tr>
      <w:tr>
        <w:trPr>
          <w:trHeight w:val="69"/>
        </w:trPr>
        <w:tc>
          <w:tcPr>
            <w:tcW w:w="11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140" w:type="dxa"/>
            <w:vAlign w:val="bottom"/>
            <w:tcBorders>
              <w:left w:val="single" w:sz="8" w:color="F2F2F2"/>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Simon Khalaf</w:t>
            </w: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140" w:type="dxa"/>
            <w:vAlign w:val="bottom"/>
            <w:tcBorders>
              <w:bottom w:val="single" w:sz="8" w:color="auto"/>
              <w:right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$(2,618,277)</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$(1,324,266)</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$(3,942,543)</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$3,457,428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$(2,390,478)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$(985,558)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$(333,478)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$(252,086)</w:t>
            </w: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PSUs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$1,975,670</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$1,975,670</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$5,433,098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$(5,008,755)</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$(2,309,824)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$(333,478)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$(2,218,959)</w:t>
            </w:r>
          </w:p>
        </w:tc>
        <w:tc>
          <w:tcPr>
            <w:tcW w:w="0" w:type="dxa"/>
            <w:vAlign w:val="bottom"/>
          </w:tcPr>
          <w:p>
            <w:pPr>
              <w:spacing w:after="0"/>
              <w:rPr>
                <w:sz w:val="1"/>
                <w:szCs w:val="1"/>
                <w:color w:val="auto"/>
              </w:rPr>
            </w:pPr>
          </w:p>
        </w:tc>
      </w:tr>
      <w:tr>
        <w:trPr>
          <w:trHeight w:val="251"/>
        </w:trPr>
        <w:tc>
          <w:tcPr>
            <w:tcW w:w="1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tcBorders>
              <w:left w:val="single" w:sz="8" w:color="auto"/>
              <w:bottom w:val="single" w:sz="8" w:color="auto"/>
              <w:right w:val="single" w:sz="8" w:color="929292"/>
            </w:tcBorders>
            <w:gridSpan w:val="3"/>
            <w:shd w:val="clear" w:color="auto" w:fill="929292"/>
          </w:tcPr>
          <w:p>
            <w:pPr>
              <w:ind w:left="40"/>
              <w:spacing w:after="0"/>
              <w:rPr>
                <w:sz w:val="20"/>
                <w:szCs w:val="20"/>
                <w:color w:val="auto"/>
              </w:rPr>
            </w:pPr>
            <w:r>
              <w:rPr>
                <w:rFonts w:ascii="Arial" w:cs="Arial" w:eastAsia="Arial" w:hAnsi="Arial"/>
                <w:sz w:val="14"/>
                <w:szCs w:val="14"/>
                <w:b w:val="1"/>
                <w:bCs w:val="1"/>
                <w:color w:val="FFFFFF"/>
              </w:rPr>
              <w:t>Average Non-PEO NEOs Equity Component of CAP for FY2024:</w:t>
            </w: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140" w:type="dxa"/>
            <w:vAlign w:val="bottom"/>
            <w:tcBorders>
              <w:bottom w:val="single" w:sz="8" w:color="auto"/>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in FY2024</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continue"/>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Borders>
              <w:right w:val="single" w:sz="8" w:color="auto"/>
            </w:tcBorders>
            <w:vMerge w:val="continue"/>
            <w:shd w:val="clear" w:color="auto" w:fill="92929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vMerge w:val="restart"/>
            <w:shd w:val="clear" w:color="auto" w:fill="929292"/>
          </w:tcPr>
          <w:p>
            <w:pPr>
              <w:ind w:left="18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FY2024 that Vested</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FY2024, determined as</w:t>
            </w:r>
          </w:p>
        </w:tc>
        <w:tc>
          <w:tcPr>
            <w:tcW w:w="114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vMerge w:val="continue"/>
            <w:shd w:val="clear" w:color="auto" w:fill="929292"/>
          </w:tcPr>
          <w:p>
            <w:pPr>
              <w:spacing w:after="0"/>
              <w:rPr>
                <w:sz w:val="16"/>
                <w:szCs w:val="16"/>
                <w:color w:val="auto"/>
              </w:rPr>
            </w:pP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12/31/2024</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12/31/2024</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That Vested in FY2024</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During FY2024</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15"/>
        </w:trPr>
        <w:tc>
          <w:tcPr>
            <w:tcW w:w="11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8"/>
              </w:rPr>
              <w:t>(f) = (a) + (b) + (c)</w:t>
            </w: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 (d)+ (e)</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14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$(914,927)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$(773,643)</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$(1,688,570)</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$1,013,656</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$(890,921)</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$(402,865)</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$(129,601)</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$(409,731)</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PSUs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$579,229</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$579,229</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$1,592,885</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$(1,805,848)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$(1,176,508)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$(129,601)</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$(1,519,072)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102" w:right="1199"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619760</wp:posOffset>
            </wp:positionH>
            <wp:positionV relativeFrom="page">
              <wp:posOffset>688975</wp:posOffset>
            </wp:positionV>
            <wp:extent cx="6583680" cy="24085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83680" cy="2408555"/>
                    </a:xfrm>
                    <a:prstGeom prst="rect">
                      <a:avLst/>
                    </a:prstGeom>
                    <a:noFill/>
                  </pic:spPr>
                </pic:pic>
              </a:graphicData>
            </a:graphic>
          </wp:anchor>
        </w:drawing>
        <w:t>PEO Equity Component of CAP for FY2023:</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in FY2023</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That Vested in FY2023</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FY2023 that Vested</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12/31/2023</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12/31/2023</w:t>
            </w:r>
          </w:p>
        </w:tc>
        <w:tc>
          <w:tcPr>
            <w:tcW w:w="16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During FY2023</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FY2023, determined as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14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 (d)+ (e)</w:t>
            </w:r>
          </w:p>
        </w:tc>
        <w:tc>
          <w:tcPr>
            <w:tcW w:w="0" w:type="dxa"/>
            <w:vAlign w:val="bottom"/>
          </w:tcPr>
          <w:p>
            <w:pPr>
              <w:spacing w:after="0"/>
              <w:rPr>
                <w:sz w:val="1"/>
                <w:szCs w:val="1"/>
                <w:color w:val="auto"/>
              </w:rPr>
            </w:pPr>
          </w:p>
        </w:tc>
      </w:tr>
      <w:tr>
        <w:trPr>
          <w:trHeight w:val="69"/>
        </w:trPr>
        <w:tc>
          <w:tcPr>
            <w:tcW w:w="11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Simon Khalaf</w:t>
            </w: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620" w:type="dxa"/>
            <w:vAlign w:val="bottom"/>
            <w:tcBorders>
              <w:bottom w:val="single" w:sz="8" w:color="auto"/>
              <w:right w:val="single" w:sz="8" w:color="auto"/>
            </w:tcBorders>
            <w:shd w:val="clear" w:color="auto" w:fill="F2F2F2"/>
          </w:tcPr>
          <w:p>
            <w:pPr>
              <w:spacing w:after="0"/>
              <w:rPr>
                <w:sz w:val="17"/>
                <w:szCs w:val="17"/>
                <w:color w:val="auto"/>
              </w:rPr>
            </w:pPr>
          </w:p>
        </w:tc>
        <w:tc>
          <w:tcPr>
            <w:tcW w:w="1140" w:type="dxa"/>
            <w:vAlign w:val="bottom"/>
            <w:tcBorders>
              <w:bottom w:val="single" w:sz="8" w:color="auto"/>
              <w:right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i w:val="1"/>
                <w:iCs w:val="1"/>
                <w:color w:val="auto"/>
              </w:rPr>
              <w:t>Options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$5,878,830</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$2,700,839</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$(172,891)</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$1,666,232</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$10,073,010</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i w:val="1"/>
                <w:iCs w:val="1"/>
                <w:color w:val="auto"/>
              </w:rPr>
              <w:t>RSUs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$6,068,705</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$3,098,457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$(217,957)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$1,681,882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$10,631,087</w:t>
            </w: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i w:val="1"/>
                <w:iCs w:val="1"/>
                <w:color w:val="auto"/>
              </w:rPr>
              <w:t>PSOs</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i w:val="1"/>
                <w:i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$11,947,535</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$5,799,296</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$(390,848)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w w:val="99"/>
              </w:rPr>
              <w:t>$3,348,114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$20,704,097</w:t>
            </w:r>
          </w:p>
        </w:tc>
        <w:tc>
          <w:tcPr>
            <w:tcW w:w="0" w:type="dxa"/>
            <w:vAlign w:val="bottom"/>
          </w:tcPr>
          <w:p>
            <w:pPr>
              <w:spacing w:after="0"/>
              <w:rPr>
                <w:sz w:val="1"/>
                <w:szCs w:val="1"/>
                <w:color w:val="auto"/>
              </w:rPr>
            </w:pPr>
          </w:p>
        </w:tc>
      </w:tr>
      <w:tr>
        <w:trPr>
          <w:trHeight w:val="196"/>
        </w:trPr>
        <w:tc>
          <w:tcPr>
            <w:tcW w:w="1140" w:type="dxa"/>
            <w:vAlign w:val="bottom"/>
            <w:tcBorders>
              <w:left w:val="single" w:sz="8" w:color="DBDBDB"/>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Jason Gardner</w:t>
            </w:r>
          </w:p>
        </w:tc>
        <w:tc>
          <w:tcPr>
            <w:tcW w:w="1620" w:type="dxa"/>
            <w:vAlign w:val="bottom"/>
            <w:tcBorders>
              <w:bottom w:val="single" w:sz="8" w:color="auto"/>
              <w:right w:val="single" w:sz="8" w:color="auto"/>
            </w:tcBorders>
            <w:shd w:val="clear" w:color="auto" w:fill="DBDBDB"/>
          </w:tcPr>
          <w:p>
            <w:pPr>
              <w:spacing w:after="0"/>
              <w:rPr>
                <w:sz w:val="17"/>
                <w:szCs w:val="17"/>
                <w:color w:val="auto"/>
              </w:rPr>
            </w:pPr>
          </w:p>
        </w:tc>
        <w:tc>
          <w:tcPr>
            <w:tcW w:w="1620" w:type="dxa"/>
            <w:vAlign w:val="bottom"/>
            <w:tcBorders>
              <w:bottom w:val="single" w:sz="8" w:color="auto"/>
              <w:right w:val="single" w:sz="8" w:color="auto"/>
            </w:tcBorders>
            <w:shd w:val="clear" w:color="auto" w:fill="DBDBDB"/>
          </w:tcPr>
          <w:p>
            <w:pPr>
              <w:spacing w:after="0"/>
              <w:rPr>
                <w:sz w:val="17"/>
                <w:szCs w:val="17"/>
                <w:color w:val="auto"/>
              </w:rPr>
            </w:pPr>
          </w:p>
        </w:tc>
        <w:tc>
          <w:tcPr>
            <w:tcW w:w="1620" w:type="dxa"/>
            <w:vAlign w:val="bottom"/>
            <w:tcBorders>
              <w:bottom w:val="single" w:sz="8" w:color="auto"/>
              <w:right w:val="single" w:sz="8" w:color="auto"/>
            </w:tcBorders>
            <w:shd w:val="clear" w:color="auto" w:fill="DBDBDB"/>
          </w:tcPr>
          <w:p>
            <w:pPr>
              <w:spacing w:after="0"/>
              <w:rPr>
                <w:sz w:val="17"/>
                <w:szCs w:val="17"/>
                <w:color w:val="auto"/>
              </w:rPr>
            </w:pPr>
          </w:p>
        </w:tc>
        <w:tc>
          <w:tcPr>
            <w:tcW w:w="1620" w:type="dxa"/>
            <w:vAlign w:val="bottom"/>
            <w:tcBorders>
              <w:bottom w:val="single" w:sz="8" w:color="auto"/>
              <w:right w:val="single" w:sz="8" w:color="auto"/>
            </w:tcBorders>
            <w:shd w:val="clear" w:color="auto" w:fill="DBDBDB"/>
          </w:tcPr>
          <w:p>
            <w:pPr>
              <w:spacing w:after="0"/>
              <w:rPr>
                <w:sz w:val="17"/>
                <w:szCs w:val="17"/>
                <w:color w:val="auto"/>
              </w:rPr>
            </w:pPr>
          </w:p>
        </w:tc>
        <w:tc>
          <w:tcPr>
            <w:tcW w:w="1620" w:type="dxa"/>
            <w:vAlign w:val="bottom"/>
            <w:tcBorders>
              <w:bottom w:val="single" w:sz="8" w:color="auto"/>
              <w:right w:val="single" w:sz="8" w:color="auto"/>
            </w:tcBorders>
            <w:shd w:val="clear" w:color="auto" w:fill="DBDBDB"/>
          </w:tcPr>
          <w:p>
            <w:pPr>
              <w:spacing w:after="0"/>
              <w:rPr>
                <w:sz w:val="17"/>
                <w:szCs w:val="17"/>
                <w:color w:val="auto"/>
              </w:rPr>
            </w:pPr>
          </w:p>
        </w:tc>
        <w:tc>
          <w:tcPr>
            <w:tcW w:w="1140" w:type="dxa"/>
            <w:vAlign w:val="bottom"/>
            <w:tcBorders>
              <w:bottom w:val="single" w:sz="8" w:color="auto"/>
              <w:right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i w:val="1"/>
                <w:iCs w:val="1"/>
                <w:color w:val="auto"/>
              </w:rPr>
              <w:t>Options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$220,027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$(109,122)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$110,905</w:t>
            </w:r>
          </w:p>
        </w:tc>
        <w:tc>
          <w:tcPr>
            <w:tcW w:w="0" w:type="dxa"/>
            <w:vAlign w:val="bottom"/>
          </w:tcPr>
          <w:p>
            <w:pPr>
              <w:spacing w:after="0"/>
              <w:rPr>
                <w:sz w:val="1"/>
                <w:szCs w:val="1"/>
                <w:color w:val="auto"/>
              </w:rPr>
            </w:pPr>
          </w:p>
        </w:tc>
      </w:tr>
      <w:tr>
        <w:trPr>
          <w:trHeight w:val="196"/>
        </w:trPr>
        <w:tc>
          <w:tcPr>
            <w:tcW w:w="114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i w:val="1"/>
                <w:iCs w:val="1"/>
                <w:color w:val="auto"/>
              </w:rPr>
              <w:t>RSUs</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i w:val="1"/>
                <w:iCs w:val="1"/>
                <w:color w:val="auto"/>
              </w:rPr>
              <w:t>PSOs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$(13,301,867)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$(13,301,867)</w:t>
            </w:r>
          </w:p>
        </w:tc>
        <w:tc>
          <w:tcPr>
            <w:tcW w:w="0" w:type="dxa"/>
            <w:vAlign w:val="bottom"/>
          </w:tcPr>
          <w:p>
            <w:pPr>
              <w:spacing w:after="0"/>
              <w:rPr>
                <w:sz w:val="1"/>
                <w:szCs w:val="1"/>
                <w:color w:val="auto"/>
              </w:rPr>
            </w:pPr>
          </w:p>
        </w:tc>
      </w:tr>
      <w:tr>
        <w:trPr>
          <w:trHeight w:val="196"/>
        </w:trPr>
        <w:tc>
          <w:tcPr>
            <w:tcW w:w="114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i w:val="1"/>
                <w:iCs w:val="1"/>
                <w:color w:val="auto"/>
              </w:rPr>
              <w:t>Total</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$(13,081,840)</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$(109,122)</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$(13,190,962)</w:t>
            </w:r>
          </w:p>
        </w:tc>
        <w:tc>
          <w:tcPr>
            <w:tcW w:w="0" w:type="dxa"/>
            <w:vAlign w:val="bottom"/>
          </w:tcPr>
          <w:p>
            <w:pPr>
              <w:spacing w:after="0"/>
              <w:rPr>
                <w:sz w:val="1"/>
                <w:szCs w:val="1"/>
                <w:color w:val="auto"/>
              </w:rPr>
            </w:pPr>
          </w:p>
        </w:tc>
      </w:tr>
      <w:tr>
        <w:trPr>
          <w:trHeight w:val="251"/>
        </w:trPr>
        <w:tc>
          <w:tcPr>
            <w:tcW w:w="1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tcBorders>
              <w:left w:val="single" w:sz="8" w:color="auto"/>
              <w:bottom w:val="single" w:sz="8" w:color="auto"/>
              <w:right w:val="single" w:sz="8" w:color="929292"/>
            </w:tcBorders>
            <w:gridSpan w:val="3"/>
            <w:shd w:val="clear" w:color="auto" w:fill="929292"/>
          </w:tcPr>
          <w:p>
            <w:pPr>
              <w:ind w:left="20"/>
              <w:spacing w:after="0"/>
              <w:rPr>
                <w:sz w:val="20"/>
                <w:szCs w:val="20"/>
                <w:color w:val="auto"/>
              </w:rPr>
            </w:pPr>
            <w:r>
              <w:rPr>
                <w:rFonts w:ascii="Arial" w:cs="Arial" w:eastAsia="Arial" w:hAnsi="Arial"/>
                <w:sz w:val="14"/>
                <w:szCs w:val="14"/>
                <w:b w:val="1"/>
                <w:bCs w:val="1"/>
                <w:color w:val="FFFFFF"/>
              </w:rPr>
              <w:t>Average Non-PEO NEOs Equity Component of CAP for FY2023:</w:t>
            </w: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140" w:type="dxa"/>
            <w:vAlign w:val="bottom"/>
            <w:tcBorders>
              <w:bottom w:val="single" w:sz="8" w:color="auto"/>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in FY2023</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continue"/>
            <w:shd w:val="clear" w:color="auto" w:fill="929292"/>
          </w:tcPr>
          <w:p>
            <w:pPr>
              <w:spacing w:after="0"/>
              <w:rPr>
                <w:sz w:val="11"/>
                <w:szCs w:val="11"/>
                <w:color w:val="auto"/>
              </w:rPr>
            </w:pP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Borders>
              <w:right w:val="single" w:sz="8" w:color="auto"/>
            </w:tcBorders>
            <w:vMerge w:val="continue"/>
            <w:shd w:val="clear" w:color="auto" w:fill="92929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vMerge w:val="restart"/>
            <w:shd w:val="clear" w:color="auto" w:fill="929292"/>
          </w:tcPr>
          <w:p>
            <w:pPr>
              <w:ind w:left="160"/>
              <w:spacing w:after="0"/>
              <w:rPr>
                <w:sz w:val="20"/>
                <w:szCs w:val="20"/>
                <w:color w:val="auto"/>
              </w:rPr>
            </w:pPr>
            <w:r>
              <w:rPr>
                <w:rFonts w:ascii="Arial" w:cs="Arial" w:eastAsia="Arial" w:hAnsi="Arial"/>
                <w:sz w:val="14"/>
                <w:szCs w:val="14"/>
                <w:b w:val="1"/>
                <w:bCs w:val="1"/>
                <w:color w:val="FFFFFF"/>
              </w:rPr>
              <w:t>Equity Type</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FY2023 that Vested</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FY2023, determined as</w:t>
            </w:r>
          </w:p>
        </w:tc>
        <w:tc>
          <w:tcPr>
            <w:tcW w:w="114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vMerge w:val="continue"/>
            <w:shd w:val="clear" w:color="auto" w:fill="929292"/>
          </w:tcPr>
          <w:p>
            <w:pPr>
              <w:spacing w:after="0"/>
              <w:rPr>
                <w:sz w:val="16"/>
                <w:szCs w:val="16"/>
                <w:color w:val="auto"/>
              </w:rPr>
            </w:pP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12/31/2023</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12/31/2023</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That Vested in FY2023</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During FY2023</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1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15"/>
        </w:trPr>
        <w:tc>
          <w:tcPr>
            <w:tcW w:w="11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(d)+ (e)</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$3,810,735</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$279,526</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$14,624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$690,178</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$4,795,063</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$3,143,898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$121,255</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$(105,098)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$596,554</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$3,756,609</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$6,954,633</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$400,781</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$(90,474)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$1,286,732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$8,551,672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sz w:val="1"/>
          <w:szCs w:val="1"/>
          <w:color w:val="auto"/>
        </w:rPr>
        <w:drawing>
          <wp:inline distT="0" distB="0" distL="0" distR="0">
            <wp:extent cx="1105535" cy="1543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168910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102" w:right="359" w:bottom="1440" w:gutter="0" w:footer="0" w:header="0"/>
        </w:sectPr>
      </w:pPr>
    </w:p>
    <w:bookmarkStart w:id="66" w:name="page67"/>
    <w:bookmarkEnd w:id="66"/>
    <w:p>
      <w:pPr>
        <w:ind w:left="6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619760</wp:posOffset>
            </wp:positionH>
            <wp:positionV relativeFrom="page">
              <wp:posOffset>688975</wp:posOffset>
            </wp:positionV>
            <wp:extent cx="6583680" cy="15862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83680" cy="1586230"/>
                    </a:xfrm>
                    <a:prstGeom prst="rect">
                      <a:avLst/>
                    </a:prstGeom>
                    <a:noFill/>
                  </pic:spPr>
                </pic:pic>
              </a:graphicData>
            </a:graphic>
          </wp:anchor>
        </w:drawing>
        <w:t>PEO Equity Component of CAP for FY2022:</w:t>
      </w:r>
    </w:p>
    <w:p>
      <w:pPr>
        <w:spacing w:after="0" w:line="35" w:lineRule="exact"/>
        <w:rPr>
          <w:sz w:val="20"/>
          <w:szCs w:val="20"/>
          <w:color w:val="auto"/>
        </w:rPr>
      </w:pPr>
    </w:p>
    <w:tbl>
      <w:tblPr>
        <w:tblLayout w:type="fixed"/>
        <w:tblInd w:w="670" w:type="dxa"/>
        <w:tblCellMar>
          <w:top w:w="0" w:type="dxa"/>
          <w:left w:w="0" w:type="dxa"/>
          <w:bottom w:w="0" w:type="dxa"/>
          <w:right w:w="0" w:type="dxa"/>
        </w:tblCellMar>
      </w:tblPr>
      <w:tr>
        <w:trPr>
          <w:trHeight w:val="148"/>
        </w:trPr>
        <w:tc>
          <w:tcPr>
            <w:tcW w:w="11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 of Fair</w:t>
            </w: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in FY2022</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72"/>
        </w:trPr>
        <w:tc>
          <w:tcPr>
            <w:tcW w:w="1140" w:type="dxa"/>
            <w:vAlign w:val="bottom"/>
            <w:tcBorders>
              <w:right w:val="single" w:sz="8" w:color="auto"/>
            </w:tcBorders>
            <w:vMerge w:val="restart"/>
          </w:tcPr>
          <w:p>
            <w:pPr>
              <w:ind w:left="160"/>
              <w:spacing w:after="0" w:line="135" w:lineRule="exact"/>
              <w:rPr>
                <w:sz w:val="20"/>
                <w:szCs w:val="20"/>
                <w:color w:val="auto"/>
              </w:rPr>
            </w:pPr>
            <w:r>
              <w:rPr>
                <w:rFonts w:ascii="Arial" w:cs="Arial" w:eastAsia="Arial" w:hAnsi="Arial"/>
                <w:sz w:val="14"/>
                <w:szCs w:val="14"/>
                <w:b w:val="1"/>
                <w:bCs w:val="1"/>
                <w:color w:val="FFFFFF"/>
              </w:rPr>
              <w:t>Equity Type</w:t>
            </w:r>
          </w:p>
        </w:tc>
        <w:tc>
          <w:tcPr>
            <w:tcW w:w="16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FFFFFF"/>
              </w:rPr>
              <w:t>of Prior Years' Awards</w:t>
            </w:r>
          </w:p>
        </w:tc>
        <w:tc>
          <w:tcPr>
            <w:tcW w:w="15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FFFFFF"/>
              </w:rPr>
              <w:t>Years that were</w:t>
            </w: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14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Included in CAP</w:t>
            </w: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That Vested in FY2022</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FY2022 that Vested</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Forfeited during</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12/31/2022</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12/31/2022</w:t>
            </w:r>
          </w:p>
        </w:tc>
        <w:tc>
          <w:tcPr>
            <w:tcW w:w="162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During FY2022</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FY2022, determined as</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(e)</w:t>
            </w:r>
          </w:p>
        </w:tc>
        <w:tc>
          <w:tcPr>
            <w:tcW w:w="12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(f) = (a) + (b) + (c) +</w:t>
            </w:r>
          </w:p>
        </w:tc>
        <w:tc>
          <w:tcPr>
            <w:tcW w:w="0" w:type="dxa"/>
            <w:vAlign w:val="bottom"/>
          </w:tcPr>
          <w:p>
            <w:pPr>
              <w:spacing w:after="0"/>
              <w:rPr>
                <w:sz w:val="1"/>
                <w:szCs w:val="1"/>
                <w:color w:val="auto"/>
              </w:rPr>
            </w:pPr>
          </w:p>
        </w:tc>
      </w:tr>
      <w:tr>
        <w:trPr>
          <w:trHeight w:val="113"/>
        </w:trPr>
        <w:tc>
          <w:tcPr>
            <w:tcW w:w="11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(d)+ (e)</w:t>
            </w:r>
          </w:p>
        </w:tc>
        <w:tc>
          <w:tcPr>
            <w:tcW w:w="0" w:type="dxa"/>
            <w:vAlign w:val="bottom"/>
          </w:tcPr>
          <w:p>
            <w:pPr>
              <w:spacing w:after="0"/>
              <w:rPr>
                <w:sz w:val="1"/>
                <w:szCs w:val="1"/>
                <w:color w:val="auto"/>
              </w:rPr>
            </w:pPr>
          </w:p>
        </w:tc>
      </w:tr>
      <w:tr>
        <w:trPr>
          <w:trHeight w:val="69"/>
        </w:trPr>
        <w:tc>
          <w:tcPr>
            <w:tcW w:w="114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Options</w:t>
            </w: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$(11,211,569)</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$(3,644,457)</w:t>
            </w:r>
          </w:p>
        </w:tc>
        <w:tc>
          <w:tcPr>
            <w:tcW w:w="15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$(14,856,026)</w:t>
            </w:r>
          </w:p>
        </w:tc>
        <w:tc>
          <w:tcPr>
            <w:tcW w:w="0" w:type="dxa"/>
            <w:vAlign w:val="bottom"/>
          </w:tcPr>
          <w:p>
            <w:pPr>
              <w:spacing w:after="0"/>
              <w:rPr>
                <w:sz w:val="1"/>
                <w:szCs w:val="1"/>
                <w:color w:val="auto"/>
              </w:rPr>
            </w:pPr>
          </w:p>
        </w:tc>
      </w:tr>
      <w:tr>
        <w:trPr>
          <w:trHeight w:val="196"/>
        </w:trPr>
        <w:tc>
          <w:tcPr>
            <w:tcW w:w="114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RSUs</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4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PSOs</w:t>
            </w: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$(83,198,589)</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$(83,198,589)</w:t>
            </w:r>
          </w:p>
        </w:tc>
        <w:tc>
          <w:tcPr>
            <w:tcW w:w="0" w:type="dxa"/>
            <w:vAlign w:val="bottom"/>
          </w:tcPr>
          <w:p>
            <w:pPr>
              <w:spacing w:after="0"/>
              <w:rPr>
                <w:sz w:val="1"/>
                <w:szCs w:val="1"/>
                <w:color w:val="auto"/>
              </w:rPr>
            </w:pPr>
          </w:p>
        </w:tc>
      </w:tr>
      <w:tr>
        <w:trPr>
          <w:trHeight w:val="196"/>
        </w:trPr>
        <w:tc>
          <w:tcPr>
            <w:tcW w:w="114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$(94,410,158)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$(3,644,457)</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$(98,054,615)</w:t>
            </w:r>
          </w:p>
        </w:tc>
        <w:tc>
          <w:tcPr>
            <w:tcW w:w="0" w:type="dxa"/>
            <w:vAlign w:val="bottom"/>
          </w:tcPr>
          <w:p>
            <w:pPr>
              <w:spacing w:after="0"/>
              <w:rPr>
                <w:sz w:val="1"/>
                <w:szCs w:val="1"/>
                <w:color w:val="auto"/>
              </w:rPr>
            </w:pPr>
          </w:p>
        </w:tc>
      </w:tr>
      <w:tr>
        <w:trPr>
          <w:trHeight w:val="251"/>
        </w:trPr>
        <w:tc>
          <w:tcPr>
            <w:tcW w:w="1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60" w:type="dxa"/>
            <w:vAlign w:val="bottom"/>
            <w:tcBorders>
              <w:left w:val="single" w:sz="8" w:color="auto"/>
              <w:bottom w:val="single" w:sz="8" w:color="auto"/>
              <w:right w:val="single" w:sz="8" w:color="929292"/>
            </w:tcBorders>
            <w:gridSpan w:val="3"/>
            <w:shd w:val="clear" w:color="auto" w:fill="929292"/>
          </w:tcPr>
          <w:p>
            <w:pPr>
              <w:ind w:left="20"/>
              <w:spacing w:after="0"/>
              <w:rPr>
                <w:sz w:val="20"/>
                <w:szCs w:val="20"/>
                <w:color w:val="auto"/>
              </w:rPr>
            </w:pPr>
            <w:r>
              <w:rPr>
                <w:rFonts w:ascii="Arial" w:cs="Arial" w:eastAsia="Arial" w:hAnsi="Arial"/>
                <w:sz w:val="14"/>
                <w:szCs w:val="14"/>
                <w:b w:val="1"/>
                <w:bCs w:val="1"/>
                <w:color w:val="FFFFFF"/>
              </w:rPr>
              <w:t>Average Non-PEO NEOs Equity Component of CAP for FY2022:</w:t>
            </w: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560" w:type="dxa"/>
            <w:vAlign w:val="bottom"/>
            <w:tcBorders>
              <w:bottom w:val="single" w:sz="8" w:color="auto"/>
              <w:right w:val="single" w:sz="8" w:color="929292"/>
            </w:tcBorders>
            <w:shd w:val="clear" w:color="auto" w:fill="929292"/>
          </w:tcPr>
          <w:p>
            <w:pPr>
              <w:spacing w:after="0"/>
              <w:rPr>
                <w:sz w:val="16"/>
                <w:szCs w:val="16"/>
                <w:color w:val="auto"/>
              </w:rPr>
            </w:pPr>
          </w:p>
        </w:tc>
        <w:tc>
          <w:tcPr>
            <w:tcW w:w="1620" w:type="dxa"/>
            <w:vAlign w:val="bottom"/>
            <w:tcBorders>
              <w:bottom w:val="single" w:sz="8" w:color="auto"/>
              <w:right w:val="single" w:sz="8" w:color="929292"/>
            </w:tcBorders>
            <w:shd w:val="clear" w:color="auto" w:fill="929292"/>
          </w:tcPr>
          <w:p>
            <w:pPr>
              <w:spacing w:after="0"/>
              <w:rPr>
                <w:sz w:val="16"/>
                <w:szCs w:val="16"/>
                <w:color w:val="auto"/>
              </w:rPr>
            </w:pPr>
          </w:p>
        </w:tc>
        <w:tc>
          <w:tcPr>
            <w:tcW w:w="1220" w:type="dxa"/>
            <w:vAlign w:val="bottom"/>
            <w:tcBorders>
              <w:bottom w:val="single" w:sz="8" w:color="auto"/>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0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560" w:type="dxa"/>
            <w:vAlign w:val="bottom"/>
            <w:tcBorders>
              <w:right w:val="single" w:sz="8" w:color="auto"/>
            </w:tcBorders>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 of Fair</w:t>
            </w:r>
          </w:p>
        </w:tc>
        <w:tc>
          <w:tcPr>
            <w:tcW w:w="122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0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20" w:type="dxa"/>
            <w:vAlign w:val="bottom"/>
            <w:tcBorders>
              <w:right w:val="single" w:sz="8" w:color="auto"/>
            </w:tcBorders>
            <w:shd w:val="clear" w:color="auto" w:fill="929292"/>
          </w:tcPr>
          <w:p>
            <w:pPr>
              <w:spacing w:after="0"/>
              <w:rPr>
                <w:sz w:val="12"/>
                <w:szCs w:val="12"/>
                <w:color w:val="auto"/>
              </w:rPr>
            </w:pPr>
          </w:p>
        </w:tc>
        <w:tc>
          <w:tcPr>
            <w:tcW w:w="156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62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22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0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spacing w:after="0"/>
              <w:rPr>
                <w:sz w:val="12"/>
                <w:szCs w:val="12"/>
                <w:color w:val="auto"/>
              </w:rPr>
            </w:pPr>
          </w:p>
        </w:tc>
        <w:tc>
          <w:tcPr>
            <w:tcW w:w="1560" w:type="dxa"/>
            <w:vAlign w:val="bottom"/>
            <w:tcBorders>
              <w:right w:val="single" w:sz="8" w:color="auto"/>
            </w:tcBorders>
            <w:vMerge w:val="continue"/>
            <w:shd w:val="clear" w:color="auto" w:fill="929292"/>
          </w:tcPr>
          <w:p>
            <w:pPr>
              <w:spacing w:after="0"/>
              <w:rPr>
                <w:sz w:val="12"/>
                <w:szCs w:val="12"/>
                <w:color w:val="auto"/>
              </w:rPr>
            </w:pP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22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shd w:val="clear" w:color="auto" w:fill="929292"/>
          </w:tcPr>
          <w:p>
            <w:pPr>
              <w:spacing w:after="0"/>
              <w:rPr>
                <w:sz w:val="12"/>
                <w:szCs w:val="12"/>
                <w:color w:val="auto"/>
              </w:rPr>
            </w:pPr>
          </w:p>
        </w:tc>
        <w:tc>
          <w:tcPr>
            <w:tcW w:w="16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in FY2022</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6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6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22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shd w:val="clear" w:color="auto" w:fill="929292"/>
          </w:tcPr>
          <w:p>
            <w:pPr>
              <w:spacing w:after="0"/>
              <w:rPr>
                <w:sz w:val="11"/>
                <w:szCs w:val="11"/>
                <w:color w:val="auto"/>
              </w:rPr>
            </w:pPr>
          </w:p>
        </w:tc>
        <w:tc>
          <w:tcPr>
            <w:tcW w:w="160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620" w:type="dxa"/>
            <w:vAlign w:val="bottom"/>
            <w:tcBorders>
              <w:right w:val="single" w:sz="8" w:color="auto"/>
            </w:tcBorders>
            <w:vMerge w:val="continue"/>
            <w:shd w:val="clear" w:color="auto" w:fill="929292"/>
          </w:tcPr>
          <w:p>
            <w:pPr>
              <w:spacing w:after="0"/>
              <w:rPr>
                <w:sz w:val="11"/>
                <w:szCs w:val="11"/>
                <w:color w:val="auto"/>
              </w:rPr>
            </w:pPr>
          </w:p>
        </w:tc>
        <w:tc>
          <w:tcPr>
            <w:tcW w:w="156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6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2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vMerge w:val="restart"/>
            <w:shd w:val="clear" w:color="auto" w:fill="929292"/>
          </w:tcPr>
          <w:p>
            <w:pPr>
              <w:ind w:left="160"/>
              <w:spacing w:after="0"/>
              <w:rPr>
                <w:sz w:val="20"/>
                <w:szCs w:val="20"/>
                <w:color w:val="auto"/>
              </w:rPr>
            </w:pPr>
            <w:r>
              <w:rPr>
                <w:rFonts w:ascii="Arial" w:cs="Arial" w:eastAsia="Arial" w:hAnsi="Arial"/>
                <w:sz w:val="14"/>
                <w:szCs w:val="14"/>
                <w:b w:val="1"/>
                <w:bCs w:val="1"/>
                <w:color w:val="FFFFFF"/>
              </w:rPr>
              <w:t>Equity Type</w:t>
            </w:r>
          </w:p>
        </w:tc>
        <w:tc>
          <w:tcPr>
            <w:tcW w:w="16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 Awards</w:t>
            </w:r>
          </w:p>
        </w:tc>
        <w:tc>
          <w:tcPr>
            <w:tcW w:w="156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FY2022 that Vested</w:t>
            </w:r>
          </w:p>
        </w:tc>
        <w:tc>
          <w:tcPr>
            <w:tcW w:w="16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FY2022, determined as</w:t>
            </w:r>
          </w:p>
        </w:tc>
        <w:tc>
          <w:tcPr>
            <w:tcW w:w="1220" w:type="dxa"/>
            <w:vAlign w:val="bottom"/>
            <w:tcBorders>
              <w:right w:val="single" w:sz="8" w:color="auto"/>
            </w:tcBorders>
            <w:vMerge w:val="continue"/>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vMerge w:val="continue"/>
            <w:shd w:val="clear" w:color="auto" w:fill="929292"/>
          </w:tcPr>
          <w:p>
            <w:pPr>
              <w:spacing w:after="0"/>
              <w:rPr>
                <w:sz w:val="16"/>
                <w:szCs w:val="16"/>
                <w:color w:val="auto"/>
              </w:rPr>
            </w:pPr>
          </w:p>
        </w:tc>
        <w:tc>
          <w:tcPr>
            <w:tcW w:w="16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12/31/2022</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12/31/2022</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That Vested in FY2022</w:t>
            </w:r>
          </w:p>
        </w:tc>
        <w:tc>
          <w:tcPr>
            <w:tcW w:w="156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During FY2022</w:t>
            </w:r>
          </w:p>
        </w:tc>
        <w:tc>
          <w:tcPr>
            <w:tcW w:w="16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of Prior FY End</w:t>
            </w:r>
          </w:p>
        </w:tc>
        <w:tc>
          <w:tcPr>
            <w:tcW w:w="12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Included in CAP</w:t>
            </w:r>
          </w:p>
        </w:tc>
        <w:tc>
          <w:tcPr>
            <w:tcW w:w="0" w:type="dxa"/>
            <w:vAlign w:val="bottom"/>
          </w:tcPr>
          <w:p>
            <w:pPr>
              <w:spacing w:after="0"/>
              <w:rPr>
                <w:sz w:val="1"/>
                <w:szCs w:val="1"/>
                <w:color w:val="auto"/>
              </w:rPr>
            </w:pPr>
          </w:p>
        </w:tc>
      </w:tr>
      <w:tr>
        <w:trPr>
          <w:trHeight w:val="115"/>
        </w:trPr>
        <w:tc>
          <w:tcPr>
            <w:tcW w:w="114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(e)</w:t>
            </w:r>
          </w:p>
        </w:tc>
        <w:tc>
          <w:tcPr>
            <w:tcW w:w="12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(f) = (a) + (b) + (c) +</w:t>
            </w: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 (e)</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Options</w:t>
            </w: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$1,134,796</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$(2,353,527)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$(2,053,144)</w:t>
            </w:r>
          </w:p>
        </w:tc>
        <w:tc>
          <w:tcPr>
            <w:tcW w:w="15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$240,514</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$(4,820,868)</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$(7,852,229)</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RSUs</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$1,256,105</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$172,488</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$1,428,593</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$2,390,900</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$(2,353,527)</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$(2,053,144)</w:t>
            </w:r>
          </w:p>
        </w:tc>
        <w:tc>
          <w:tcPr>
            <w:tcW w:w="15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$413,002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$(4,820,868)</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$(6,423,636)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02" w:right="559" w:bottom="1440" w:gutter="0" w:footer="0" w:header="0"/>
        </w:sectPr>
      </w:pPr>
    </w:p>
    <w:bookmarkStart w:id="67" w:name="page68"/>
    <w:bookmarkEnd w:id="67"/>
    <w:p>
      <w:pPr>
        <w:ind w:left="6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619760</wp:posOffset>
            </wp:positionH>
            <wp:positionV relativeFrom="page">
              <wp:posOffset>688975</wp:posOffset>
            </wp:positionV>
            <wp:extent cx="6197600" cy="15862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97600" cy="1586230"/>
                    </a:xfrm>
                    <a:prstGeom prst="rect">
                      <a:avLst/>
                    </a:prstGeom>
                    <a:noFill/>
                  </pic:spPr>
                </pic:pic>
              </a:graphicData>
            </a:graphic>
          </wp:anchor>
        </w:drawing>
        <w:t>PEO Equity Component of CAP for FY2021:</w:t>
      </w:r>
    </w:p>
    <w:p>
      <w:pPr>
        <w:spacing w:after="0" w:line="35" w:lineRule="exact"/>
        <w:rPr>
          <w:sz w:val="20"/>
          <w:szCs w:val="20"/>
          <w:color w:val="auto"/>
        </w:rPr>
      </w:pPr>
    </w:p>
    <w:tbl>
      <w:tblPr>
        <w:tblLayout w:type="fixed"/>
        <w:tblInd w:w="670" w:type="dxa"/>
        <w:tblCellMar>
          <w:top w:w="0" w:type="dxa"/>
          <w:left w:w="0" w:type="dxa"/>
          <w:bottom w:w="0" w:type="dxa"/>
          <w:right w:w="0" w:type="dxa"/>
        </w:tblCellMar>
      </w:tblPr>
      <w:tr>
        <w:trPr>
          <w:trHeight w:val="148"/>
        </w:trPr>
        <w:tc>
          <w:tcPr>
            <w:tcW w:w="108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2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Granted in FY2021</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of Prior Years'</w:t>
            </w:r>
          </w:p>
        </w:tc>
        <w:tc>
          <w:tcPr>
            <w:tcW w:w="15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35"/>
        </w:trPr>
        <w:tc>
          <w:tcPr>
            <w:tcW w:w="10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Awards Outstanding</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of Prior Years'</w:t>
            </w:r>
          </w:p>
        </w:tc>
        <w:tc>
          <w:tcPr>
            <w:tcW w:w="1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FFFFFF"/>
              </w:rPr>
              <w:t>Equity Type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and Unvested at</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Awards That Vested</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FY2021 that Vested</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FFFFFF"/>
              </w:rPr>
              <w:t>FY2021, determined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right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12/31/2021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12/31/2021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in FY2021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During FY2021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FFFFFF"/>
              </w:rPr>
              <w:t>as of Prior FY End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15"/>
        </w:trPr>
        <w:tc>
          <w:tcPr>
            <w:tcW w:w="10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0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 (d)+ (e)</w:t>
            </w:r>
          </w:p>
        </w:tc>
        <w:tc>
          <w:tcPr>
            <w:tcW w:w="0" w:type="dxa"/>
            <w:vAlign w:val="bottom"/>
          </w:tcPr>
          <w:p>
            <w:pPr>
              <w:spacing w:after="0"/>
              <w:rPr>
                <w:sz w:val="1"/>
                <w:szCs w:val="1"/>
                <w:color w:val="auto"/>
              </w:rPr>
            </w:pPr>
          </w:p>
        </w:tc>
      </w:tr>
      <w:tr>
        <w:trPr>
          <w:trHeight w:val="69"/>
        </w:trPr>
        <w:tc>
          <w:tcPr>
            <w:tcW w:w="108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08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Options</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$11,816,222</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$3,419,067</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$4,992,681</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$568,844</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$20,796,814</w:t>
            </w:r>
          </w:p>
        </w:tc>
        <w:tc>
          <w:tcPr>
            <w:tcW w:w="0" w:type="dxa"/>
            <w:vAlign w:val="bottom"/>
          </w:tcPr>
          <w:p>
            <w:pPr>
              <w:spacing w:after="0"/>
              <w:rPr>
                <w:sz w:val="1"/>
                <w:szCs w:val="1"/>
                <w:color w:val="auto"/>
              </w:rPr>
            </w:pPr>
          </w:p>
        </w:tc>
      </w:tr>
      <w:tr>
        <w:trPr>
          <w:trHeight w:val="196"/>
        </w:trPr>
        <w:tc>
          <w:tcPr>
            <w:tcW w:w="108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RSUs</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Borders>
              <w:left w:val="single" w:sz="8" w:color="F2F2F2"/>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PSOs</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$101,773,087</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$101,773,087</w:t>
            </w:r>
          </w:p>
        </w:tc>
        <w:tc>
          <w:tcPr>
            <w:tcW w:w="0" w:type="dxa"/>
            <w:vAlign w:val="bottom"/>
          </w:tcPr>
          <w:p>
            <w:pPr>
              <w:spacing w:after="0"/>
              <w:rPr>
                <w:sz w:val="1"/>
                <w:szCs w:val="1"/>
                <w:color w:val="auto"/>
              </w:rPr>
            </w:pPr>
          </w:p>
        </w:tc>
      </w:tr>
      <w:tr>
        <w:trPr>
          <w:trHeight w:val="196"/>
        </w:trPr>
        <w:tc>
          <w:tcPr>
            <w:tcW w:w="1080" w:type="dxa"/>
            <w:vAlign w:val="bottom"/>
            <w:tcBorders>
              <w:left w:val="single" w:sz="8" w:color="D9D9D9"/>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$113,589,309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$3,419,067</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$4,992,681</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$568,844</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$122,569,901</w:t>
            </w:r>
          </w:p>
        </w:tc>
        <w:tc>
          <w:tcPr>
            <w:tcW w:w="0" w:type="dxa"/>
            <w:vAlign w:val="bottom"/>
          </w:tcPr>
          <w:p>
            <w:pPr>
              <w:spacing w:after="0"/>
              <w:rPr>
                <w:sz w:val="1"/>
                <w:szCs w:val="1"/>
                <w:color w:val="auto"/>
              </w:rPr>
            </w:pPr>
          </w:p>
        </w:tc>
      </w:tr>
      <w:tr>
        <w:trPr>
          <w:trHeight w:val="251"/>
        </w:trPr>
        <w:tc>
          <w:tcPr>
            <w:tcW w:w="10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600" w:type="dxa"/>
            <w:vAlign w:val="bottom"/>
            <w:tcBorders>
              <w:left w:val="single" w:sz="8" w:color="auto"/>
              <w:bottom w:val="single" w:sz="8" w:color="auto"/>
              <w:right w:val="single" w:sz="8" w:color="929292"/>
            </w:tcBorders>
            <w:gridSpan w:val="4"/>
            <w:shd w:val="clear" w:color="auto" w:fill="929292"/>
          </w:tcPr>
          <w:p>
            <w:pPr>
              <w:ind w:left="20"/>
              <w:spacing w:after="0"/>
              <w:rPr>
                <w:sz w:val="20"/>
                <w:szCs w:val="20"/>
                <w:color w:val="auto"/>
              </w:rPr>
            </w:pPr>
            <w:r>
              <w:rPr>
                <w:rFonts w:ascii="Arial" w:cs="Arial" w:eastAsia="Arial" w:hAnsi="Arial"/>
                <w:sz w:val="14"/>
                <w:szCs w:val="14"/>
                <w:b w:val="1"/>
                <w:bCs w:val="1"/>
                <w:color w:val="FFFFFF"/>
              </w:rPr>
              <w:t>Average Non-PEO NEOs Equity Component of CAP for FY2021:</w:t>
            </w:r>
          </w:p>
        </w:tc>
        <w:tc>
          <w:tcPr>
            <w:tcW w:w="1500" w:type="dxa"/>
            <w:vAlign w:val="bottom"/>
            <w:tcBorders>
              <w:bottom w:val="single" w:sz="8" w:color="auto"/>
              <w:right w:val="single" w:sz="8" w:color="929292"/>
            </w:tcBorders>
            <w:shd w:val="clear" w:color="auto" w:fill="929292"/>
          </w:tcPr>
          <w:p>
            <w:pPr>
              <w:spacing w:after="0"/>
              <w:rPr>
                <w:sz w:val="16"/>
                <w:szCs w:val="16"/>
                <w:color w:val="auto"/>
              </w:rPr>
            </w:pPr>
          </w:p>
        </w:tc>
        <w:tc>
          <w:tcPr>
            <w:tcW w:w="1520" w:type="dxa"/>
            <w:vAlign w:val="bottom"/>
            <w:tcBorders>
              <w:bottom w:val="single" w:sz="8" w:color="auto"/>
              <w:right w:val="single" w:sz="8" w:color="929292"/>
            </w:tcBorders>
            <w:shd w:val="clear" w:color="auto" w:fill="929292"/>
          </w:tcPr>
          <w:p>
            <w:pPr>
              <w:spacing w:after="0"/>
              <w:rPr>
                <w:sz w:val="16"/>
                <w:szCs w:val="16"/>
                <w:color w:val="auto"/>
              </w:rPr>
            </w:pPr>
          </w:p>
        </w:tc>
        <w:tc>
          <w:tcPr>
            <w:tcW w:w="1140" w:type="dxa"/>
            <w:vAlign w:val="bottom"/>
            <w:tcBorders>
              <w:bottom w:val="single" w:sz="8" w:color="auto"/>
              <w:right w:val="single" w:sz="8" w:color="auto"/>
            </w:tcBorders>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080" w:type="dxa"/>
            <w:vAlign w:val="bottom"/>
            <w:tcBorders>
              <w:left w:val="single" w:sz="8" w:color="auto"/>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shd w:val="clear" w:color="auto" w:fill="929292"/>
          </w:tcPr>
          <w:p>
            <w:pPr>
              <w:spacing w:after="0"/>
              <w:rPr>
                <w:sz w:val="12"/>
                <w:szCs w:val="12"/>
                <w:color w:val="auto"/>
              </w:rPr>
            </w:pPr>
          </w:p>
        </w:tc>
        <w:tc>
          <w:tcPr>
            <w:tcW w:w="1520" w:type="dxa"/>
            <w:vAlign w:val="bottom"/>
            <w:tcBorders>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shd w:val="clear" w:color="auto" w:fill="929292"/>
          </w:tcPr>
          <w:p>
            <w:pPr>
              <w:spacing w:after="0"/>
              <w:rPr>
                <w:sz w:val="12"/>
                <w:szCs w:val="12"/>
                <w:color w:val="auto"/>
              </w:rPr>
            </w:pPr>
          </w:p>
        </w:tc>
        <w:tc>
          <w:tcPr>
            <w:tcW w:w="1520" w:type="dxa"/>
            <w:vAlign w:val="bottom"/>
            <w:tcBorders>
              <w:right w:val="single" w:sz="8" w:color="auto"/>
            </w:tcBorders>
            <w:shd w:val="clear" w:color="auto" w:fill="929292"/>
          </w:tcPr>
          <w:p>
            <w:pPr>
              <w:jc w:val="center"/>
              <w:spacing w:after="0" w:line="147" w:lineRule="exact"/>
              <w:rPr>
                <w:sz w:val="20"/>
                <w:szCs w:val="20"/>
                <w:color w:val="auto"/>
              </w:rPr>
            </w:pPr>
            <w:r>
              <w:rPr>
                <w:rFonts w:ascii="Arial" w:cs="Arial" w:eastAsia="Arial" w:hAnsi="Arial"/>
                <w:sz w:val="14"/>
                <w:szCs w:val="14"/>
                <w:b w:val="1"/>
                <w:bCs w:val="1"/>
                <w:color w:val="FFFFFF"/>
              </w:rPr>
              <w:t>Deduction of Fair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Borders>
              <w:left w:val="single" w:sz="8" w:color="auto"/>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of Awards</w:t>
            </w:r>
          </w:p>
        </w:tc>
        <w:tc>
          <w:tcPr>
            <w:tcW w:w="150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20" w:type="dxa"/>
            <w:vAlign w:val="bottom"/>
            <w:tcBorders>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520" w:type="dxa"/>
            <w:vAlign w:val="bottom"/>
            <w:tcBorders>
              <w:right w:val="single" w:sz="8" w:color="auto"/>
            </w:tcBorders>
            <w:shd w:val="clear" w:color="auto" w:fill="929292"/>
          </w:tcPr>
          <w:p>
            <w:pPr>
              <w:jc w:val="center"/>
              <w:spacing w:after="0" w:line="145" w:lineRule="exact"/>
              <w:rPr>
                <w:sz w:val="20"/>
                <w:szCs w:val="20"/>
                <w:color w:val="auto"/>
              </w:rPr>
            </w:pPr>
            <w:r>
              <w:rPr>
                <w:rFonts w:ascii="Arial" w:cs="Arial" w:eastAsia="Arial" w:hAnsi="Arial"/>
                <w:sz w:val="14"/>
                <w:szCs w:val="14"/>
                <w:b w:val="1"/>
                <w:bCs w:val="1"/>
                <w:color w:val="FFFFFF"/>
              </w:rPr>
              <w:t>Value of Awards</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vMerge w:val="continue"/>
            <w:shd w:val="clear" w:color="auto" w:fill="929292"/>
          </w:tcPr>
          <w:p>
            <w:pPr>
              <w:spacing w:after="0"/>
              <w:rPr>
                <w:sz w:val="12"/>
                <w:szCs w:val="12"/>
                <w:color w:val="auto"/>
              </w:rPr>
            </w:pPr>
          </w:p>
        </w:tc>
        <w:tc>
          <w:tcPr>
            <w:tcW w:w="1500" w:type="dxa"/>
            <w:vAlign w:val="bottom"/>
            <w:tcBorders>
              <w:right w:val="single" w:sz="8" w:color="auto"/>
            </w:tcBorders>
            <w:vMerge w:val="continue"/>
            <w:shd w:val="clear" w:color="auto" w:fill="929292"/>
          </w:tcPr>
          <w:p>
            <w:pPr>
              <w:spacing w:after="0"/>
              <w:rPr>
                <w:sz w:val="12"/>
                <w:szCs w:val="12"/>
                <w:color w:val="auto"/>
              </w:rPr>
            </w:pPr>
          </w:p>
        </w:tc>
        <w:tc>
          <w:tcPr>
            <w:tcW w:w="152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00" w:type="dxa"/>
            <w:vAlign w:val="bottom"/>
            <w:tcBorders>
              <w:right w:val="single" w:sz="8" w:color="auto"/>
            </w:tcBorders>
            <w:vMerge w:val="continue"/>
            <w:shd w:val="clear" w:color="auto" w:fill="929292"/>
          </w:tcPr>
          <w:p>
            <w:pPr>
              <w:spacing w:after="0"/>
              <w:rPr>
                <w:sz w:val="12"/>
                <w:szCs w:val="12"/>
                <w:color w:val="auto"/>
              </w:rPr>
            </w:pPr>
          </w:p>
        </w:tc>
        <w:tc>
          <w:tcPr>
            <w:tcW w:w="15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during Prior</w:t>
            </w:r>
          </w:p>
        </w:tc>
        <w:tc>
          <w:tcPr>
            <w:tcW w:w="1140" w:type="dxa"/>
            <w:vAlign w:val="bottom"/>
            <w:tcBorders>
              <w:right w:val="single" w:sz="8" w:color="auto"/>
            </w:tcBorders>
            <w:shd w:val="clear" w:color="auto" w:fill="92929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shd w:val="clear" w:color="auto" w:fill="929292"/>
          </w:tcPr>
          <w:p>
            <w:pPr>
              <w:spacing w:after="0"/>
              <w:rPr>
                <w:sz w:val="12"/>
                <w:szCs w:val="12"/>
                <w:color w:val="auto"/>
              </w:rPr>
            </w:pP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Granted in FY2021</w:t>
            </w: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of Prior Years'</w:t>
            </w:r>
          </w:p>
        </w:tc>
        <w:tc>
          <w:tcPr>
            <w:tcW w:w="1520" w:type="dxa"/>
            <w:vAlign w:val="bottom"/>
            <w:tcBorders>
              <w:right w:val="single" w:sz="8" w:color="auto"/>
            </w:tcBorders>
            <w:vMerge w:val="continue"/>
            <w:shd w:val="clear" w:color="auto" w:fill="929292"/>
          </w:tcPr>
          <w:p>
            <w:pPr>
              <w:spacing w:after="0"/>
              <w:rPr>
                <w:sz w:val="12"/>
                <w:szCs w:val="12"/>
                <w:color w:val="auto"/>
              </w:rPr>
            </w:pP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Vesting Date for</w:t>
            </w:r>
          </w:p>
        </w:tc>
        <w:tc>
          <w:tcPr>
            <w:tcW w:w="15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Years that were</w:t>
            </w:r>
          </w:p>
        </w:tc>
        <w:tc>
          <w:tcPr>
            <w:tcW w:w="1140" w:type="dxa"/>
            <w:vAlign w:val="bottom"/>
            <w:tcBorders>
              <w:right w:val="single" w:sz="8" w:color="auto"/>
            </w:tcBorders>
            <w:vMerge w:val="restart"/>
            <w:shd w:val="clear" w:color="auto" w:fill="929292"/>
          </w:tcPr>
          <w:p>
            <w:pPr>
              <w:jc w:val="center"/>
              <w:spacing w:after="0"/>
              <w:rPr>
                <w:sz w:val="20"/>
                <w:szCs w:val="20"/>
                <w:color w:val="auto"/>
              </w:rPr>
            </w:pPr>
            <w:r>
              <w:rPr>
                <w:rFonts w:ascii="Arial" w:cs="Arial" w:eastAsia="Arial" w:hAnsi="Arial"/>
                <w:sz w:val="14"/>
                <w:szCs w:val="14"/>
                <w:b w:val="1"/>
                <w:bCs w:val="1"/>
                <w:color w:val="FFFFFF"/>
              </w:rPr>
              <w:t>Equity Value</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shd w:val="clear" w:color="auto" w:fill="929292"/>
          </w:tcPr>
          <w:p>
            <w:pPr>
              <w:spacing w:after="0"/>
              <w:rPr>
                <w:sz w:val="11"/>
                <w:szCs w:val="11"/>
                <w:color w:val="auto"/>
              </w:rPr>
            </w:pPr>
          </w:p>
        </w:tc>
        <w:tc>
          <w:tcPr>
            <w:tcW w:w="150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Outstanding and</w:t>
            </w:r>
          </w:p>
        </w:tc>
        <w:tc>
          <w:tcPr>
            <w:tcW w:w="150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Outstanding</w:t>
            </w:r>
          </w:p>
        </w:tc>
        <w:tc>
          <w:tcPr>
            <w:tcW w:w="15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of Prior Years'</w:t>
            </w:r>
          </w:p>
        </w:tc>
        <w:tc>
          <w:tcPr>
            <w:tcW w:w="150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Awards Granted in</w:t>
            </w:r>
          </w:p>
        </w:tc>
        <w:tc>
          <w:tcPr>
            <w:tcW w:w="1520" w:type="dxa"/>
            <w:vAlign w:val="bottom"/>
            <w:tcBorders>
              <w:right w:val="single" w:sz="8" w:color="auto"/>
            </w:tcBorders>
            <w:shd w:val="clear" w:color="auto" w:fill="929292"/>
          </w:tcPr>
          <w:p>
            <w:pPr>
              <w:jc w:val="center"/>
              <w:spacing w:after="0" w:line="135" w:lineRule="exact"/>
              <w:rPr>
                <w:sz w:val="20"/>
                <w:szCs w:val="20"/>
                <w:color w:val="auto"/>
              </w:rPr>
            </w:pPr>
            <w:r>
              <w:rPr>
                <w:rFonts w:ascii="Arial" w:cs="Arial" w:eastAsia="Arial" w:hAnsi="Arial"/>
                <w:sz w:val="14"/>
                <w:szCs w:val="14"/>
                <w:b w:val="1"/>
                <w:bCs w:val="1"/>
                <w:color w:val="FFFFFF"/>
              </w:rPr>
              <w:t>Forfeited during</w:t>
            </w:r>
          </w:p>
        </w:tc>
        <w:tc>
          <w:tcPr>
            <w:tcW w:w="1140" w:type="dxa"/>
            <w:vAlign w:val="bottom"/>
            <w:tcBorders>
              <w:right w:val="single" w:sz="8" w:color="auto"/>
            </w:tcBorders>
            <w:vMerge w:val="continue"/>
            <w:shd w:val="clear" w:color="auto" w:fill="92929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vMerge w:val="restart"/>
            <w:shd w:val="clear" w:color="auto" w:fill="929292"/>
          </w:tcPr>
          <w:p>
            <w:pPr>
              <w:ind w:left="140"/>
              <w:spacing w:after="0"/>
              <w:rPr>
                <w:sz w:val="20"/>
                <w:szCs w:val="20"/>
                <w:color w:val="auto"/>
              </w:rPr>
            </w:pPr>
            <w:r>
              <w:rPr>
                <w:rFonts w:ascii="Arial" w:cs="Arial" w:eastAsia="Arial" w:hAnsi="Arial"/>
                <w:sz w:val="14"/>
                <w:szCs w:val="14"/>
                <w:b w:val="1"/>
                <w:bCs w:val="1"/>
                <w:color w:val="FFFFFF"/>
              </w:rPr>
              <w:t>Equity Type</w:t>
            </w: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Unvested at</w:t>
            </w: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and Unvested at</w:t>
            </w:r>
          </w:p>
        </w:tc>
        <w:tc>
          <w:tcPr>
            <w:tcW w:w="15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Awards That Vested</w:t>
            </w:r>
          </w:p>
        </w:tc>
        <w:tc>
          <w:tcPr>
            <w:tcW w:w="150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FY2021 that Vested</w:t>
            </w:r>
          </w:p>
        </w:tc>
        <w:tc>
          <w:tcPr>
            <w:tcW w:w="152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FY2021, determined</w:t>
            </w:r>
          </w:p>
        </w:tc>
        <w:tc>
          <w:tcPr>
            <w:tcW w:w="1140" w:type="dxa"/>
            <w:vAlign w:val="bottom"/>
            <w:tcBorders>
              <w:right w:val="single" w:sz="8" w:color="auto"/>
            </w:tcBorders>
            <w:shd w:val="clear" w:color="auto" w:fill="929292"/>
          </w:tcPr>
          <w:p>
            <w:pPr>
              <w:jc w:val="center"/>
              <w:spacing w:after="0" w:line="149" w:lineRule="exact"/>
              <w:rPr>
                <w:sz w:val="20"/>
                <w:szCs w:val="20"/>
                <w:color w:val="auto"/>
              </w:rPr>
            </w:pPr>
            <w:r>
              <w:rPr>
                <w:rFonts w:ascii="Arial" w:cs="Arial" w:eastAsia="Arial" w:hAnsi="Arial"/>
                <w:sz w:val="14"/>
                <w:szCs w:val="14"/>
                <w:b w:val="1"/>
                <w:bCs w:val="1"/>
                <w:color w:val="FFFFFF"/>
              </w:rPr>
              <w:t>Included in</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vMerge w:val="continue"/>
            <w:shd w:val="clear" w:color="auto" w:fill="929292"/>
          </w:tcPr>
          <w:p>
            <w:pPr>
              <w:spacing w:after="0"/>
              <w:rPr>
                <w:sz w:val="16"/>
                <w:szCs w:val="16"/>
                <w:color w:val="auto"/>
              </w:rPr>
            </w:pPr>
          </w:p>
        </w:tc>
        <w:tc>
          <w:tcPr>
            <w:tcW w:w="15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12/31/2021</w:t>
            </w:r>
          </w:p>
        </w:tc>
        <w:tc>
          <w:tcPr>
            <w:tcW w:w="15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12/31/2021</w:t>
            </w:r>
          </w:p>
        </w:tc>
        <w:tc>
          <w:tcPr>
            <w:tcW w:w="15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in FY2021</w:t>
            </w:r>
          </w:p>
        </w:tc>
        <w:tc>
          <w:tcPr>
            <w:tcW w:w="150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During FY2021</w:t>
            </w:r>
          </w:p>
        </w:tc>
        <w:tc>
          <w:tcPr>
            <w:tcW w:w="152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as of Prior FY End</w:t>
            </w:r>
          </w:p>
        </w:tc>
        <w:tc>
          <w:tcPr>
            <w:tcW w:w="1140" w:type="dxa"/>
            <w:vAlign w:val="bottom"/>
            <w:tcBorders>
              <w:bottom w:val="single" w:sz="8" w:color="auto"/>
              <w:right w:val="single" w:sz="8" w:color="auto"/>
            </w:tcBorders>
            <w:shd w:val="clear" w:color="auto" w:fill="929292"/>
          </w:tcPr>
          <w:p>
            <w:pPr>
              <w:jc w:val="center"/>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15"/>
        </w:trPr>
        <w:tc>
          <w:tcPr>
            <w:tcW w:w="108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(b)</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(e)</w:t>
            </w:r>
          </w:p>
        </w:tc>
        <w:tc>
          <w:tcPr>
            <w:tcW w:w="11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(f) = (a) + (b) + (c)</w:t>
            </w:r>
          </w:p>
        </w:tc>
        <w:tc>
          <w:tcPr>
            <w:tcW w:w="0" w:type="dxa"/>
            <w:vAlign w:val="bottom"/>
          </w:tcPr>
          <w:p>
            <w:pPr>
              <w:spacing w:after="0"/>
              <w:rPr>
                <w:sz w:val="1"/>
                <w:szCs w:val="1"/>
                <w:color w:val="auto"/>
              </w:rPr>
            </w:pPr>
          </w:p>
        </w:tc>
      </w:tr>
      <w:tr>
        <w:trPr>
          <w:trHeight w:val="113"/>
        </w:trPr>
        <w:tc>
          <w:tcPr>
            <w:tcW w:w="1080" w:type="dxa"/>
            <w:vAlign w:val="bottom"/>
            <w:tcBorders>
              <w:left w:val="single" w:sz="8" w:color="auto"/>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 (d)+ (e)</w:t>
            </w:r>
          </w:p>
        </w:tc>
        <w:tc>
          <w:tcPr>
            <w:tcW w:w="0" w:type="dxa"/>
            <w:vAlign w:val="bottom"/>
          </w:tcPr>
          <w:p>
            <w:pPr>
              <w:spacing w:after="0"/>
              <w:rPr>
                <w:sz w:val="1"/>
                <w:szCs w:val="1"/>
                <w:color w:val="auto"/>
              </w:rPr>
            </w:pPr>
          </w:p>
        </w:tc>
      </w:tr>
      <w:tr>
        <w:trPr>
          <w:trHeight w:val="69"/>
        </w:trPr>
        <w:tc>
          <w:tcPr>
            <w:tcW w:w="1080" w:type="dxa"/>
            <w:vAlign w:val="bottom"/>
            <w:tcBorders>
              <w:left w:val="single" w:sz="8" w:color="auto"/>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08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Options</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$9,704,136</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$1,915,115</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$3,899,401</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$284,422</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$15,803,074</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RSUs</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$740,955</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$740,955</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$9,704,136</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$1,915,115</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$4,640,356</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$284,422</w:t>
            </w:r>
          </w:p>
        </w:tc>
        <w:tc>
          <w:tcPr>
            <w:tcW w:w="1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$16,544,029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hanging="330"/>
        <w:spacing w:after="0" w:line="261" w:lineRule="auto"/>
        <w:tabs>
          <w:tab w:leader="none" w:pos="473" w:val="left"/>
        </w:tabs>
        <w:numPr>
          <w:ilvl w:val="0"/>
          <w:numId w:val="91"/>
        </w:numPr>
        <w:rPr>
          <w:rFonts w:ascii="Arial" w:cs="Arial" w:eastAsia="Arial" w:hAnsi="Arial"/>
          <w:sz w:val="14"/>
          <w:szCs w:val="14"/>
          <w:color w:val="auto"/>
        </w:rPr>
      </w:pPr>
      <w:r>
        <w:rPr>
          <w:rFonts w:ascii="Arial" w:cs="Arial" w:eastAsia="Arial" w:hAnsi="Arial"/>
          <w:sz w:val="14"/>
          <w:szCs w:val="14"/>
          <w:color w:val="auto"/>
        </w:rPr>
        <w:t>TSR is as reflected in our 2025 Annual Report pursuant to Item 201(e) of Regulation S-K. Each year reflects what the cumulative value of $100 would be, including reinvestment of dividends, if such amount were invested on June 9, 2021, the effective date of our IPO.</w:t>
      </w:r>
    </w:p>
    <w:p>
      <w:pPr>
        <w:spacing w:after="0" w:line="1" w:lineRule="exact"/>
        <w:rPr>
          <w:rFonts w:ascii="Arial" w:cs="Arial" w:eastAsia="Arial" w:hAnsi="Arial"/>
          <w:sz w:val="14"/>
          <w:szCs w:val="14"/>
          <w:color w:val="auto"/>
        </w:rPr>
      </w:pPr>
    </w:p>
    <w:p>
      <w:pPr>
        <w:ind w:left="500" w:hanging="330"/>
        <w:spacing w:after="0" w:line="261" w:lineRule="auto"/>
        <w:tabs>
          <w:tab w:leader="none" w:pos="48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peer group used is the S&amp;P Information Technology Index as reflected in our 2025 Annual Report pursuant to Item 201(e) of Regulation S-K. Each year reflects what the cumulative value of $100 would be, including reinvestment of dividends, if such amount were invested on June 9, 2021.</w:t>
      </w:r>
    </w:p>
    <w:p>
      <w:pPr>
        <w:ind w:left="480" w:hanging="310"/>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dollar amounts reported are the Company's net income reflected in the Company’s audited financial statements for each listed year.</w:t>
      </w:r>
    </w:p>
    <w:p>
      <w:pPr>
        <w:spacing w:after="0" w:line="14" w:lineRule="exact"/>
        <w:rPr>
          <w:rFonts w:ascii="Arial" w:cs="Arial" w:eastAsia="Arial" w:hAnsi="Arial"/>
          <w:sz w:val="14"/>
          <w:szCs w:val="14"/>
          <w:color w:val="auto"/>
        </w:rPr>
      </w:pPr>
    </w:p>
    <w:p>
      <w:pPr>
        <w:ind w:left="500" w:right="20" w:hanging="330"/>
        <w:spacing w:after="0" w:line="264" w:lineRule="auto"/>
        <w:tabs>
          <w:tab w:leader="none" w:pos="487"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the Company's assessment, gross profit is the most important financial performance measure (not already required to be disclosed in the Pay versus Performance table) used by the Company in 2025 to link CAP to performance.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Measures That are Most Important to Link CAP to Performance in Fiscal Year 2025</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measures reflect the Company’s most important financial performance measures we used to link CAP for fiscal year 2025 to our performance (listed in no particular order of importance), as further described and defined in the section titled “Compensation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68580</wp:posOffset>
            </wp:positionV>
            <wp:extent cx="3549015" cy="6261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49015" cy="626110"/>
                    </a:xfrm>
                    <a:prstGeom prst="rect">
                      <a:avLst/>
                    </a:prstGeom>
                    <a:noFill/>
                  </pic:spPr>
                </pic:pic>
              </a:graphicData>
            </a:graphic>
          </wp:anchor>
        </w:drawing>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FFFFFF"/>
        </w:rPr>
        <w:t>Most Important Performance Metrics for 2024</w:t>
      </w:r>
    </w:p>
    <w:p>
      <w:pPr>
        <w:spacing w:after="0" w:line="4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Year-Over-Year Net Revenue Growth</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Gross Profit</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Adjusted EBITDA</w:t>
      </w:r>
    </w:p>
    <w:p>
      <w:pPr>
        <w:spacing w:after="0" w:line="200" w:lineRule="exact"/>
        <w:rPr>
          <w:sz w:val="20"/>
          <w:szCs w:val="20"/>
          <w:color w:val="auto"/>
        </w:rPr>
      </w:pPr>
    </w:p>
    <w:p>
      <w:pPr>
        <w:spacing w:after="0" w:line="28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Description of Relationships Between CAP and Performance</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graphs below describe, in a manner compliant with the relevant rules, the relationship between CAP and the individual performance measures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40640</wp:posOffset>
            </wp:positionV>
            <wp:extent cx="5443220" cy="6866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43220" cy="686689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671830</wp:posOffset>
            </wp:positionV>
            <wp:extent cx="5443220" cy="32575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4432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versus Performance Conclusions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Committee strongly believes in pay for performance and has structured Marqeta’s compensation programs to reward leaders when the Company is delivering strong results. In fiscal year 2025, gross profit, our Company Selected Measure, grew while net income declined, primarily driven by the one-time reversal of $145 million in share-based compensation recognized in prior years. Marqeta’s TSR underperformed versus the Peer Group during the fiscal year. However, Compensation Actually Paid to Mr. Milotich and to our non-PEO NEOs was higher than the amounts reported in the Summary Compensation Table for fiscal year 2025 due to the transitions among our executive team and the investments we made in retaining our key talent.</w:t>
      </w:r>
    </w:p>
    <w:p>
      <w:pPr>
        <w:spacing w:after="0" w:line="336"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5"/>
          <w:szCs w:val="25"/>
          <w:b w:val="1"/>
          <w:bCs w:val="1"/>
          <w:color w:val="auto"/>
        </w:rPr>
        <w:t>PAY RATIO DISCLOSURE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Section 953(b) of the Dodd-Frank Act and Item 402(u) of Regulation S-K, we are providing the following information regarding the ratio of the annual total compensation of Mike Milotich, our Chief Executive Officer as of December 31, 2025, to the annual total compensation of our median employee. We consider the pay ratio specified below to be a reasonable estimate, calculated in a manner that is intended to be consistent with the requirements of Item 402(u) of Regulation S-K.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fiscal year 2025, we used the same median employee that was identified in fiscal year 2024 since there has been no change in our employee population or employee compensation that we reasonably believe would result in a significant change in the pay ratio disclosure.</w:t>
      </w:r>
    </w:p>
    <w:p>
      <w:pPr>
        <w:sectPr>
          <w:pgSz w:w="11900" w:h="16838" w:orient="portrait"/>
          <w:cols w:equalWidth="0" w:num="1">
            <w:col w:w="11240"/>
          </w:cols>
          <w:pgMar w:left="320" w:top="925" w:right="3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Median Employee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Executive Officer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 Ratio</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annual total compensation of our median compensated employee (other than our CEO) was $250,564.</w:t>
      </w:r>
    </w:p>
    <w:p>
      <w:pPr>
        <w:spacing w:after="0" w:line="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annual total compensation of our CEO, as reported in the Summary Compensation Table above, was $11,049,522.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-259080</wp:posOffset>
            </wp:positionV>
            <wp:extent cx="7132320" cy="265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color w:val="auto"/>
        </w:rPr>
        <w:t>The annual total compensation of our CEO was approximately 44.1 times the annual total compensation of our median employee (other than our CEO).</w:t>
      </w:r>
    </w:p>
    <w:p>
      <w:pPr>
        <w:spacing w:after="0" w:line="180" w:lineRule="exact"/>
        <w:rPr>
          <w:sz w:val="20"/>
          <w:szCs w:val="20"/>
          <w:color w:val="auto"/>
        </w:rPr>
      </w:pPr>
    </w:p>
    <w:p>
      <w:pPr>
        <w:sectPr>
          <w:pgSz w:w="11900" w:h="16838" w:orient="portrait"/>
          <w:cols w:equalWidth="0" w:num="2">
            <w:col w:w="3300" w:space="720"/>
            <w:col w:w="7220"/>
          </w:cols>
          <w:pgMar w:left="320" w:top="925" w:right="3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This pay ratio is a reasonable estimate calculated in a manner consistent with SEC rules based on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Further, other companies may have different employment and compensation practices, different geographic breadth, and may have more or less employees at comparable skill and pay levels. This information is being provided for compliance purposes. Neither our Compensation Committee nor management used the pay ratio measure in making compensation decisions.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Methodology</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identify the median employee from our employee population in fiscal year 2024 and determine annual compensation of such employee and the CEO, we used the following methodology:</w:t>
      </w:r>
    </w:p>
    <w:p>
      <w:pPr>
        <w:spacing w:after="0" w:line="45" w:lineRule="exact"/>
        <w:rPr>
          <w:sz w:val="20"/>
          <w:szCs w:val="20"/>
          <w:color w:val="auto"/>
        </w:rPr>
      </w:pPr>
    </w:p>
    <w:p>
      <w:pPr>
        <w:jc w:val="both"/>
        <w:ind w:left="660" w:hanging="328"/>
        <w:spacing w:after="0" w:line="262"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determined that, as of December 31, 2024, our employee population consisted of 853 individuals working at our parent company and consolidated subsidiaries with approximately 729 of these individuals located in the U.S., 54 in Canada, 32 in Poland, and 39 in the UK. This population consisted of our full-time and part-time employees (other than the CEO). As noted below, it did not include independent contractors. We did not retain or engage any temporary workers or similar workers as of December 31, 2024.</w:t>
      </w:r>
    </w:p>
    <w:p>
      <w:pPr>
        <w:spacing w:after="0" w:line="14" w:lineRule="exact"/>
        <w:rPr>
          <w:rFonts w:ascii="Arial" w:cs="Arial" w:eastAsia="Arial" w:hAnsi="Arial"/>
          <w:sz w:val="18"/>
          <w:szCs w:val="18"/>
          <w:color w:val="auto"/>
        </w:rPr>
      </w:pPr>
    </w:p>
    <w:p>
      <w:pPr>
        <w:ind w:left="660" w:hanging="328"/>
        <w:spacing w:after="0" w:line="281" w:lineRule="auto"/>
        <w:tabs>
          <w:tab w:leader="none" w:pos="661"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the de minimis exemption, we excluded the 32 employees based in Poland as they made up less than 5% of our employee population as of December 31, 2024.</w:t>
      </w:r>
    </w:p>
    <w:p>
      <w:pPr>
        <w:spacing w:after="0" w:line="1" w:lineRule="exact"/>
        <w:rPr>
          <w:rFonts w:ascii="Arial" w:cs="Arial" w:eastAsia="Arial" w:hAnsi="Arial"/>
          <w:sz w:val="18"/>
          <w:szCs w:val="18"/>
          <w:color w:val="auto"/>
        </w:rPr>
      </w:pPr>
    </w:p>
    <w:p>
      <w:pPr>
        <w:jc w:val="both"/>
        <w:ind w:left="660" w:hanging="328"/>
        <w:spacing w:after="0" w:line="256" w:lineRule="auto"/>
        <w:tabs>
          <w:tab w:leader="none" w:pos="66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wages from our payroll records as reported to the Internal Revenue Service on Form W-2 for fiscal year 2024 for US-based employees, as reported on T4 Statement of Remuneration for Canadian employees, and as reported on the HM Revenue &amp; Customs Form P60 for UK employees. Canadian and UK wages were converted to U.S. Dollars using the exchange rate on December 31, 2024. For employees who worked in both the United States and the United Kingdom during fiscal year 2024, we combined the wages reported on their W-2 and their converted P60 wages, where appropriate, when identifying the median employee. In making this determination, we annualized the compensation of full-time and part-time permanent employees who were employed on December 31, 2024, but did not work for us</w:t>
      </w:r>
    </w:p>
    <w:p>
      <w:pPr>
        <w:spacing w:after="0" w:line="200" w:lineRule="exact"/>
        <w:rPr>
          <w:sz w:val="20"/>
          <w:szCs w:val="20"/>
          <w:color w:val="auto"/>
        </w:rPr>
      </w:pPr>
    </w:p>
    <w:p>
      <w:pPr>
        <w:spacing w:after="0" w:line="3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71" w:name="page72"/>
    <w:bookmarkEnd w:id="71"/>
    <w:p>
      <w:pPr>
        <w:ind w:left="660"/>
        <w:spacing w:after="0"/>
        <w:rPr>
          <w:sz w:val="20"/>
          <w:szCs w:val="20"/>
          <w:color w:val="auto"/>
        </w:rPr>
      </w:pPr>
      <w:r>
        <w:rPr>
          <w:rFonts w:ascii="Arial" w:cs="Arial" w:eastAsia="Arial" w:hAnsi="Arial"/>
          <w:sz w:val="18"/>
          <w:szCs w:val="18"/>
          <w:color w:val="auto"/>
        </w:rPr>
        <w:t>the entire year. No full-time equivalent adjustments were made for part-time employees who did work for us the entire year</w:t>
      </w:r>
    </w:p>
    <w:p>
      <w:pPr>
        <w:spacing w:after="0" w:line="63" w:lineRule="exact"/>
        <w:rPr>
          <w:sz w:val="20"/>
          <w:szCs w:val="20"/>
          <w:color w:val="auto"/>
        </w:rPr>
      </w:pPr>
    </w:p>
    <w:p>
      <w:pPr>
        <w:ind w:left="660" w:right="20" w:hanging="328"/>
        <w:spacing w:after="0" w:line="281"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combined all of the elements of our median employee’s compensation for fiscal year 2025 in accordance with the requirements of Item 402(c)(2)(x) of Regulation S-K.</w:t>
      </w:r>
    </w:p>
    <w:p>
      <w:pPr>
        <w:spacing w:after="0" w:line="1" w:lineRule="exact"/>
        <w:rPr>
          <w:rFonts w:ascii="Arial" w:cs="Arial" w:eastAsia="Arial" w:hAnsi="Arial"/>
          <w:sz w:val="18"/>
          <w:szCs w:val="18"/>
          <w:color w:val="auto"/>
        </w:rPr>
      </w:pPr>
    </w:p>
    <w:p>
      <w:pPr>
        <w:ind w:left="660" w:hanging="328"/>
        <w:spacing w:after="0" w:line="287" w:lineRule="auto"/>
        <w:tabs>
          <w:tab w:leader="none" w:pos="66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the annual total compensation of the CEO, we used the amount reported in the “Total” column of our 2025 Summary Compensation Table included in this Proxy Statement.</w:t>
      </w:r>
    </w:p>
    <w:p>
      <w:pPr>
        <w:spacing w:after="0" w:line="28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permitted by SEC rules, we excluded employees who joined the Company in connection with our acquisition of TransactPay on August 6, 2025. As of December 31, 2025, the number of excluded employees was 58.</w:t>
      </w:r>
    </w:p>
    <w:p>
      <w:pPr>
        <w:spacing w:after="0" w:line="30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 Number of</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Securities Remaining</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 Number of</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 to be</w:t>
            </w:r>
          </w:p>
        </w:tc>
        <w:tc>
          <w:tcPr>
            <w:tcW w:w="14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 Weighted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 Upon</w:t>
            </w:r>
          </w:p>
        </w:tc>
        <w:tc>
          <w:tcPr>
            <w:tcW w:w="14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Exercise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 of</w:t>
            </w:r>
          </w:p>
        </w:tc>
        <w:tc>
          <w:tcPr>
            <w:tcW w:w="14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Options,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w:t>
            </w:r>
          </w:p>
        </w:tc>
        <w:tc>
          <w:tcPr>
            <w:tcW w:w="0" w:type="dxa"/>
            <w:vAlign w:val="bottom"/>
          </w:tcPr>
          <w:p>
            <w:pPr>
              <w:spacing w:after="0"/>
              <w:rPr>
                <w:sz w:val="1"/>
                <w:szCs w:val="1"/>
                <w:color w:val="auto"/>
              </w:rPr>
            </w:pPr>
          </w:p>
        </w:tc>
      </w:tr>
      <w:tr>
        <w:trPr>
          <w:trHeight w:val="21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r>
              <w:rPr>
                <w:rFonts w:ascii="Arial" w:cs="Arial" w:eastAsia="Arial" w:hAnsi="Arial"/>
                <w:sz w:val="18"/>
                <w:szCs w:val="18"/>
                <w:b w:val="1"/>
                <w:bCs w:val="1"/>
                <w:color w:val="auto"/>
                <w:vertAlign w:val="superscript"/>
              </w:rPr>
              <w:t>(1)</w:t>
            </w:r>
          </w:p>
        </w:tc>
        <w:tc>
          <w:tcPr>
            <w:tcW w:w="160" w:type="dxa"/>
            <w:vAlign w:val="bottom"/>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Warrants and Rights</w:t>
            </w:r>
            <w:r>
              <w:rPr>
                <w:rFonts w:ascii="Arial" w:cs="Arial" w:eastAsia="Arial" w:hAnsi="Arial"/>
                <w:sz w:val="9"/>
                <w:szCs w:val="9"/>
                <w:b w:val="1"/>
                <w:bCs w:val="1"/>
                <w:color w:val="auto"/>
              </w:rPr>
              <w:t>(2)</w:t>
            </w: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Column (a))</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19"/>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Equity plans approved by stockholders</w:t>
            </w:r>
          </w:p>
        </w:tc>
        <w:tc>
          <w:tcPr>
            <w:tcW w:w="1620" w:type="dxa"/>
            <w:vAlign w:val="bottom"/>
          </w:tcPr>
          <w:p>
            <w:pPr>
              <w:jc w:val="right"/>
              <w:spacing w:after="0"/>
              <w:rPr>
                <w:sz w:val="20"/>
                <w:szCs w:val="20"/>
                <w:color w:val="auto"/>
              </w:rPr>
            </w:pPr>
            <w:r>
              <w:rPr>
                <w:rFonts w:ascii="Arial" w:cs="Arial" w:eastAsia="Arial" w:hAnsi="Arial"/>
                <w:sz w:val="14"/>
                <w:szCs w:val="14"/>
                <w:color w:val="auto"/>
              </w:rPr>
              <w:t>37,263,298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160,085,187</w:t>
            </w:r>
          </w:p>
        </w:tc>
        <w:tc>
          <w:tcPr>
            <w:tcW w:w="0" w:type="dxa"/>
            <w:vAlign w:val="bottom"/>
          </w:tcPr>
          <w:p>
            <w:pPr>
              <w:spacing w:after="0"/>
              <w:rPr>
                <w:sz w:val="1"/>
                <w:szCs w:val="1"/>
                <w:color w:val="auto"/>
              </w:rPr>
            </w:pPr>
          </w:p>
        </w:tc>
      </w:tr>
      <w:tr>
        <w:trPr>
          <w:trHeight w:val="203"/>
        </w:trPr>
        <w:tc>
          <w:tcPr>
            <w:tcW w:w="59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Equity plans not approved by stockholders</w:t>
            </w:r>
          </w:p>
        </w:tc>
        <w:tc>
          <w:tcPr>
            <w:tcW w:w="140" w:type="dxa"/>
            <w:vAlign w:val="bottom"/>
            <w:shd w:val="clear" w:color="auto" w:fill="DBDBDB"/>
          </w:tcPr>
          <w:p>
            <w:pPr>
              <w:spacing w:after="0"/>
              <w:rPr>
                <w:sz w:val="17"/>
                <w:szCs w:val="17"/>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hanging="330"/>
        <w:spacing w:after="0" w:line="272" w:lineRule="auto"/>
        <w:tabs>
          <w:tab w:leader="none" w:pos="5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shares that may be issued in connection with (i) outstanding options, (ii) RSUs, and (iii) PSUs. Excludes purchase rights currently accruing under the 2021 Employee Stock Purchase Plan (“2021 ESPP”).</w:t>
      </w:r>
    </w:p>
    <w:p>
      <w:pPr>
        <w:ind w:left="500" w:hanging="330"/>
        <w:spacing w:after="0" w:line="251" w:lineRule="auto"/>
        <w:tabs>
          <w:tab w:leader="none" w:pos="4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outstanding stock options. It does not take into account the shares of our Class A common stock subject to outstanding RSUs or PSUs, which have no exercise price.</w:t>
      </w:r>
    </w:p>
    <w:p>
      <w:pPr>
        <w:jc w:val="both"/>
        <w:ind w:left="500" w:hanging="330"/>
        <w:spacing w:after="0" w:line="261" w:lineRule="auto"/>
        <w:tabs>
          <w:tab w:leader="none" w:pos="4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135,863,757 shares of our Class A common stock reserved for issuance under our 2021 Plan and 24,221,430 shares of our Class A common stock reserved for issuance under our 2021 ESPP. Our 2021 Plan provides that on January 1 of every year, the number of shares of our Class A common stock available for issuance thereunder is automatically cumulatively increased by five percent (5%) of the number of shares of Class A and Class B common stock issued and outstanding on the immediately preceding December 31 or such lesser amount as determined by the Administrator (as defined in the 2021 Plan). Our ESPP provides that on the first day of each fiscal year, the number of shares of our Class A common stock available for issuance thereunder is automatically cumulatively increased by the lesser of (i) 12,000,000 shares of Class A common stock, (ii) 1 percent (1%) of the number of shares of Class A and Class B common stock issued and outstanding on the immediately preceding December 31, or (iii) such lesser number of shares of Class A common stock as determined by the Administrator (as defined in the 2021 ESPP). On January 1, 2026, the number of shares of our Class A common stock available for issuance under our 2021 Plan and our ESPP increased by 21,612,782 and 4,322,556 shares, respectively, pursuant to these provisions. These increases are not reflected in the table above.</w:t>
      </w:r>
    </w:p>
    <w:p>
      <w:pPr>
        <w:spacing w:after="0" w:line="200" w:lineRule="exact"/>
        <w:rPr>
          <w:sz w:val="20"/>
          <w:szCs w:val="20"/>
          <w:color w:val="auto"/>
        </w:rPr>
      </w:pPr>
    </w:p>
    <w:p>
      <w:pPr>
        <w:spacing w:after="0" w:line="3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5"/>
          <w:szCs w:val="25"/>
          <w:b w:val="1"/>
          <w:bCs w:val="1"/>
          <w:color w:val="auto"/>
        </w:rPr>
        <w:t>SECURITY OWNERSHIP OF CERTAIN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BENEFICIAL OWNERS AND MANAGEMENT</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15, 2026 (the “Beneficial Ownership Date”) for:</w:t>
      </w:r>
    </w:p>
    <w:p>
      <w:pPr>
        <w:spacing w:after="0" w:line="4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have based our calculation of the percentage of beneficial ownership on _____________ shares of our Class A common stock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 shares of our Class B common stock outstanding as of April 15, 2026. We have deemed shares of our common stock</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options that are currently exercisable or exercisable within 60 days of April 15, 2026, or issuable pursuant to RSUs that are subject to vesting and settlement conditions expected to occur within 60 days of April 15, 2026, 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6th Floor, Oakland, CA 94612.</w:t>
      </w:r>
    </w:p>
    <w:p>
      <w:pPr>
        <w:spacing w:after="0" w:line="30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24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Class A Common Stock</w:t>
            </w:r>
          </w:p>
        </w:tc>
        <w:tc>
          <w:tcPr>
            <w:tcW w:w="1220" w:type="dxa"/>
            <w:vAlign w:val="bottom"/>
          </w:tcPr>
          <w:p>
            <w:pPr>
              <w:spacing w:after="0"/>
              <w:rPr>
                <w:sz w:val="17"/>
                <w:szCs w:val="17"/>
                <w:color w:val="auto"/>
              </w:rPr>
            </w:pPr>
          </w:p>
        </w:tc>
        <w:tc>
          <w:tcPr>
            <w:tcW w:w="22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Class B Common Stock</w:t>
            </w:r>
          </w:p>
        </w:tc>
        <w:tc>
          <w:tcPr>
            <w:tcW w:w="22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3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Shares</w:t>
            </w:r>
          </w:p>
        </w:tc>
        <w:tc>
          <w:tcPr>
            <w:tcW w:w="2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of Class</w:t>
            </w:r>
          </w:p>
        </w:tc>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12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 of Class</w:t>
            </w:r>
          </w:p>
        </w:tc>
        <w:tc>
          <w:tcPr>
            <w:tcW w:w="2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 of Total Voting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Power</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940" w:type="dxa"/>
            <w:vAlign w:val="bottom"/>
            <w:tcBorders>
              <w:left w:val="single" w:sz="8" w:color="auto"/>
            </w:tcBorders>
            <w:shd w:val="clear" w:color="auto" w:fill="B6B6B6"/>
          </w:tcPr>
          <w:p>
            <w:pPr>
              <w:ind w:left="40"/>
              <w:spacing w:after="0" w:line="149" w:lineRule="exact"/>
              <w:rPr>
                <w:sz w:val="20"/>
                <w:szCs w:val="20"/>
                <w:color w:val="auto"/>
              </w:rPr>
            </w:pPr>
            <w:r>
              <w:rPr>
                <w:rFonts w:ascii="Arial" w:cs="Arial" w:eastAsia="Arial" w:hAnsi="Arial"/>
                <w:sz w:val="14"/>
                <w:szCs w:val="14"/>
                <w:b w:val="1"/>
                <w:bCs w:val="1"/>
                <w:i w:val="1"/>
                <w:iCs w:val="1"/>
                <w:color w:val="auto"/>
              </w:rPr>
              <w:t>Named Executive Officers, Directors, and Director</w:t>
            </w:r>
          </w:p>
        </w:tc>
        <w:tc>
          <w:tcPr>
            <w:tcW w:w="1320" w:type="dxa"/>
            <w:vAlign w:val="bottom"/>
            <w:shd w:val="clear" w:color="auto" w:fill="B6B6B6"/>
          </w:tcPr>
          <w:p>
            <w:pPr>
              <w:spacing w:after="0"/>
              <w:rPr>
                <w:sz w:val="12"/>
                <w:szCs w:val="12"/>
                <w:color w:val="auto"/>
              </w:rPr>
            </w:pPr>
          </w:p>
        </w:tc>
        <w:tc>
          <w:tcPr>
            <w:tcW w:w="1120" w:type="dxa"/>
            <w:vAlign w:val="bottom"/>
            <w:shd w:val="clear" w:color="auto" w:fill="B6B6B6"/>
          </w:tcPr>
          <w:p>
            <w:pPr>
              <w:spacing w:after="0"/>
              <w:rPr>
                <w:sz w:val="12"/>
                <w:szCs w:val="12"/>
                <w:color w:val="auto"/>
              </w:rPr>
            </w:pPr>
          </w:p>
        </w:tc>
        <w:tc>
          <w:tcPr>
            <w:tcW w:w="1220" w:type="dxa"/>
            <w:vAlign w:val="bottom"/>
            <w:shd w:val="clear" w:color="auto" w:fill="B6B6B6"/>
          </w:tcPr>
          <w:p>
            <w:pPr>
              <w:spacing w:after="0"/>
              <w:rPr>
                <w:sz w:val="12"/>
                <w:szCs w:val="12"/>
                <w:color w:val="auto"/>
              </w:rPr>
            </w:pPr>
          </w:p>
        </w:tc>
        <w:tc>
          <w:tcPr>
            <w:tcW w:w="920" w:type="dxa"/>
            <w:vAlign w:val="bottom"/>
            <w:shd w:val="clear" w:color="auto" w:fill="B6B6B6"/>
          </w:tcPr>
          <w:p>
            <w:pPr>
              <w:spacing w:after="0"/>
              <w:rPr>
                <w:sz w:val="12"/>
                <w:szCs w:val="12"/>
                <w:color w:val="auto"/>
              </w:rPr>
            </w:pPr>
          </w:p>
        </w:tc>
        <w:tc>
          <w:tcPr>
            <w:tcW w:w="1280" w:type="dxa"/>
            <w:vAlign w:val="bottom"/>
            <w:shd w:val="clear" w:color="auto" w:fill="B6B6B6"/>
          </w:tcPr>
          <w:p>
            <w:pPr>
              <w:spacing w:after="0"/>
              <w:rPr>
                <w:sz w:val="12"/>
                <w:szCs w:val="12"/>
                <w:color w:val="auto"/>
              </w:rPr>
            </w:pPr>
          </w:p>
        </w:tc>
        <w:tc>
          <w:tcPr>
            <w:tcW w:w="220" w:type="dxa"/>
            <w:vAlign w:val="bottom"/>
            <w:shd w:val="clear" w:color="auto" w:fill="B6B6B6"/>
          </w:tcPr>
          <w:p>
            <w:pPr>
              <w:spacing w:after="0"/>
              <w:rPr>
                <w:sz w:val="12"/>
                <w:szCs w:val="12"/>
                <w:color w:val="auto"/>
              </w:rPr>
            </w:pPr>
          </w:p>
        </w:tc>
        <w:tc>
          <w:tcPr>
            <w:tcW w:w="1220" w:type="dxa"/>
            <w:vAlign w:val="bottom"/>
            <w:shd w:val="clear" w:color="auto" w:fill="B6B6B6"/>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40" w:type="dxa"/>
            <w:vAlign w:val="bottom"/>
            <w:tcBorders>
              <w:left w:val="single" w:sz="8" w:color="auto"/>
              <w:bottom w:val="single" w:sz="8" w:color="auto"/>
            </w:tcBorders>
            <w:shd w:val="clear" w:color="auto" w:fill="B6B6B6"/>
          </w:tcPr>
          <w:p>
            <w:pPr>
              <w:ind w:left="40"/>
              <w:spacing w:after="0"/>
              <w:rPr>
                <w:sz w:val="20"/>
                <w:szCs w:val="20"/>
                <w:color w:val="auto"/>
              </w:rPr>
            </w:pPr>
            <w:r>
              <w:rPr>
                <w:rFonts w:ascii="Arial" w:cs="Arial" w:eastAsia="Arial" w:hAnsi="Arial"/>
                <w:sz w:val="14"/>
                <w:szCs w:val="14"/>
                <w:b w:val="1"/>
                <w:bCs w:val="1"/>
                <w:i w:val="1"/>
                <w:iCs w:val="1"/>
                <w:color w:val="auto"/>
              </w:rPr>
              <w:t>Nominees:</w:t>
            </w:r>
          </w:p>
        </w:tc>
        <w:tc>
          <w:tcPr>
            <w:tcW w:w="1320" w:type="dxa"/>
            <w:vAlign w:val="bottom"/>
            <w:tcBorders>
              <w:bottom w:val="single" w:sz="8" w:color="auto"/>
            </w:tcBorders>
            <w:shd w:val="clear" w:color="auto" w:fill="B6B6B6"/>
          </w:tcPr>
          <w:p>
            <w:pPr>
              <w:spacing w:after="0"/>
              <w:rPr>
                <w:sz w:val="15"/>
                <w:szCs w:val="15"/>
                <w:color w:val="auto"/>
              </w:rPr>
            </w:pPr>
          </w:p>
        </w:tc>
        <w:tc>
          <w:tcPr>
            <w:tcW w:w="1120" w:type="dxa"/>
            <w:vAlign w:val="bottom"/>
            <w:tcBorders>
              <w:bottom w:val="single" w:sz="8" w:color="auto"/>
            </w:tcBorders>
            <w:shd w:val="clear" w:color="auto" w:fill="B6B6B6"/>
          </w:tcPr>
          <w:p>
            <w:pPr>
              <w:spacing w:after="0"/>
              <w:rPr>
                <w:sz w:val="15"/>
                <w:szCs w:val="15"/>
                <w:color w:val="auto"/>
              </w:rPr>
            </w:pPr>
          </w:p>
        </w:tc>
        <w:tc>
          <w:tcPr>
            <w:tcW w:w="1220" w:type="dxa"/>
            <w:vAlign w:val="bottom"/>
            <w:tcBorders>
              <w:bottom w:val="single" w:sz="8" w:color="auto"/>
            </w:tcBorders>
            <w:shd w:val="clear" w:color="auto" w:fill="B6B6B6"/>
          </w:tcPr>
          <w:p>
            <w:pPr>
              <w:spacing w:after="0"/>
              <w:rPr>
                <w:sz w:val="15"/>
                <w:szCs w:val="15"/>
                <w:color w:val="auto"/>
              </w:rPr>
            </w:pPr>
          </w:p>
        </w:tc>
        <w:tc>
          <w:tcPr>
            <w:tcW w:w="920" w:type="dxa"/>
            <w:vAlign w:val="bottom"/>
            <w:tcBorders>
              <w:bottom w:val="single" w:sz="8" w:color="auto"/>
            </w:tcBorders>
            <w:shd w:val="clear" w:color="auto" w:fill="B6B6B6"/>
          </w:tcPr>
          <w:p>
            <w:pPr>
              <w:spacing w:after="0"/>
              <w:rPr>
                <w:sz w:val="15"/>
                <w:szCs w:val="15"/>
                <w:color w:val="auto"/>
              </w:rPr>
            </w:pPr>
          </w:p>
        </w:tc>
        <w:tc>
          <w:tcPr>
            <w:tcW w:w="1280" w:type="dxa"/>
            <w:vAlign w:val="bottom"/>
            <w:tcBorders>
              <w:bottom w:val="single" w:sz="8" w:color="auto"/>
            </w:tcBorders>
            <w:shd w:val="clear" w:color="auto" w:fill="B6B6B6"/>
          </w:tcPr>
          <w:p>
            <w:pPr>
              <w:spacing w:after="0"/>
              <w:rPr>
                <w:sz w:val="15"/>
                <w:szCs w:val="15"/>
                <w:color w:val="auto"/>
              </w:rPr>
            </w:pPr>
          </w:p>
        </w:tc>
        <w:tc>
          <w:tcPr>
            <w:tcW w:w="220" w:type="dxa"/>
            <w:vAlign w:val="bottom"/>
            <w:tcBorders>
              <w:bottom w:val="single" w:sz="8" w:color="auto"/>
            </w:tcBorders>
            <w:shd w:val="clear" w:color="auto" w:fill="B6B6B6"/>
          </w:tcPr>
          <w:p>
            <w:pPr>
              <w:spacing w:after="0"/>
              <w:rPr>
                <w:sz w:val="15"/>
                <w:szCs w:val="15"/>
                <w:color w:val="auto"/>
              </w:rPr>
            </w:pPr>
          </w:p>
        </w:tc>
        <w:tc>
          <w:tcPr>
            <w:tcW w:w="1220" w:type="dxa"/>
            <w:vAlign w:val="bottom"/>
            <w:tcBorders>
              <w:bottom w:val="single" w:sz="8" w:color="auto"/>
            </w:tcBorders>
            <w:shd w:val="clear" w:color="auto" w:fill="B6B6B6"/>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color w:val="auto"/>
              </w:rPr>
              <w:t>Mike Milotich</w:t>
            </w:r>
            <w:r>
              <w:rPr>
                <w:rFonts w:ascii="Arial" w:cs="Arial" w:eastAsia="Arial" w:hAnsi="Arial"/>
                <w:sz w:val="18"/>
                <w:szCs w:val="18"/>
                <w:color w:val="auto"/>
                <w:vertAlign w:val="superscript"/>
              </w:rPr>
              <w:t>(1)</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Simon Khalaf</w:t>
            </w:r>
            <w:r>
              <w:rPr>
                <w:rFonts w:ascii="Arial" w:cs="Arial" w:eastAsia="Arial" w:hAnsi="Arial"/>
                <w:sz w:val="18"/>
                <w:szCs w:val="18"/>
                <w:color w:val="auto"/>
                <w:vertAlign w:val="superscript"/>
              </w:rPr>
              <w:t>(2)</w:t>
            </w:r>
          </w:p>
        </w:tc>
        <w:tc>
          <w:tcPr>
            <w:tcW w:w="1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4"/>
                <w:szCs w:val="14"/>
                <w:color w:val="auto"/>
              </w:rPr>
              <w:t>Patti Kangwangkij</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Todd Pollak</w:t>
            </w:r>
            <w:r>
              <w:rPr>
                <w:rFonts w:ascii="Arial" w:cs="Arial" w:eastAsia="Arial" w:hAnsi="Arial"/>
                <w:sz w:val="18"/>
                <w:szCs w:val="18"/>
                <w:color w:val="auto"/>
                <w:vertAlign w:val="superscript"/>
              </w:rPr>
              <w:t>(3)</w:t>
            </w:r>
          </w:p>
        </w:tc>
        <w:tc>
          <w:tcPr>
            <w:tcW w:w="1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40" w:type="dxa"/>
            <w:vAlign w:val="bottom"/>
          </w:tcPr>
          <w:p>
            <w:pPr>
              <w:ind w:left="20"/>
              <w:spacing w:after="0"/>
              <w:rPr>
                <w:sz w:val="20"/>
                <w:szCs w:val="20"/>
                <w:color w:val="auto"/>
              </w:rPr>
            </w:pPr>
            <w:r>
              <w:rPr>
                <w:rFonts w:ascii="Arial" w:cs="Arial" w:eastAsia="Arial" w:hAnsi="Arial"/>
                <w:sz w:val="14"/>
                <w:szCs w:val="14"/>
                <w:color w:val="auto"/>
              </w:rPr>
              <w:t>Crystal Sumner</w:t>
            </w:r>
            <w:r>
              <w:rPr>
                <w:rFonts w:ascii="Arial" w:cs="Arial" w:eastAsia="Arial" w:hAnsi="Arial"/>
                <w:sz w:val="18"/>
                <w:szCs w:val="18"/>
                <w:color w:val="auto"/>
                <w:vertAlign w:val="superscript"/>
              </w:rPr>
              <w:t>(4)</w:t>
            </w: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940" w:type="dxa"/>
            <w:vAlign w:val="bottom"/>
            <w:tcBorders>
              <w:left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Jason Gardner</w:t>
            </w:r>
            <w:r>
              <w:rPr>
                <w:rFonts w:ascii="Arial" w:cs="Arial" w:eastAsia="Arial" w:hAnsi="Arial"/>
                <w:sz w:val="18"/>
                <w:szCs w:val="18"/>
                <w:color w:val="auto"/>
                <w:vertAlign w:val="superscript"/>
              </w:rPr>
              <w:t>(5)</w:t>
            </w:r>
          </w:p>
        </w:tc>
        <w:tc>
          <w:tcPr>
            <w:tcW w:w="1320" w:type="dxa"/>
            <w:vAlign w:val="bottom"/>
            <w:tcBorders>
              <w:bottom w:val="single" w:sz="8" w:color="DBDBDB"/>
            </w:tcBorders>
            <w:shd w:val="clear" w:color="auto" w:fill="DBDBDB"/>
          </w:tcPr>
          <w:p>
            <w:pPr>
              <w:spacing w:after="0"/>
              <w:rPr>
                <w:sz w:val="24"/>
                <w:szCs w:val="24"/>
                <w:color w:val="auto"/>
              </w:rPr>
            </w:pPr>
          </w:p>
        </w:tc>
        <w:tc>
          <w:tcPr>
            <w:tcW w:w="1120" w:type="dxa"/>
            <w:vAlign w:val="bottom"/>
            <w:tcBorders>
              <w:bottom w:val="single" w:sz="8" w:color="DBDBDB"/>
            </w:tcBorders>
            <w:shd w:val="clear" w:color="auto" w:fill="DBDBDB"/>
          </w:tcPr>
          <w:p>
            <w:pPr>
              <w:spacing w:after="0"/>
              <w:rPr>
                <w:sz w:val="24"/>
                <w:szCs w:val="24"/>
                <w:color w:val="auto"/>
              </w:rPr>
            </w:pPr>
          </w:p>
        </w:tc>
        <w:tc>
          <w:tcPr>
            <w:tcW w:w="1220" w:type="dxa"/>
            <w:vAlign w:val="bottom"/>
            <w:tcBorders>
              <w:bottom w:val="single" w:sz="8" w:color="DBDBDB"/>
            </w:tcBorders>
            <w:shd w:val="clear" w:color="auto" w:fill="DBDBDB"/>
          </w:tcPr>
          <w:p>
            <w:pPr>
              <w:spacing w:after="0"/>
              <w:rPr>
                <w:sz w:val="24"/>
                <w:szCs w:val="24"/>
                <w:color w:val="auto"/>
              </w:rPr>
            </w:pPr>
          </w:p>
        </w:tc>
        <w:tc>
          <w:tcPr>
            <w:tcW w:w="920" w:type="dxa"/>
            <w:vAlign w:val="bottom"/>
            <w:tcBorders>
              <w:bottom w:val="single" w:sz="8" w:color="DBDBDB"/>
            </w:tcBorders>
            <w:shd w:val="clear" w:color="auto" w:fill="DBDBDB"/>
          </w:tcPr>
          <w:p>
            <w:pPr>
              <w:spacing w:after="0"/>
              <w:rPr>
                <w:sz w:val="24"/>
                <w:szCs w:val="24"/>
                <w:color w:val="auto"/>
              </w:rPr>
            </w:pPr>
          </w:p>
        </w:tc>
        <w:tc>
          <w:tcPr>
            <w:tcW w:w="128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DBDBDB"/>
            </w:tcBorders>
            <w:shd w:val="clear" w:color="auto" w:fill="DBDBDB"/>
          </w:tcPr>
          <w:p>
            <w:pPr>
              <w:spacing w:after="0"/>
              <w:rPr>
                <w:sz w:val="24"/>
                <w:szCs w:val="24"/>
                <w:color w:val="auto"/>
              </w:rPr>
            </w:pPr>
          </w:p>
        </w:tc>
        <w:tc>
          <w:tcPr>
            <w:tcW w:w="1220" w:type="dxa"/>
            <w:vAlign w:val="bottom"/>
            <w:tcBorders>
              <w:bottom w:val="single" w:sz="8" w:color="DBDBDB"/>
            </w:tcBorders>
            <w:shd w:val="clear" w:color="auto" w:fill="DBDBD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4"/>
                <w:szCs w:val="14"/>
                <w:color w:val="auto"/>
              </w:rPr>
              <w:t>Najuma Atkinson</w:t>
            </w:r>
            <w:r>
              <w:rPr>
                <w:rFonts w:ascii="Arial" w:cs="Arial" w:eastAsia="Arial" w:hAnsi="Arial"/>
                <w:sz w:val="18"/>
                <w:szCs w:val="18"/>
                <w:color w:val="auto"/>
                <w:vertAlign w:val="superscript"/>
              </w:rPr>
              <w:t>(6)</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Alpesh Chokshi</w:t>
            </w:r>
            <w:r>
              <w:rPr>
                <w:rFonts w:ascii="Arial" w:cs="Arial" w:eastAsia="Arial" w:hAnsi="Arial"/>
                <w:sz w:val="18"/>
                <w:szCs w:val="18"/>
                <w:color w:val="auto"/>
                <w:vertAlign w:val="superscript"/>
              </w:rPr>
              <w:t>(7)</w:t>
            </w:r>
          </w:p>
        </w:tc>
        <w:tc>
          <w:tcPr>
            <w:tcW w:w="1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940" w:type="dxa"/>
            <w:vAlign w:val="bottom"/>
          </w:tcPr>
          <w:p>
            <w:pPr>
              <w:ind w:left="20"/>
              <w:spacing w:after="0"/>
              <w:rPr>
                <w:sz w:val="20"/>
                <w:szCs w:val="20"/>
                <w:color w:val="auto"/>
              </w:rPr>
            </w:pPr>
            <w:r>
              <w:rPr>
                <w:rFonts w:ascii="Arial" w:cs="Arial" w:eastAsia="Arial" w:hAnsi="Arial"/>
                <w:sz w:val="14"/>
                <w:szCs w:val="14"/>
                <w:color w:val="auto"/>
              </w:rPr>
              <w:t>Martha Cummings</w:t>
            </w:r>
            <w:r>
              <w:rPr>
                <w:rFonts w:ascii="Arial" w:cs="Arial" w:eastAsia="Arial" w:hAnsi="Arial"/>
                <w:sz w:val="18"/>
                <w:szCs w:val="18"/>
                <w:color w:val="auto"/>
                <w:vertAlign w:val="superscript"/>
              </w:rPr>
              <w:t>(8)</w:t>
            </w: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940" w:type="dxa"/>
            <w:vAlign w:val="bottom"/>
            <w:tcBorders>
              <w:left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 Mark Graf</w:t>
            </w:r>
            <w:r>
              <w:rPr>
                <w:rFonts w:ascii="Arial" w:cs="Arial" w:eastAsia="Arial" w:hAnsi="Arial"/>
                <w:sz w:val="18"/>
                <w:szCs w:val="18"/>
                <w:color w:val="auto"/>
                <w:vertAlign w:val="superscript"/>
              </w:rPr>
              <w:t>(9)</w:t>
            </w:r>
          </w:p>
        </w:tc>
        <w:tc>
          <w:tcPr>
            <w:tcW w:w="1320" w:type="dxa"/>
            <w:vAlign w:val="bottom"/>
            <w:tcBorders>
              <w:bottom w:val="single" w:sz="8" w:color="DBDBDB"/>
            </w:tcBorders>
            <w:shd w:val="clear" w:color="auto" w:fill="DBDBDB"/>
          </w:tcPr>
          <w:p>
            <w:pPr>
              <w:spacing w:after="0"/>
              <w:rPr>
                <w:sz w:val="24"/>
                <w:szCs w:val="24"/>
                <w:color w:val="auto"/>
              </w:rPr>
            </w:pPr>
          </w:p>
        </w:tc>
        <w:tc>
          <w:tcPr>
            <w:tcW w:w="1120" w:type="dxa"/>
            <w:vAlign w:val="bottom"/>
            <w:tcBorders>
              <w:bottom w:val="single" w:sz="8" w:color="DBDBDB"/>
            </w:tcBorders>
            <w:shd w:val="clear" w:color="auto" w:fill="DBDBDB"/>
          </w:tcPr>
          <w:p>
            <w:pPr>
              <w:spacing w:after="0"/>
              <w:rPr>
                <w:sz w:val="24"/>
                <w:szCs w:val="24"/>
                <w:color w:val="auto"/>
              </w:rPr>
            </w:pPr>
          </w:p>
        </w:tc>
        <w:tc>
          <w:tcPr>
            <w:tcW w:w="1220" w:type="dxa"/>
            <w:vAlign w:val="bottom"/>
            <w:tcBorders>
              <w:bottom w:val="single" w:sz="8" w:color="DBDBDB"/>
            </w:tcBorders>
            <w:shd w:val="clear" w:color="auto" w:fill="DBDBDB"/>
          </w:tcPr>
          <w:p>
            <w:pPr>
              <w:spacing w:after="0"/>
              <w:rPr>
                <w:sz w:val="24"/>
                <w:szCs w:val="24"/>
                <w:color w:val="auto"/>
              </w:rPr>
            </w:pPr>
          </w:p>
        </w:tc>
        <w:tc>
          <w:tcPr>
            <w:tcW w:w="920" w:type="dxa"/>
            <w:vAlign w:val="bottom"/>
            <w:tcBorders>
              <w:bottom w:val="single" w:sz="8" w:color="DBDBDB"/>
            </w:tcBorders>
            <w:shd w:val="clear" w:color="auto" w:fill="DBDBDB"/>
          </w:tcPr>
          <w:p>
            <w:pPr>
              <w:spacing w:after="0"/>
              <w:rPr>
                <w:sz w:val="24"/>
                <w:szCs w:val="24"/>
                <w:color w:val="auto"/>
              </w:rPr>
            </w:pPr>
          </w:p>
        </w:tc>
        <w:tc>
          <w:tcPr>
            <w:tcW w:w="12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940" w:type="dxa"/>
            <w:vAlign w:val="bottom"/>
          </w:tcPr>
          <w:p>
            <w:pPr>
              <w:ind w:left="20"/>
              <w:spacing w:after="0"/>
              <w:rPr>
                <w:sz w:val="20"/>
                <w:szCs w:val="20"/>
                <w:color w:val="auto"/>
              </w:rPr>
            </w:pPr>
            <w:r>
              <w:rPr>
                <w:rFonts w:ascii="Arial" w:cs="Arial" w:eastAsia="Arial" w:hAnsi="Arial"/>
                <w:sz w:val="14"/>
                <w:szCs w:val="14"/>
                <w:color w:val="auto"/>
              </w:rPr>
              <w:t>Jud Linville</w:t>
            </w:r>
            <w:r>
              <w:rPr>
                <w:rFonts w:ascii="Arial" w:cs="Arial" w:eastAsia="Arial" w:hAnsi="Arial"/>
                <w:sz w:val="18"/>
                <w:szCs w:val="18"/>
                <w:color w:val="auto"/>
                <w:vertAlign w:val="superscript"/>
              </w:rPr>
              <w:t>(10)</w:t>
            </w: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Elaine Paul</w:t>
            </w:r>
          </w:p>
        </w:tc>
        <w:tc>
          <w:tcPr>
            <w:tcW w:w="1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4"/>
                <w:szCs w:val="14"/>
                <w:color w:val="auto"/>
              </w:rPr>
              <w:t>Kiran Prasad</w:t>
            </w:r>
            <w:r>
              <w:rPr>
                <w:rFonts w:ascii="Arial" w:cs="Arial" w:eastAsia="Arial" w:hAnsi="Arial"/>
                <w:sz w:val="18"/>
                <w:szCs w:val="18"/>
                <w:color w:val="auto"/>
                <w:vertAlign w:val="superscript"/>
              </w:rPr>
              <w:t>(11)</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Wendy Thomas</w:t>
            </w:r>
          </w:p>
        </w:tc>
        <w:tc>
          <w:tcPr>
            <w:tcW w:w="1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color w:val="auto"/>
              </w:rPr>
              <w:t>All directors and executive officers as a group</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(14 individuals)</w:t>
            </w:r>
            <w:r>
              <w:rPr>
                <w:rFonts w:ascii="Arial" w:cs="Arial" w:eastAsia="Arial" w:hAnsi="Arial"/>
                <w:sz w:val="9"/>
                <w:szCs w:val="9"/>
                <w:color w:val="auto"/>
              </w:rPr>
              <w:t>(12)</w:t>
            </w: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9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940" w:type="dxa"/>
            <w:vAlign w:val="bottom"/>
            <w:tcBorders>
              <w:left w:val="single" w:sz="8" w:color="auto"/>
              <w:bottom w:val="single" w:sz="8" w:color="auto"/>
            </w:tcBorders>
            <w:shd w:val="clear" w:color="auto" w:fill="B6B6B6"/>
          </w:tcPr>
          <w:p>
            <w:pPr>
              <w:ind w:left="40"/>
              <w:spacing w:after="0"/>
              <w:rPr>
                <w:sz w:val="20"/>
                <w:szCs w:val="20"/>
                <w:color w:val="auto"/>
              </w:rPr>
            </w:pPr>
            <w:r>
              <w:rPr>
                <w:rFonts w:ascii="Arial" w:cs="Arial" w:eastAsia="Arial" w:hAnsi="Arial"/>
                <w:sz w:val="14"/>
                <w:szCs w:val="14"/>
                <w:b w:val="1"/>
                <w:bCs w:val="1"/>
                <w:i w:val="1"/>
                <w:iCs w:val="1"/>
                <w:color w:val="auto"/>
              </w:rPr>
              <w:t>Other 5% Stockholders:</w:t>
            </w:r>
          </w:p>
        </w:tc>
        <w:tc>
          <w:tcPr>
            <w:tcW w:w="1320" w:type="dxa"/>
            <w:vAlign w:val="bottom"/>
            <w:tcBorders>
              <w:bottom w:val="single" w:sz="8" w:color="auto"/>
            </w:tcBorders>
            <w:shd w:val="clear" w:color="auto" w:fill="B6B6B6"/>
          </w:tcPr>
          <w:p>
            <w:pPr>
              <w:spacing w:after="0"/>
              <w:rPr>
                <w:sz w:val="18"/>
                <w:szCs w:val="18"/>
                <w:color w:val="auto"/>
              </w:rPr>
            </w:pPr>
          </w:p>
        </w:tc>
        <w:tc>
          <w:tcPr>
            <w:tcW w:w="1120" w:type="dxa"/>
            <w:vAlign w:val="bottom"/>
            <w:tcBorders>
              <w:bottom w:val="single" w:sz="8" w:color="auto"/>
            </w:tcBorders>
            <w:shd w:val="clear" w:color="auto" w:fill="B6B6B6"/>
          </w:tcPr>
          <w:p>
            <w:pPr>
              <w:spacing w:after="0"/>
              <w:rPr>
                <w:sz w:val="18"/>
                <w:szCs w:val="18"/>
                <w:color w:val="auto"/>
              </w:rPr>
            </w:pPr>
          </w:p>
        </w:tc>
        <w:tc>
          <w:tcPr>
            <w:tcW w:w="1220" w:type="dxa"/>
            <w:vAlign w:val="bottom"/>
            <w:tcBorders>
              <w:bottom w:val="single" w:sz="8" w:color="auto"/>
            </w:tcBorders>
            <w:shd w:val="clear" w:color="auto" w:fill="B6B6B6"/>
          </w:tcPr>
          <w:p>
            <w:pPr>
              <w:spacing w:after="0"/>
              <w:rPr>
                <w:sz w:val="18"/>
                <w:szCs w:val="18"/>
                <w:color w:val="auto"/>
              </w:rPr>
            </w:pPr>
          </w:p>
        </w:tc>
        <w:tc>
          <w:tcPr>
            <w:tcW w:w="920" w:type="dxa"/>
            <w:vAlign w:val="bottom"/>
            <w:tcBorders>
              <w:bottom w:val="single" w:sz="8" w:color="auto"/>
            </w:tcBorders>
            <w:shd w:val="clear" w:color="auto" w:fill="B6B6B6"/>
          </w:tcPr>
          <w:p>
            <w:pPr>
              <w:spacing w:after="0"/>
              <w:rPr>
                <w:sz w:val="18"/>
                <w:szCs w:val="18"/>
                <w:color w:val="auto"/>
              </w:rPr>
            </w:pPr>
          </w:p>
        </w:tc>
        <w:tc>
          <w:tcPr>
            <w:tcW w:w="1280" w:type="dxa"/>
            <w:vAlign w:val="bottom"/>
            <w:tcBorders>
              <w:bottom w:val="single" w:sz="8" w:color="auto"/>
            </w:tcBorders>
            <w:shd w:val="clear" w:color="auto" w:fill="B6B6B6"/>
          </w:tcPr>
          <w:p>
            <w:pPr>
              <w:spacing w:after="0"/>
              <w:rPr>
                <w:sz w:val="18"/>
                <w:szCs w:val="18"/>
                <w:color w:val="auto"/>
              </w:rPr>
            </w:pPr>
          </w:p>
        </w:tc>
        <w:tc>
          <w:tcPr>
            <w:tcW w:w="220" w:type="dxa"/>
            <w:vAlign w:val="bottom"/>
            <w:tcBorders>
              <w:bottom w:val="single" w:sz="8" w:color="auto"/>
            </w:tcBorders>
            <w:shd w:val="clear" w:color="auto" w:fill="B6B6B6"/>
          </w:tcPr>
          <w:p>
            <w:pPr>
              <w:spacing w:after="0"/>
              <w:rPr>
                <w:sz w:val="18"/>
                <w:szCs w:val="18"/>
                <w:color w:val="auto"/>
              </w:rPr>
            </w:pPr>
          </w:p>
        </w:tc>
        <w:tc>
          <w:tcPr>
            <w:tcW w:w="1220" w:type="dxa"/>
            <w:vAlign w:val="bottom"/>
            <w:tcBorders>
              <w:bottom w:val="single" w:sz="8" w:color="auto"/>
            </w:tcBorders>
            <w:shd w:val="clear" w:color="auto" w:fill="B6B6B6"/>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20"/>
              <w:spacing w:after="0"/>
              <w:rPr>
                <w:sz w:val="20"/>
                <w:szCs w:val="20"/>
                <w:color w:val="auto"/>
              </w:rPr>
            </w:pPr>
            <w:r>
              <w:rPr>
                <w:rFonts w:ascii="Arial" w:cs="Arial" w:eastAsia="Arial" w:hAnsi="Arial"/>
                <w:sz w:val="14"/>
                <w:szCs w:val="14"/>
                <w:color w:val="auto"/>
              </w:rPr>
              <w:t>Entities associated with BlackRock, Inc.</w:t>
            </w:r>
            <w:r>
              <w:rPr>
                <w:rFonts w:ascii="Arial" w:cs="Arial" w:eastAsia="Arial" w:hAnsi="Arial"/>
                <w:sz w:val="18"/>
                <w:szCs w:val="18"/>
                <w:color w:val="auto"/>
                <w:vertAlign w:val="superscript"/>
              </w:rPr>
              <w:t>(13)</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28,211,644</w:t>
            </w: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Entities associated with The Vanguard Group</w:t>
            </w:r>
            <w:r>
              <w:rPr>
                <w:rFonts w:ascii="Arial" w:cs="Arial" w:eastAsia="Arial" w:hAnsi="Arial"/>
                <w:sz w:val="18"/>
                <w:szCs w:val="18"/>
                <w:color w:val="auto"/>
                <w:vertAlign w:val="superscript"/>
              </w:rPr>
              <w:t>(14)</w:t>
            </w:r>
          </w:p>
        </w:tc>
        <w:tc>
          <w:tcPr>
            <w:tcW w:w="132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4"/>
                <w:szCs w:val="14"/>
                <w:color w:val="auto"/>
              </w:rPr>
              <w:t>Entities associated with T. Rowe Price Associates</w:t>
            </w:r>
            <w:r>
              <w:rPr>
                <w:rFonts w:ascii="Arial" w:cs="Arial" w:eastAsia="Arial" w:hAnsi="Arial"/>
                <w:sz w:val="18"/>
                <w:szCs w:val="18"/>
                <w:color w:val="auto"/>
                <w:vertAlign w:val="superscript"/>
              </w:rPr>
              <w:t>(15)</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56,229,070</w:t>
            </w: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Entities associated with T. Rowe Price Investment</w:t>
            </w:r>
          </w:p>
        </w:tc>
        <w:tc>
          <w:tcPr>
            <w:tcW w:w="132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30,327,826</w:t>
            </w:r>
          </w:p>
        </w:tc>
        <w:tc>
          <w:tcPr>
            <w:tcW w:w="11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80" w:type="dxa"/>
            <w:vAlign w:val="bottom"/>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40" w:type="dxa"/>
            <w:vAlign w:val="bottom"/>
            <w:tcBorders>
              <w:left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Management</w:t>
            </w:r>
            <w:r>
              <w:rPr>
                <w:rFonts w:ascii="Arial" w:cs="Arial" w:eastAsia="Arial" w:hAnsi="Arial"/>
                <w:sz w:val="9"/>
                <w:szCs w:val="9"/>
                <w:color w:val="auto"/>
              </w:rPr>
              <w:t>(16)</w:t>
            </w:r>
          </w:p>
        </w:tc>
        <w:tc>
          <w:tcPr>
            <w:tcW w:w="13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40" w:type="dxa"/>
            <w:vAlign w:val="bottom"/>
            <w:tcBorders>
              <w:left w:val="single" w:sz="8" w:color="DBDBDB"/>
            </w:tcBorders>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92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00" w:hanging="92"/>
        <w:spacing w:after="0"/>
        <w:tabs>
          <w:tab w:leader="none" w:pos="1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5" w:lineRule="exact"/>
        <w:rPr>
          <w:rFonts w:ascii="Arial" w:cs="Arial" w:eastAsia="Arial" w:hAnsi="Arial"/>
          <w:sz w:val="14"/>
          <w:szCs w:val="14"/>
          <w:color w:val="auto"/>
        </w:rPr>
      </w:pPr>
    </w:p>
    <w:p>
      <w:pPr>
        <w:ind w:left="520" w:hanging="350"/>
        <w:spacing w:after="0"/>
        <w:tabs>
          <w:tab w:leader="none" w:pos="520" w:val="left"/>
        </w:tabs>
        <w:numPr>
          <w:ilvl w:val="1"/>
          <w:numId w:val="96"/>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(ii) _______ shares of Class A common stock subject to outstanding options that are exercisable within 60</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days of the Beneficial Ownership Date, (iii) _______ RSUs that vest and settle into shares of Class A common stock within 60 days of the Beneficial Ownership Date,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and (iv) _______ PSUs that vest and settle into shares of Class A common stock within 60 days of the Beneficial Ownership Date.</w:t>
      </w:r>
    </w:p>
    <w:p>
      <w:pPr>
        <w:spacing w:after="0" w:line="15" w:lineRule="exact"/>
        <w:rPr>
          <w:sz w:val="20"/>
          <w:szCs w:val="20"/>
          <w:color w:val="auto"/>
        </w:rPr>
      </w:pPr>
    </w:p>
    <w:p>
      <w:pPr>
        <w:ind w:left="480" w:hanging="31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Khalaf is our former Chief Executive Officer. Consists of _______ shares of Class A common stock.</w:t>
      </w:r>
    </w:p>
    <w:p>
      <w:pPr>
        <w:spacing w:after="0" w:line="14" w:lineRule="exact"/>
        <w:rPr>
          <w:rFonts w:ascii="Arial" w:cs="Arial" w:eastAsia="Arial" w:hAnsi="Arial"/>
          <w:sz w:val="14"/>
          <w:szCs w:val="14"/>
          <w:color w:val="auto"/>
        </w:rPr>
      </w:pPr>
    </w:p>
    <w:p>
      <w:pPr>
        <w:jc w:val="both"/>
        <w:ind w:left="500" w:right="20" w:hanging="330"/>
        <w:spacing w:after="0" w:line="254" w:lineRule="auto"/>
        <w:tabs>
          <w:tab w:leader="none" w:pos="487"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(ii) _______ shares of Class A common stock subject to outstanding options that are exercisable within 60 days of the Beneficial Ownership Date, (iii) _______ RSUs that vest and settle into shares of Class A common stock within 60 days of the Beneficial Ownership Date, and (iv) _______PSUs that vest and settle into shares of Class A common stock within 60 days of the Beneficial Ownership Date.</w:t>
      </w:r>
    </w:p>
    <w:p>
      <w:pPr>
        <w:spacing w:after="0" w:line="1" w:lineRule="exact"/>
        <w:rPr>
          <w:rFonts w:ascii="Arial" w:cs="Arial" w:eastAsia="Arial" w:hAnsi="Arial"/>
          <w:sz w:val="14"/>
          <w:szCs w:val="14"/>
          <w:color w:val="auto"/>
        </w:rPr>
      </w:pPr>
    </w:p>
    <w:p>
      <w:pPr>
        <w:jc w:val="both"/>
        <w:ind w:left="500" w:right="20" w:hanging="330"/>
        <w:spacing w:after="0" w:line="254" w:lineRule="auto"/>
        <w:tabs>
          <w:tab w:leader="none" w:pos="473"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(ii) _______ shares of Class A common stock subject to outstanding options that are exercisable within 60 days of the Beneficial Ownership Date, (iii) _______ RSUs that vest and settle into shares of Class A common stock within 60 days of the Beneficial Ownership Date, and (iv) _______ PSUs that vest and settle into shares of Class A common stock within 60 days of the Beneficial Ownership Date.</w:t>
      </w:r>
    </w:p>
    <w:p>
      <w:pPr>
        <w:spacing w:after="0" w:line="1" w:lineRule="exact"/>
        <w:rPr>
          <w:rFonts w:ascii="Arial" w:cs="Arial" w:eastAsia="Arial" w:hAnsi="Arial"/>
          <w:sz w:val="14"/>
          <w:szCs w:val="14"/>
          <w:color w:val="auto"/>
        </w:rPr>
      </w:pPr>
    </w:p>
    <w:p>
      <w:pPr>
        <w:jc w:val="both"/>
        <w:ind w:left="500" w:right="20" w:hanging="330"/>
        <w:spacing w:after="0" w:line="261" w:lineRule="auto"/>
        <w:tabs>
          <w:tab w:leader="none" w:pos="487"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held of record by Mr. Gardner, (ii) _______ shares of Class B common stock held of record by Mr. Gardner’s GRAT, (iii) _______ shares of Class B common stock held of record by Mr. Gardner’s spouse’s GRAT, (iv) _______ shares of Class A common stock and _______</w:t>
      </w:r>
    </w:p>
    <w:p>
      <w:pPr>
        <w:jc w:val="both"/>
        <w:ind w:left="500" w:right="20"/>
        <w:spacing w:after="0" w:line="254" w:lineRule="auto"/>
        <w:rPr>
          <w:rFonts w:ascii="Arial" w:cs="Arial" w:eastAsia="Arial" w:hAnsi="Arial"/>
          <w:sz w:val="14"/>
          <w:szCs w:val="14"/>
          <w:color w:val="auto"/>
        </w:rPr>
      </w:pPr>
      <w:r>
        <w:rPr>
          <w:rFonts w:ascii="Arial" w:cs="Arial" w:eastAsia="Arial" w:hAnsi="Arial"/>
          <w:sz w:val="14"/>
          <w:szCs w:val="14"/>
          <w:color w:val="auto"/>
        </w:rPr>
        <w:t>shares of Class B common stock held of record by Mr. Gardner and his spouse as trustees of The Gardner 2008 Living Trust dated March 22, 2008, (v) _______ shares of Class A common stock and _______ shares of Class B common stock held of record by trusts for the benefit of Mr. Gardner’s children and of which the trustee is an independent institution, and (vi) _______ shares of Class B common stock subject to outstanding options exercisable within 60 days of the Beneficial Ownership Date.</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_______ shares of Class A common stock.</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_______ shares of Class A common stock.</w:t>
      </w:r>
    </w:p>
    <w:p>
      <w:pPr>
        <w:spacing w:after="0" w:line="14" w:lineRule="exact"/>
        <w:rPr>
          <w:rFonts w:ascii="Arial" w:cs="Arial" w:eastAsia="Arial" w:hAnsi="Arial"/>
          <w:sz w:val="14"/>
          <w:szCs w:val="14"/>
          <w:color w:val="auto"/>
        </w:rPr>
      </w:pPr>
    </w:p>
    <w:p>
      <w:pPr>
        <w:ind w:left="500" w:right="20" w:hanging="330"/>
        <w:spacing w:after="0" w:line="261" w:lineRule="auto"/>
        <w:tabs>
          <w:tab w:leader="none" w:pos="487"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and (ii) _______ shares of Class B common stock subject to outstanding options that are exercisable within 60 days of the Beneficial Ownership Date.</w:t>
      </w:r>
    </w:p>
    <w:p>
      <w:pPr>
        <w:ind w:left="480" w:hanging="310"/>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_______ shares of Class A common stock.</w:t>
      </w:r>
    </w:p>
    <w:p>
      <w:pPr>
        <w:spacing w:after="0" w:line="1" w:lineRule="exact"/>
        <w:rPr>
          <w:rFonts w:ascii="Arial" w:cs="Arial" w:eastAsia="Arial" w:hAnsi="Arial"/>
          <w:sz w:val="14"/>
          <w:szCs w:val="14"/>
          <w:color w:val="auto"/>
        </w:rPr>
      </w:pPr>
    </w:p>
    <w:p>
      <w:pPr>
        <w:ind w:left="500" w:right="20" w:hanging="330"/>
        <w:spacing w:after="0" w:line="261" w:lineRule="auto"/>
        <w:tabs>
          <w:tab w:leader="none" w:pos="513"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and (ii) _______ shares of Class B common stock subject to outstanding options that are exercisable within 60 days of the Beneficial Ownership Date.</w:t>
      </w:r>
    </w:p>
    <w:p>
      <w:pPr>
        <w:ind w:left="540" w:hanging="370"/>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_______ shares of Class A common stock.</w:t>
      </w:r>
    </w:p>
    <w:p>
      <w:pPr>
        <w:spacing w:after="0" w:line="14" w:lineRule="exact"/>
        <w:rPr>
          <w:rFonts w:ascii="Arial" w:cs="Arial" w:eastAsia="Arial" w:hAnsi="Arial"/>
          <w:sz w:val="14"/>
          <w:szCs w:val="14"/>
          <w:color w:val="auto"/>
        </w:rPr>
      </w:pPr>
    </w:p>
    <w:p>
      <w:pPr>
        <w:jc w:val="both"/>
        <w:ind w:left="500" w:right="20" w:hanging="330"/>
        <w:spacing w:after="0" w:line="262" w:lineRule="auto"/>
        <w:tabs>
          <w:tab w:leader="none" w:pos="526"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_______ shares of Class A common stock beneficially owned by our directors and current and former executive officers (ii) _______ shares of Class A common stock subject to outstanding options that are exercisable within 60 days of the Beneficial Ownership Date, (iii) _______ RSUs that vest and settle into shares of Class A common</w:t>
      </w:r>
    </w:p>
    <w:p>
      <w:pPr>
        <w:spacing w:after="0" w:line="200" w:lineRule="exact"/>
        <w:rPr>
          <w:sz w:val="20"/>
          <w:szCs w:val="20"/>
          <w:color w:val="auto"/>
        </w:rPr>
      </w:pPr>
    </w:p>
    <w:p>
      <w:pPr>
        <w:spacing w:after="0" w:line="3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75" w:name="page76"/>
    <w:bookmarkEnd w:id="75"/>
    <w:p>
      <w:pPr>
        <w:ind w:left="330"/>
        <w:spacing w:after="0"/>
        <w:rPr>
          <w:sz w:val="20"/>
          <w:szCs w:val="20"/>
          <w:color w:val="auto"/>
        </w:rPr>
      </w:pPr>
      <w:r>
        <w:rPr>
          <w:rFonts w:ascii="Arial" w:cs="Arial" w:eastAsia="Arial" w:hAnsi="Arial"/>
          <w:sz w:val="14"/>
          <w:szCs w:val="14"/>
          <w:color w:val="auto"/>
        </w:rPr>
        <w:t>stock within 60 days of the Beneficial Ownership Date, (iv) _______ PSUs that vest and settle into shares of Class A common stock within 60 days of the Beneficial</w:t>
      </w:r>
    </w:p>
    <w:p>
      <w:pPr>
        <w:spacing w:after="0" w:line="29" w:lineRule="exact"/>
        <w:rPr>
          <w:sz w:val="20"/>
          <w:szCs w:val="20"/>
          <w:color w:val="auto"/>
        </w:rPr>
      </w:pPr>
    </w:p>
    <w:p>
      <w:pPr>
        <w:ind w:left="330"/>
        <w:spacing w:after="0"/>
        <w:rPr>
          <w:sz w:val="20"/>
          <w:szCs w:val="20"/>
          <w:color w:val="auto"/>
        </w:rPr>
      </w:pPr>
      <w:r>
        <w:rPr>
          <w:rFonts w:ascii="Arial" w:cs="Arial" w:eastAsia="Arial" w:hAnsi="Arial"/>
          <w:sz w:val="14"/>
          <w:szCs w:val="14"/>
          <w:color w:val="auto"/>
        </w:rPr>
        <w:t>Ownership Date, (v) _______ shares of Class B common stock beneficially owned by our directors and current and former executive officers, and (vi) _______ shares of</w:t>
      </w:r>
    </w:p>
    <w:p>
      <w:pPr>
        <w:spacing w:after="0" w:line="15" w:lineRule="exact"/>
        <w:rPr>
          <w:sz w:val="20"/>
          <w:szCs w:val="20"/>
          <w:color w:val="auto"/>
        </w:rPr>
      </w:pPr>
    </w:p>
    <w:p>
      <w:pPr>
        <w:ind w:left="330"/>
        <w:spacing w:after="0"/>
        <w:rPr>
          <w:sz w:val="20"/>
          <w:szCs w:val="20"/>
          <w:color w:val="auto"/>
        </w:rPr>
      </w:pPr>
      <w:r>
        <w:rPr>
          <w:rFonts w:ascii="Arial" w:cs="Arial" w:eastAsia="Arial" w:hAnsi="Arial"/>
          <w:sz w:val="14"/>
          <w:szCs w:val="14"/>
          <w:color w:val="auto"/>
        </w:rPr>
        <w:t>Class B common stock subject to outstanding options that are exercisable within 60 days of the Beneficial Ownership Date.</w:t>
      </w:r>
    </w:p>
    <w:p>
      <w:pPr>
        <w:spacing w:after="0" w:line="1" w:lineRule="exact"/>
        <w:rPr>
          <w:sz w:val="20"/>
          <w:szCs w:val="20"/>
          <w:color w:val="auto"/>
        </w:rPr>
      </w:pPr>
    </w:p>
    <w:p>
      <w:pPr>
        <w:jc w:val="both"/>
        <w:ind w:left="330" w:hanging="330"/>
        <w:spacing w:after="0" w:line="261" w:lineRule="auto"/>
        <w:tabs>
          <w:tab w:leader="none" w:pos="356"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by BlackRock, Inc. on June 30, 2025. Consists of 28,211,644 shares of Class A common stock beneficially owned by BlackRock, Inc. BlackRock, Inc. was deemed to have no shared voting power or shared dispositive power with respect to shares of Class A common stock, sole voting power with respect to 27,385,335 shares of Class A common stock, and sole dispositive power with respect to 28,211,644 shares of Class A common stock. The address of BlackRock, Inc. is 50 Hudson Yards, New York, New York 10001.</w:t>
      </w:r>
    </w:p>
    <w:p>
      <w:pPr>
        <w:spacing w:after="0" w:line="1" w:lineRule="exact"/>
        <w:rPr>
          <w:rFonts w:ascii="Arial" w:cs="Arial" w:eastAsia="Arial" w:hAnsi="Arial"/>
          <w:sz w:val="14"/>
          <w:szCs w:val="14"/>
          <w:color w:val="auto"/>
        </w:rPr>
      </w:pPr>
    </w:p>
    <w:p>
      <w:pPr>
        <w:jc w:val="both"/>
        <w:ind w:left="330" w:hanging="330"/>
        <w:spacing w:after="0" w:line="257" w:lineRule="auto"/>
        <w:tabs>
          <w:tab w:leader="none" w:pos="343"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information set forth in Schedules 13G/A filed by The Vanguard Group on March 11, 2024 and March 27, 2026. As of March 11, 2024, The Vanguard Group’s holdings consisted of 46,509,035 shares of Class A common stock beneficially owned by The Vanguard Group. The Vanguard Group was deemed to have no sole voting power with respect to shares of Class A common stock, shared voting power with respect to 370,652 shares of Class A common stock, sole dispositive power with respect to 45,701,073 shares of Class A common stock, and shared dispositive power with respect to 807,962 shares of Class A common stock. As of March 27, 2026, The Vanguard Group disclosed an internal realignment on January 12, 2026. Certain subsidiaries or business divisions of subsidiaries of The Vanguard Group that formerly had, or were deemed to have, beneficial ownership with The Vanguard Group will report beneficial ownership separately (on a disaggregated basis) from The Vanguard Group. The Vanguard Group no longer has, or is deemed to have, beneficial ownership over securities beneficially owned by such subsidiaries and/or business divisions. As of the date of this filing, the reorganized entities of The Vanguard Group have not yet filed their holdings on Schedule 13G. The address of The Vanguard Group is 100 Vanguard Blvd., Malvern, Pennsylvania 19355.</w:t>
      </w:r>
    </w:p>
    <w:p>
      <w:pPr>
        <w:jc w:val="both"/>
        <w:ind w:left="330" w:hanging="330"/>
        <w:spacing w:after="0" w:line="263" w:lineRule="auto"/>
        <w:tabs>
          <w:tab w:leader="none" w:pos="356"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by T. Rowe Price Associates, Inc. on May 31, 2025. Consists of 56,229,070 shares of Class A common stock beneficially owned by T. Rowe Price Associates, Inc. T. Rowe Price Associates, Inc. was deemed to have sole voting power with respect to 55,305,018 shares of Class A common stock, no shared voting power with respect to shares of Class A common stock, sole dispositive power with respect to 56,229,070 shares of Class A common stock, and no shared dispositive power with respect to shares of Class A common stock. The address of T. Rowe Price Associates, Inc. is 1307 Point Street, Baltimore, MD 21231.</w:t>
      </w:r>
    </w:p>
    <w:p>
      <w:pPr>
        <w:spacing w:after="0" w:line="158" w:lineRule="exact"/>
        <w:rPr>
          <w:rFonts w:ascii="Arial" w:cs="Arial" w:eastAsia="Arial" w:hAnsi="Arial"/>
          <w:sz w:val="14"/>
          <w:szCs w:val="14"/>
          <w:color w:val="auto"/>
        </w:rPr>
      </w:pPr>
    </w:p>
    <w:p>
      <w:pPr>
        <w:jc w:val="both"/>
        <w:ind w:left="330" w:hanging="330"/>
        <w:spacing w:after="0" w:line="262" w:lineRule="auto"/>
        <w:tabs>
          <w:tab w:leader="none" w:pos="343"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by T. Rowe Price Investment Management, Inc. on June 30, 2025. Consists of 30,327,826 shares of Class A common stock beneficially owned by T. Rowe Price Investment Management, Inc. T. Rowe Price Investment Management, Inc. was deemed to have sole voting power with respect to 30,250,071 shares of Class A common stock, no shared voting power with respect to shares of Class A common stock, sole dispositive power with respect to 30,327,826 shares of Class A common stock, and no shared dispositive power with respect to shares of Class A common stock. The address of T. Rowe Price Investment Management, Inc. is 1307 Point Street, Baltimore, MD 21231.</w:t>
      </w:r>
    </w:p>
    <w:p>
      <w:pPr>
        <w:spacing w:after="0" w:line="331" w:lineRule="exact"/>
        <w:rPr>
          <w:sz w:val="20"/>
          <w:szCs w:val="20"/>
          <w:color w:val="auto"/>
        </w:rPr>
      </w:pPr>
    </w:p>
    <w:p>
      <w:pPr>
        <w:ind w:left="9050"/>
        <w:spacing w:after="0"/>
        <w:rPr>
          <w:sz w:val="20"/>
          <w:szCs w:val="20"/>
          <w:color w:val="auto"/>
        </w:rPr>
      </w:pPr>
      <w:r>
        <w:rPr>
          <w:sz w:val="1"/>
          <w:szCs w:val="1"/>
          <w:color w:val="auto"/>
        </w:rPr>
        <w:drawing>
          <wp:inline distT="0" distB="0" distL="0" distR="0">
            <wp:extent cx="1105535" cy="1543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170180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94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CERTAIN RELATIONSHIPS AND RELATED PERSON TRANSACTIONS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to which we were a party or will be a party, in which:</w:t>
      </w:r>
    </w:p>
    <w:p>
      <w:pPr>
        <w:spacing w:after="0" w:line="4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 terms of the transactions described below were comparable to terms we could have obtained in arm’s-length dealings with unrelated third parties.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Rights Agreement</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party to an amended and restated investor rights agreement that provides, among other things, entities affiliated with certain holders of more than 5% of our outstanding capital stock with registration rights.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stock options, RSUs, and PSUs to our executive officers and certain of our directors.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engaged the law firm of Keker, Van Nest &amp; Peters LLP (“Keker”) to provide legal services to us, and we may do so again in the future. Nicholas Goldberg, a partner at Keker, is the spouse of Crystal Sumner, one of our executive officers, though he is not directly involved in providing legal services to the Company. The fees for legal services are based on the hourly rates of the individuals performing the legal services. For the year ended December 31, 2025, we paid Keker an aggregate amount of $508,165 for legal services rendered to the Company.</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described above in this section titled “Certain Relationships and Related Person Transactions,” since January 1, 2025,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contains provisions limiting the liability of directors, and our amended and restated bylaws provides that we will indemnify each of our directors and officers to the fullest extent permitted by law. Our amended and restated bylaws also provide discretion to indemnify our employees and other agents. In addition, we have entered into indemnification agreements with each of our directors and executive officers that may be broader than the specific indemnification provisions contained in the Delaware General Corporation Law.</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Transactions with Related Persons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formal written policy providing that any related person transaction (as defined in the policy) must be reviewed and approved or ratified by the Audit Committee.</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When determining whether to approve or ratify a related person transaction, the Audit Committee will review all relevant material information available to it regarding the related person transaction, including, among other things:</w:t>
      </w:r>
    </w:p>
    <w:p>
      <w:pPr>
        <w:spacing w:after="0" w:line="45"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nature and extent of the related person’s interest in the transaction;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material terms and conditions of the transaction;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business purpose of, and the potential benefits to us of, the transaction;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7" w:name="page78"/>
    <w:bookmarkEnd w:id="77"/>
    <w:p>
      <w:pPr>
        <w:jc w:val="both"/>
        <w:ind w:left="660" w:hanging="328"/>
        <w:spacing w:after="0" w:line="268" w:lineRule="auto"/>
        <w:tabs>
          <w:tab w:leader="none" w:pos="66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the Audit Committee’s decision, in its business judgment, in light of the circumstances of the particular transaction.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member of the Audit Committee or the Board who has an interest in a potential related person transaction will recuse himself or herself from any discussion or vote of such related person transaction, except that such director shall provide all material information concerning the transaction to the Audit Committee.</w:t>
      </w:r>
    </w:p>
    <w:p>
      <w:pPr>
        <w:spacing w:after="0" w:line="324"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5"/>
          <w:szCs w:val="25"/>
          <w:b w:val="1"/>
          <w:bCs w:val="1"/>
          <w:color w:val="auto"/>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with the SEC. Such officers, directors and stockholders are required by SEC regulations to furnish us with copies of all such reports that they file.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Based solely on a review of copies of reports filed with the SEC that we have received and of written representations by officers and directors, we believe that during fiscal year 2025, all officers and directors subject to the reporting requirements of Section 16(a) filed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required reports on a timely basis, except that the Company inadvertently failed to timely file a Form 4 on behalf of Mr. Graf to report the vesting of RSUs, which Form 4 was filed on July 23, 2025.</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Annual Report and SEC Filings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for fiscal year 2025 are included in our 2025 Annual Report, which we will make available to stockholders at the same time as this Proxy Statement. Our 2025 Annual Report and this Proxy Statement are posted on our website at www.investors.marqeta.com and are available from the SEC at its website at www.sec.gov. You may also obtain a copy of our 2025 Annual Report without charge by sending a written request to Marqeta, Inc., Attention: Investor Relations, 180 Grand Avenue, 6th Floor, Oakland, CA 94612.</w:t>
      </w:r>
    </w:p>
    <w:p>
      <w:pPr>
        <w:spacing w:after="0" w:line="200" w:lineRule="exact"/>
        <w:rPr>
          <w:sz w:val="20"/>
          <w:szCs w:val="20"/>
          <w:color w:val="auto"/>
        </w:rPr>
      </w:pPr>
    </w:p>
    <w:p>
      <w:pPr>
        <w:spacing w:after="0" w:line="3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5"/>
          <w:szCs w:val="25"/>
          <w:b w:val="1"/>
          <w:bCs w:val="1"/>
          <w:color w:val="auto"/>
        </w:rPr>
        <w:t>QUESTIONS AND ANSWERS ABOUT THE ANNUAL MEETING</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rules adopted by the SEC, we have elected to provide access to our Annual Meeting materials over the internet. Accordingly, we have sent you the Notice of Annual Meeting of Stockholders (the “Notice”) because our Board is soliciting your proxy to vote at the Annual Meeting. All stockholders will have the ability to access the Annual Meeting materials on the website referred to in the Notice or to request a printed set of the Annual Meeting materials. Instructions on how to access the Annual Meeting materials over the internet or to request a printed copy may be found in the Notice.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intend to mail the Notice on or about April 21, 2026 to all stockholders of record entitled to vote at the Annual Meeting. If you receive more than one Notice, your shares may be registered in more than one name or in different accounts. Please follow the voting instructions on each Notice to ensure that all of your shares are voted.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any other Annual Meeting materials by mail?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send you a proxy card, along with a second Notice, after ten calendar days have passed since our first mailing of the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matters scheduled for a vote at the Annual Meeting:</w:t>
      </w:r>
    </w:p>
    <w:p>
      <w:pPr>
        <w:spacing w:after="0" w:line="117" w:lineRule="exact"/>
        <w:rPr>
          <w:sz w:val="20"/>
          <w:szCs w:val="20"/>
          <w:color w:val="auto"/>
        </w:rPr>
      </w:pPr>
    </w:p>
    <w:p>
      <w:pPr>
        <w:jc w:val="both"/>
        <w:ind w:left="660" w:hanging="328"/>
        <w:spacing w:after="0" w:line="268" w:lineRule="auto"/>
        <w:tabs>
          <w:tab w:leader="none" w:pos="66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Election of the four Class II nominees for director: Najuma Atkinson, Martha Cummings, Judson (Jud) Linville, and</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(Mike) Milotich, each to hold office until our annual meeting of stockholders in 2029 and until his or her successor is duly elected and qualified or until their earlier death, resignation, or removal;</w:t>
      </w:r>
    </w:p>
    <w:p>
      <w:pPr>
        <w:spacing w:after="0" w:line="8"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Ratification of the selection of KPMG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2026;</w:t>
      </w:r>
    </w:p>
    <w:p>
      <w:pPr>
        <w:spacing w:after="0" w:line="1"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Approval of an amendment to our Amended and Restated Certificate of Incorporation to effect a 1-for-4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and related reduction of our authorized Common Stock and Preferred Stock;</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9"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Approval of an amendment to our Amended and Restated Certificate of Incorporation to provide for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exculpation to the fullest extent permitted by Delaware law;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Proposal No. 5</w:t>
      </w:r>
      <w:r>
        <w:rPr>
          <w:rFonts w:ascii="Arial" w:cs="Arial" w:eastAsia="Arial" w:hAnsi="Arial"/>
          <w:sz w:val="18"/>
          <w:szCs w:val="18"/>
          <w:color w:val="auto"/>
        </w:rPr>
        <w:t>: Non-binding advisory vote on the compensation of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necessary to approve each proposal and what are the recommendations of the Board?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the voting requirements for each proposal being voted on at the Annual Meeting and the recommendations of the Board:</w:t>
      </w:r>
    </w:p>
    <w:p>
      <w:pPr>
        <w:spacing w:after="0" w:line="320"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30"/>
        </w:trPr>
        <w:tc>
          <w:tcPr>
            <w:tcW w:w="2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1620" w:type="dxa"/>
            <w:vAlign w:val="bottom"/>
            <w:tcBorders>
              <w:top w:val="single" w:sz="8" w:color="auto"/>
              <w:bottom w:val="single" w:sz="8" w:color="929292"/>
            </w:tcBorders>
            <w:shd w:val="clear" w:color="auto" w:fill="929292"/>
          </w:tcPr>
          <w:p>
            <w:pPr>
              <w:spacing w:after="0"/>
              <w:rPr>
                <w:sz w:val="19"/>
                <w:szCs w:val="19"/>
                <w:color w:val="auto"/>
              </w:rPr>
            </w:pPr>
          </w:p>
        </w:tc>
        <w:tc>
          <w:tcPr>
            <w:tcW w:w="2280" w:type="dxa"/>
            <w:vAlign w:val="bottom"/>
            <w:tcBorders>
              <w:top w:val="single" w:sz="8" w:color="auto"/>
              <w:bottom w:val="single" w:sz="8" w:color="929292"/>
              <w:right w:val="single" w:sz="8" w:color="auto"/>
            </w:tcBorders>
            <w:shd w:val="clear" w:color="auto" w:fill="929292"/>
          </w:tcPr>
          <w:p>
            <w:pPr>
              <w:spacing w:after="0"/>
              <w:rPr>
                <w:sz w:val="20"/>
                <w:szCs w:val="20"/>
                <w:color w:val="auto"/>
              </w:rPr>
            </w:pPr>
            <w:r>
              <w:rPr>
                <w:rFonts w:ascii="Arial" w:cs="Arial" w:eastAsia="Arial" w:hAnsi="Arial"/>
                <w:sz w:val="16"/>
                <w:szCs w:val="16"/>
                <w:b w:val="1"/>
                <w:bCs w:val="1"/>
                <w:color w:val="FFFFFF"/>
              </w:rPr>
              <w:t>Effect of</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tcBorders>
            <w:vMerge w:val="restart"/>
            <w:shd w:val="clear" w:color="auto" w:fill="929292"/>
          </w:tcPr>
          <w:p>
            <w:pPr>
              <w:ind w:left="800"/>
              <w:spacing w:after="0"/>
              <w:rPr>
                <w:sz w:val="20"/>
                <w:szCs w:val="20"/>
                <w:color w:val="auto"/>
              </w:rPr>
            </w:pPr>
            <w:r>
              <w:rPr>
                <w:rFonts w:ascii="Arial" w:cs="Arial" w:eastAsia="Arial" w:hAnsi="Arial"/>
                <w:sz w:val="16"/>
                <w:szCs w:val="16"/>
                <w:b w:val="1"/>
                <w:bCs w:val="1"/>
                <w:color w:val="FFFFFF"/>
              </w:rPr>
              <w:t>Proposal</w:t>
            </w:r>
          </w:p>
        </w:tc>
        <w:tc>
          <w:tcPr>
            <w:tcW w:w="1940" w:type="dxa"/>
            <w:vAlign w:val="bottom"/>
            <w:shd w:val="clear" w:color="auto" w:fill="929292"/>
          </w:tcPr>
          <w:p>
            <w:pPr>
              <w:ind w:left="840"/>
              <w:spacing w:after="0" w:line="155" w:lineRule="exact"/>
              <w:rPr>
                <w:sz w:val="20"/>
                <w:szCs w:val="20"/>
                <w:color w:val="auto"/>
              </w:rPr>
            </w:pPr>
            <w:r>
              <w:rPr>
                <w:rFonts w:ascii="Arial" w:cs="Arial" w:eastAsia="Arial" w:hAnsi="Arial"/>
                <w:sz w:val="16"/>
                <w:szCs w:val="16"/>
                <w:b w:val="1"/>
                <w:bCs w:val="1"/>
                <w:color w:val="FFFFFF"/>
              </w:rPr>
              <w:t>Board</w:t>
            </w:r>
          </w:p>
        </w:tc>
        <w:tc>
          <w:tcPr>
            <w:tcW w:w="3200" w:type="dxa"/>
            <w:vAlign w:val="bottom"/>
            <w:tcBorders>
              <w:right w:val="single" w:sz="8" w:color="929292"/>
            </w:tcBorders>
            <w:shd w:val="clear" w:color="auto" w:fill="929292"/>
          </w:tcPr>
          <w:p>
            <w:pPr>
              <w:ind w:left="1320"/>
              <w:spacing w:after="0" w:line="155" w:lineRule="exact"/>
              <w:rPr>
                <w:sz w:val="20"/>
                <w:szCs w:val="20"/>
                <w:color w:val="auto"/>
              </w:rPr>
            </w:pPr>
            <w:r>
              <w:rPr>
                <w:rFonts w:ascii="Arial" w:cs="Arial" w:eastAsia="Arial" w:hAnsi="Arial"/>
                <w:sz w:val="16"/>
                <w:szCs w:val="16"/>
                <w:b w:val="1"/>
                <w:bCs w:val="1"/>
                <w:color w:val="FFFFFF"/>
              </w:rPr>
              <w:t>Required</w:t>
            </w:r>
          </w:p>
        </w:tc>
        <w:tc>
          <w:tcPr>
            <w:tcW w:w="1620" w:type="dxa"/>
            <w:vAlign w:val="bottom"/>
            <w:shd w:val="clear" w:color="auto" w:fill="929292"/>
          </w:tcPr>
          <w:p>
            <w:pPr>
              <w:ind w:left="280"/>
              <w:spacing w:after="0" w:line="155" w:lineRule="exact"/>
              <w:rPr>
                <w:sz w:val="20"/>
                <w:szCs w:val="20"/>
                <w:color w:val="auto"/>
              </w:rPr>
            </w:pPr>
            <w:r>
              <w:rPr>
                <w:rFonts w:ascii="Arial" w:cs="Arial" w:eastAsia="Arial" w:hAnsi="Arial"/>
                <w:sz w:val="16"/>
                <w:szCs w:val="16"/>
                <w:b w:val="1"/>
                <w:bCs w:val="1"/>
                <w:color w:val="FFFFFF"/>
              </w:rPr>
              <w:t>Withholding /</w:t>
            </w:r>
          </w:p>
        </w:tc>
        <w:tc>
          <w:tcPr>
            <w:tcW w:w="2280" w:type="dxa"/>
            <w:vAlign w:val="bottom"/>
            <w:tcBorders>
              <w:right w:val="single" w:sz="8" w:color="auto"/>
            </w:tcBorders>
            <w:shd w:val="clear" w:color="auto" w:fill="929292"/>
          </w:tcPr>
          <w:p>
            <w:pPr>
              <w:ind w:left="660"/>
              <w:spacing w:after="0" w:line="155" w:lineRule="exact"/>
              <w:rPr>
                <w:sz w:val="20"/>
                <w:szCs w:val="20"/>
                <w:color w:val="auto"/>
              </w:rPr>
            </w:pPr>
            <w:r>
              <w:rPr>
                <w:rFonts w:ascii="Arial" w:cs="Arial" w:eastAsia="Arial" w:hAnsi="Arial"/>
                <w:sz w:val="16"/>
                <w:szCs w:val="16"/>
                <w:b w:val="1"/>
                <w:bCs w:val="1"/>
                <w:color w:val="FFFFFF"/>
              </w:rPr>
              <w:t>Broker Non-</w:t>
            </w: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tcBorders>
            <w:vMerge w:val="continue"/>
            <w:shd w:val="clear" w:color="auto" w:fill="929292"/>
          </w:tcPr>
          <w:p>
            <w:pPr>
              <w:spacing w:after="0"/>
              <w:rPr>
                <w:sz w:val="18"/>
                <w:szCs w:val="18"/>
                <w:color w:val="auto"/>
              </w:rPr>
            </w:pPr>
          </w:p>
        </w:tc>
        <w:tc>
          <w:tcPr>
            <w:tcW w:w="1940" w:type="dxa"/>
            <w:vAlign w:val="bottom"/>
            <w:tcBorders>
              <w:bottom w:val="single" w:sz="8" w:color="auto"/>
            </w:tcBorders>
            <w:shd w:val="clear" w:color="auto" w:fill="929292"/>
          </w:tcPr>
          <w:p>
            <w:pPr>
              <w:ind w:left="400"/>
              <w:spacing w:after="0"/>
              <w:rPr>
                <w:sz w:val="20"/>
                <w:szCs w:val="20"/>
                <w:color w:val="auto"/>
              </w:rPr>
            </w:pPr>
            <w:r>
              <w:rPr>
                <w:rFonts w:ascii="Arial" w:cs="Arial" w:eastAsia="Arial" w:hAnsi="Arial"/>
                <w:sz w:val="16"/>
                <w:szCs w:val="16"/>
                <w:b w:val="1"/>
                <w:bCs w:val="1"/>
                <w:color w:val="FFFFFF"/>
              </w:rPr>
              <w:t>Recommendation</w:t>
            </w:r>
          </w:p>
        </w:tc>
        <w:tc>
          <w:tcPr>
            <w:tcW w:w="3200" w:type="dxa"/>
            <w:vAlign w:val="bottom"/>
            <w:tcBorders>
              <w:bottom w:val="single" w:sz="8" w:color="auto"/>
              <w:right w:val="single" w:sz="8" w:color="929292"/>
            </w:tcBorders>
            <w:shd w:val="clear" w:color="auto" w:fill="929292"/>
          </w:tcPr>
          <w:p>
            <w:pPr>
              <w:ind w:left="1500"/>
              <w:spacing w:after="0"/>
              <w:rPr>
                <w:sz w:val="20"/>
                <w:szCs w:val="20"/>
                <w:color w:val="auto"/>
              </w:rPr>
            </w:pPr>
            <w:r>
              <w:rPr>
                <w:rFonts w:ascii="Arial" w:cs="Arial" w:eastAsia="Arial" w:hAnsi="Arial"/>
                <w:sz w:val="16"/>
                <w:szCs w:val="16"/>
                <w:b w:val="1"/>
                <w:bCs w:val="1"/>
                <w:color w:val="FFFFFF"/>
              </w:rPr>
              <w:t>Vote</w:t>
            </w:r>
          </w:p>
        </w:tc>
        <w:tc>
          <w:tcPr>
            <w:tcW w:w="1620" w:type="dxa"/>
            <w:vAlign w:val="bottom"/>
            <w:tcBorders>
              <w:bottom w:val="single" w:sz="8" w:color="auto"/>
            </w:tcBorders>
            <w:shd w:val="clear" w:color="auto" w:fill="929292"/>
          </w:tcPr>
          <w:p>
            <w:pPr>
              <w:ind w:left="340"/>
              <w:spacing w:after="0"/>
              <w:rPr>
                <w:sz w:val="20"/>
                <w:szCs w:val="20"/>
                <w:color w:val="auto"/>
              </w:rPr>
            </w:pPr>
            <w:r>
              <w:rPr>
                <w:rFonts w:ascii="Arial" w:cs="Arial" w:eastAsia="Arial" w:hAnsi="Arial"/>
                <w:sz w:val="16"/>
                <w:szCs w:val="16"/>
                <w:b w:val="1"/>
                <w:bCs w:val="1"/>
                <w:color w:val="FFFFFF"/>
              </w:rPr>
              <w:t>Abstentions</w:t>
            </w:r>
          </w:p>
        </w:tc>
        <w:tc>
          <w:tcPr>
            <w:tcW w:w="2280" w:type="dxa"/>
            <w:vAlign w:val="bottom"/>
            <w:tcBorders>
              <w:bottom w:val="single" w:sz="8" w:color="auto"/>
              <w:right w:val="single" w:sz="8" w:color="auto"/>
            </w:tcBorders>
            <w:shd w:val="clear" w:color="auto" w:fill="929292"/>
          </w:tcPr>
          <w:p>
            <w:pPr>
              <w:ind w:left="920"/>
              <w:spacing w:after="0"/>
              <w:rPr>
                <w:sz w:val="20"/>
                <w:szCs w:val="20"/>
                <w:color w:val="auto"/>
              </w:rPr>
            </w:pPr>
            <w:r>
              <w:rPr>
                <w:rFonts w:ascii="Arial" w:cs="Arial" w:eastAsia="Arial" w:hAnsi="Arial"/>
                <w:sz w:val="16"/>
                <w:szCs w:val="16"/>
                <w:b w:val="1"/>
                <w:bCs w:val="1"/>
                <w:color w:val="FFFFFF"/>
              </w:rPr>
              <w:t>Votes</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tcBorders>
          </w:tcPr>
          <w:p>
            <w:pPr>
              <w:ind w:left="40"/>
              <w:spacing w:after="0" w:line="155" w:lineRule="exact"/>
              <w:rPr>
                <w:sz w:val="20"/>
                <w:szCs w:val="20"/>
                <w:color w:val="auto"/>
              </w:rPr>
            </w:pPr>
            <w:r>
              <w:rPr>
                <w:rFonts w:ascii="Arial" w:cs="Arial" w:eastAsia="Arial" w:hAnsi="Arial"/>
                <w:sz w:val="16"/>
                <w:szCs w:val="16"/>
                <w:i w:val="1"/>
                <w:iCs w:val="1"/>
                <w:color w:val="auto"/>
              </w:rPr>
              <w:t xml:space="preserve">(Proposal No. 1) </w:t>
            </w:r>
            <w:r>
              <w:rPr>
                <w:rFonts w:ascii="Arial" w:cs="Arial" w:eastAsia="Arial" w:hAnsi="Arial"/>
                <w:sz w:val="16"/>
                <w:szCs w:val="16"/>
                <w:color w:val="auto"/>
              </w:rPr>
              <w:t>Election of</w:t>
            </w:r>
          </w:p>
        </w:tc>
        <w:tc>
          <w:tcPr>
            <w:tcW w:w="1940" w:type="dxa"/>
            <w:vAlign w:val="bottom"/>
          </w:tcPr>
          <w:p>
            <w:pPr>
              <w:ind w:left="80"/>
              <w:spacing w:after="0" w:line="155" w:lineRule="exact"/>
              <w:rPr>
                <w:sz w:val="20"/>
                <w:szCs w:val="20"/>
                <w:color w:val="auto"/>
              </w:rPr>
            </w:pPr>
            <w:r>
              <w:rPr>
                <w:rFonts w:ascii="Arial" w:cs="Arial" w:eastAsia="Arial" w:hAnsi="Arial"/>
                <w:sz w:val="16"/>
                <w:szCs w:val="16"/>
                <w:color w:val="auto"/>
              </w:rPr>
              <w:t>FOR each nominee</w:t>
            </w:r>
          </w:p>
        </w:tc>
        <w:tc>
          <w:tcPr>
            <w:tcW w:w="4820" w:type="dxa"/>
            <w:vAlign w:val="bottom"/>
            <w:gridSpan w:val="2"/>
          </w:tcPr>
          <w:p>
            <w:pPr>
              <w:ind w:left="180"/>
              <w:spacing w:after="0" w:line="155" w:lineRule="exact"/>
              <w:rPr>
                <w:sz w:val="20"/>
                <w:szCs w:val="20"/>
                <w:color w:val="auto"/>
              </w:rPr>
            </w:pPr>
            <w:r>
              <w:rPr>
                <w:rFonts w:ascii="Arial" w:cs="Arial" w:eastAsia="Arial" w:hAnsi="Arial"/>
                <w:sz w:val="16"/>
                <w:szCs w:val="16"/>
                <w:color w:val="auto"/>
              </w:rPr>
              <w:t>Plurality of the voting power of the shares No effect</w:t>
            </w:r>
          </w:p>
        </w:tc>
        <w:tc>
          <w:tcPr>
            <w:tcW w:w="228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Not counted as entitled to vote</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color w:val="auto"/>
              </w:rPr>
              <w:t>directors</w:t>
            </w:r>
          </w:p>
        </w:tc>
        <w:tc>
          <w:tcPr>
            <w:tcW w:w="1940" w:type="dxa"/>
            <w:vAlign w:val="bottom"/>
          </w:tcPr>
          <w:p>
            <w:pPr>
              <w:spacing w:after="0"/>
              <w:rPr>
                <w:sz w:val="14"/>
                <w:szCs w:val="14"/>
                <w:color w:val="auto"/>
              </w:rPr>
            </w:pPr>
          </w:p>
        </w:tc>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present in person or by proxy (nominees</w:t>
            </w:r>
          </w:p>
        </w:tc>
        <w:tc>
          <w:tcPr>
            <w:tcW w:w="1620" w:type="dxa"/>
            <w:vAlign w:val="bottom"/>
          </w:tcPr>
          <w:p>
            <w:pPr>
              <w:spacing w:after="0"/>
              <w:rPr>
                <w:sz w:val="14"/>
                <w:szCs w:val="14"/>
                <w:color w:val="auto"/>
              </w:rPr>
            </w:pPr>
          </w:p>
        </w:tc>
        <w:tc>
          <w:tcPr>
            <w:tcW w:w="22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and therefore no effect</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that receive the most FOR votes will be</w:t>
            </w:r>
          </w:p>
        </w:tc>
        <w:tc>
          <w:tcPr>
            <w:tcW w:w="1620" w:type="dxa"/>
            <w:vAlign w:val="bottom"/>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Borders>
              <w:lef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6"/>
                <w:szCs w:val="16"/>
                <w:color w:val="auto"/>
              </w:rPr>
              <w:t>elected)</w:t>
            </w:r>
          </w:p>
        </w:tc>
        <w:tc>
          <w:tcPr>
            <w:tcW w:w="162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tcBorders>
              <w:left w:val="single" w:sz="8" w:color="auto"/>
            </w:tcBorders>
            <w:gridSpan w:val="2"/>
            <w:shd w:val="clear" w:color="auto" w:fill="DBDBDB"/>
          </w:tcPr>
          <w:p>
            <w:pPr>
              <w:ind w:left="40"/>
              <w:spacing w:after="0" w:line="163" w:lineRule="exact"/>
              <w:rPr>
                <w:sz w:val="20"/>
                <w:szCs w:val="20"/>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Ratification of FOR</w:t>
            </w:r>
          </w:p>
        </w:tc>
        <w:tc>
          <w:tcPr>
            <w:tcW w:w="4820" w:type="dxa"/>
            <w:vAlign w:val="bottom"/>
            <w:gridSpan w:val="2"/>
            <w:shd w:val="clear" w:color="auto" w:fill="DBDBDB"/>
          </w:tcPr>
          <w:p>
            <w:pPr>
              <w:ind w:left="180"/>
              <w:spacing w:after="0" w:line="163" w:lineRule="exact"/>
              <w:rPr>
                <w:sz w:val="20"/>
                <w:szCs w:val="20"/>
                <w:color w:val="auto"/>
              </w:rPr>
            </w:pPr>
            <w:r>
              <w:rPr>
                <w:rFonts w:ascii="Arial" w:cs="Arial" w:eastAsia="Arial" w:hAnsi="Arial"/>
                <w:sz w:val="16"/>
                <w:szCs w:val="16"/>
                <w:color w:val="auto"/>
              </w:rPr>
              <w:t>Majority of the voting power of the shares Same as a vote</w:t>
            </w:r>
          </w:p>
        </w:tc>
        <w:tc>
          <w:tcPr>
            <w:tcW w:w="2280" w:type="dxa"/>
            <w:vAlign w:val="bottom"/>
            <w:tcBorders>
              <w:right w:val="single" w:sz="8" w:color="auto"/>
            </w:tcBorders>
            <w:shd w:val="clear" w:color="auto" w:fill="DBDBDB"/>
          </w:tcPr>
          <w:p>
            <w:pPr>
              <w:ind w:left="20"/>
              <w:spacing w:after="0" w:line="163" w:lineRule="exact"/>
              <w:rPr>
                <w:sz w:val="20"/>
                <w:szCs w:val="20"/>
                <w:color w:val="auto"/>
              </w:rPr>
            </w:pPr>
            <w:r>
              <w:rPr>
                <w:rFonts w:ascii="Arial" w:cs="Arial" w:eastAsia="Arial" w:hAnsi="Arial"/>
                <w:sz w:val="16"/>
                <w:szCs w:val="16"/>
                <w:color w:val="auto"/>
              </w:rPr>
              <w:t>Not applicable (brokers have</w:t>
            </w: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KPMG LLP</w:t>
            </w:r>
          </w:p>
        </w:tc>
        <w:tc>
          <w:tcPr>
            <w:tcW w:w="1940" w:type="dxa"/>
            <w:vAlign w:val="bottom"/>
            <w:shd w:val="clear" w:color="auto" w:fill="DBDBDB"/>
          </w:tcPr>
          <w:p>
            <w:pPr>
              <w:spacing w:after="0"/>
              <w:rPr>
                <w:sz w:val="18"/>
                <w:szCs w:val="18"/>
                <w:color w:val="auto"/>
              </w:rPr>
            </w:pPr>
          </w:p>
        </w:tc>
        <w:tc>
          <w:tcPr>
            <w:tcW w:w="3200" w:type="dxa"/>
            <w:vAlign w:val="bottom"/>
            <w:tcBorders>
              <w:right w:val="single" w:sz="8" w:color="DBDBDB"/>
            </w:tcBorders>
            <w:shd w:val="clear" w:color="auto" w:fill="DBDBDB"/>
          </w:tcPr>
          <w:p>
            <w:pPr>
              <w:ind w:left="180"/>
              <w:spacing w:after="0"/>
              <w:rPr>
                <w:sz w:val="20"/>
                <w:szCs w:val="20"/>
                <w:color w:val="auto"/>
              </w:rPr>
            </w:pPr>
            <w:r>
              <w:rPr>
                <w:rFonts w:ascii="Arial" w:cs="Arial" w:eastAsia="Arial" w:hAnsi="Arial"/>
                <w:sz w:val="16"/>
                <w:szCs w:val="16"/>
                <w:color w:val="auto"/>
              </w:rPr>
              <w:t>present in person or by proxy</w:t>
            </w:r>
          </w:p>
        </w:tc>
        <w:tc>
          <w:tcPr>
            <w:tcW w:w="1620" w:type="dxa"/>
            <w:vAlign w:val="bottom"/>
            <w:shd w:val="clear" w:color="auto" w:fill="DBDBDB"/>
          </w:tcPr>
          <w:p>
            <w:pPr>
              <w:spacing w:after="0"/>
              <w:rPr>
                <w:sz w:val="20"/>
                <w:szCs w:val="20"/>
                <w:color w:val="auto"/>
              </w:rPr>
            </w:pPr>
            <w:r>
              <w:rPr>
                <w:rFonts w:ascii="Arial" w:cs="Arial" w:eastAsia="Arial" w:hAnsi="Arial"/>
                <w:sz w:val="16"/>
                <w:szCs w:val="16"/>
                <w:color w:val="auto"/>
              </w:rPr>
              <w:t>AGAINST</w:t>
            </w:r>
          </w:p>
        </w:tc>
        <w:tc>
          <w:tcPr>
            <w:tcW w:w="228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voting discretion)</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Proposal No. 3)</w:t>
            </w:r>
          </w:p>
        </w:tc>
        <w:tc>
          <w:tcPr>
            <w:tcW w:w="1940" w:type="dxa"/>
            <w:vAlign w:val="bottom"/>
          </w:tcPr>
          <w:p>
            <w:pPr>
              <w:ind w:left="80"/>
              <w:spacing w:after="0" w:line="162" w:lineRule="exact"/>
              <w:rPr>
                <w:sz w:val="20"/>
                <w:szCs w:val="20"/>
                <w:color w:val="auto"/>
              </w:rPr>
            </w:pPr>
            <w:r>
              <w:rPr>
                <w:rFonts w:ascii="Arial" w:cs="Arial" w:eastAsia="Arial" w:hAnsi="Arial"/>
                <w:sz w:val="16"/>
                <w:szCs w:val="16"/>
                <w:color w:val="auto"/>
              </w:rPr>
              <w:t>FOR</w:t>
            </w:r>
          </w:p>
        </w:tc>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Majority of the voting power of the</w:t>
            </w:r>
          </w:p>
        </w:tc>
        <w:tc>
          <w:tcPr>
            <w:tcW w:w="1620" w:type="dxa"/>
            <w:vAlign w:val="bottom"/>
          </w:tcPr>
          <w:p>
            <w:pPr>
              <w:spacing w:after="0" w:line="162" w:lineRule="exact"/>
              <w:rPr>
                <w:sz w:val="20"/>
                <w:szCs w:val="20"/>
                <w:color w:val="auto"/>
              </w:rPr>
            </w:pPr>
            <w:r>
              <w:rPr>
                <w:rFonts w:ascii="Arial" w:cs="Arial" w:eastAsia="Arial" w:hAnsi="Arial"/>
                <w:sz w:val="16"/>
                <w:szCs w:val="16"/>
                <w:color w:val="auto"/>
              </w:rPr>
              <w:t>Same as a vote</w:t>
            </w:r>
          </w:p>
        </w:tc>
        <w:tc>
          <w:tcPr>
            <w:tcW w:w="22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Same as a vote AGAINST</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color w:val="auto"/>
              </w:rPr>
              <w:t>Reverse stock split</w:t>
            </w:r>
          </w:p>
        </w:tc>
        <w:tc>
          <w:tcPr>
            <w:tcW w:w="1940" w:type="dxa"/>
            <w:vAlign w:val="bottom"/>
          </w:tcPr>
          <w:p>
            <w:pPr>
              <w:spacing w:after="0"/>
              <w:rPr>
                <w:sz w:val="14"/>
                <w:szCs w:val="14"/>
                <w:color w:val="auto"/>
              </w:rPr>
            </w:pPr>
          </w:p>
        </w:tc>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outstanding shares of our Common</w:t>
            </w:r>
          </w:p>
        </w:tc>
        <w:tc>
          <w:tcPr>
            <w:tcW w:w="1620" w:type="dxa"/>
            <w:vAlign w:val="bottom"/>
          </w:tcPr>
          <w:p>
            <w:pPr>
              <w:spacing w:after="0" w:line="162" w:lineRule="exact"/>
              <w:rPr>
                <w:sz w:val="20"/>
                <w:szCs w:val="20"/>
                <w:color w:val="auto"/>
              </w:rPr>
            </w:pPr>
            <w:r>
              <w:rPr>
                <w:rFonts w:ascii="Arial" w:cs="Arial" w:eastAsia="Arial" w:hAnsi="Arial"/>
                <w:sz w:val="16"/>
                <w:szCs w:val="16"/>
                <w:color w:val="auto"/>
              </w:rPr>
              <w:t>AGAINST</w:t>
            </w: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Borders>
              <w:lef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6"/>
                <w:szCs w:val="16"/>
                <w:color w:val="auto"/>
              </w:rPr>
              <w:t>Stock</w:t>
            </w:r>
          </w:p>
        </w:tc>
        <w:tc>
          <w:tcPr>
            <w:tcW w:w="162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tcBorders>
            <w:shd w:val="clear" w:color="auto" w:fill="DBDBDB"/>
          </w:tcPr>
          <w:p>
            <w:pPr>
              <w:ind w:left="40"/>
              <w:spacing w:after="0" w:line="163" w:lineRule="exact"/>
              <w:rPr>
                <w:sz w:val="20"/>
                <w:szCs w:val="20"/>
                <w:color w:val="auto"/>
              </w:rPr>
            </w:pPr>
            <w:r>
              <w:rPr>
                <w:rFonts w:ascii="Arial" w:cs="Arial" w:eastAsia="Arial" w:hAnsi="Arial"/>
                <w:sz w:val="16"/>
                <w:szCs w:val="16"/>
                <w:i w:val="1"/>
                <w:iCs w:val="1"/>
                <w:color w:val="auto"/>
              </w:rPr>
              <w:t>(Proposal No. 4)</w:t>
            </w:r>
          </w:p>
        </w:tc>
        <w:tc>
          <w:tcPr>
            <w:tcW w:w="1940" w:type="dxa"/>
            <w:vAlign w:val="bottom"/>
            <w:shd w:val="clear" w:color="auto" w:fill="DBDBDB"/>
          </w:tcPr>
          <w:p>
            <w:pPr>
              <w:ind w:left="80"/>
              <w:spacing w:after="0" w:line="163" w:lineRule="exact"/>
              <w:rPr>
                <w:sz w:val="20"/>
                <w:szCs w:val="20"/>
                <w:color w:val="auto"/>
              </w:rPr>
            </w:pPr>
            <w:r>
              <w:rPr>
                <w:rFonts w:ascii="Arial" w:cs="Arial" w:eastAsia="Arial" w:hAnsi="Arial"/>
                <w:sz w:val="16"/>
                <w:szCs w:val="16"/>
                <w:color w:val="auto"/>
              </w:rPr>
              <w:t>FOR</w:t>
            </w:r>
          </w:p>
        </w:tc>
        <w:tc>
          <w:tcPr>
            <w:tcW w:w="3200" w:type="dxa"/>
            <w:vAlign w:val="bottom"/>
            <w:tcBorders>
              <w:right w:val="single" w:sz="8" w:color="DBDBDB"/>
            </w:tcBorders>
            <w:shd w:val="clear" w:color="auto" w:fill="DBDBDB"/>
          </w:tcPr>
          <w:p>
            <w:pPr>
              <w:ind w:left="180"/>
              <w:spacing w:after="0" w:line="163" w:lineRule="exact"/>
              <w:rPr>
                <w:sz w:val="20"/>
                <w:szCs w:val="20"/>
                <w:color w:val="auto"/>
              </w:rPr>
            </w:pPr>
            <w:r>
              <w:rPr>
                <w:rFonts w:ascii="Arial" w:cs="Arial" w:eastAsia="Arial" w:hAnsi="Arial"/>
                <w:sz w:val="16"/>
                <w:szCs w:val="16"/>
                <w:color w:val="auto"/>
              </w:rPr>
              <w:t>Majority of the voting power of the</w:t>
            </w:r>
          </w:p>
        </w:tc>
        <w:tc>
          <w:tcPr>
            <w:tcW w:w="1620" w:type="dxa"/>
            <w:vAlign w:val="bottom"/>
            <w:shd w:val="clear" w:color="auto" w:fill="DBDBDB"/>
          </w:tcPr>
          <w:p>
            <w:pPr>
              <w:spacing w:after="0" w:line="163" w:lineRule="exact"/>
              <w:rPr>
                <w:sz w:val="20"/>
                <w:szCs w:val="20"/>
                <w:color w:val="auto"/>
              </w:rPr>
            </w:pPr>
            <w:r>
              <w:rPr>
                <w:rFonts w:ascii="Arial" w:cs="Arial" w:eastAsia="Arial" w:hAnsi="Arial"/>
                <w:sz w:val="16"/>
                <w:szCs w:val="16"/>
                <w:color w:val="auto"/>
              </w:rPr>
              <w:t>Same as a vote</w:t>
            </w:r>
          </w:p>
        </w:tc>
        <w:tc>
          <w:tcPr>
            <w:tcW w:w="2280" w:type="dxa"/>
            <w:vAlign w:val="bottom"/>
            <w:tcBorders>
              <w:right w:val="single" w:sz="8" w:color="auto"/>
            </w:tcBorders>
            <w:shd w:val="clear" w:color="auto" w:fill="DBDBDB"/>
          </w:tcPr>
          <w:p>
            <w:pPr>
              <w:ind w:left="20"/>
              <w:spacing w:after="0" w:line="163" w:lineRule="exact"/>
              <w:rPr>
                <w:sz w:val="20"/>
                <w:szCs w:val="20"/>
                <w:color w:val="auto"/>
              </w:rPr>
            </w:pPr>
            <w:r>
              <w:rPr>
                <w:rFonts w:ascii="Arial" w:cs="Arial" w:eastAsia="Arial" w:hAnsi="Arial"/>
                <w:sz w:val="16"/>
                <w:szCs w:val="16"/>
                <w:color w:val="auto"/>
              </w:rPr>
              <w:t>Same as a vote AGAINST</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shd w:val="clear" w:color="auto" w:fill="DBDBDB"/>
          </w:tcPr>
          <w:p>
            <w:pPr>
              <w:ind w:left="40"/>
              <w:spacing w:after="0" w:line="162" w:lineRule="exact"/>
              <w:rPr>
                <w:sz w:val="20"/>
                <w:szCs w:val="20"/>
                <w:color w:val="auto"/>
              </w:rPr>
            </w:pPr>
            <w:r>
              <w:rPr>
                <w:rFonts w:ascii="Arial" w:cs="Arial" w:eastAsia="Arial" w:hAnsi="Arial"/>
                <w:sz w:val="16"/>
                <w:szCs w:val="16"/>
                <w:color w:val="auto"/>
              </w:rPr>
              <w:t>Officer exculpation</w:t>
            </w:r>
          </w:p>
        </w:tc>
        <w:tc>
          <w:tcPr>
            <w:tcW w:w="1940" w:type="dxa"/>
            <w:vAlign w:val="bottom"/>
            <w:shd w:val="clear" w:color="auto" w:fill="DBDBDB"/>
          </w:tcPr>
          <w:p>
            <w:pPr>
              <w:spacing w:after="0"/>
              <w:rPr>
                <w:sz w:val="14"/>
                <w:szCs w:val="14"/>
                <w:color w:val="auto"/>
              </w:rPr>
            </w:pPr>
          </w:p>
        </w:tc>
        <w:tc>
          <w:tcPr>
            <w:tcW w:w="3200" w:type="dxa"/>
            <w:vAlign w:val="bottom"/>
            <w:tcBorders>
              <w:right w:val="single" w:sz="8" w:color="DBDBDB"/>
            </w:tcBorders>
            <w:shd w:val="clear" w:color="auto" w:fill="DBDBDB"/>
          </w:tcPr>
          <w:p>
            <w:pPr>
              <w:ind w:left="180"/>
              <w:spacing w:after="0" w:line="162" w:lineRule="exact"/>
              <w:rPr>
                <w:sz w:val="20"/>
                <w:szCs w:val="20"/>
                <w:color w:val="auto"/>
              </w:rPr>
            </w:pPr>
            <w:r>
              <w:rPr>
                <w:rFonts w:ascii="Arial" w:cs="Arial" w:eastAsia="Arial" w:hAnsi="Arial"/>
                <w:sz w:val="16"/>
                <w:szCs w:val="16"/>
                <w:color w:val="auto"/>
              </w:rPr>
              <w:t>outstanding shares of our Common</w:t>
            </w:r>
          </w:p>
        </w:tc>
        <w:tc>
          <w:tcPr>
            <w:tcW w:w="1620" w:type="dxa"/>
            <w:vAlign w:val="bottom"/>
            <w:shd w:val="clear" w:color="auto" w:fill="DBDBDB"/>
          </w:tcPr>
          <w:p>
            <w:pPr>
              <w:spacing w:after="0" w:line="162" w:lineRule="exact"/>
              <w:rPr>
                <w:sz w:val="20"/>
                <w:szCs w:val="20"/>
                <w:color w:val="auto"/>
              </w:rPr>
            </w:pPr>
            <w:r>
              <w:rPr>
                <w:rFonts w:ascii="Arial" w:cs="Arial" w:eastAsia="Arial" w:hAnsi="Arial"/>
                <w:sz w:val="16"/>
                <w:szCs w:val="16"/>
                <w:color w:val="auto"/>
              </w:rPr>
              <w:t>AGAINST</w:t>
            </w:r>
          </w:p>
        </w:tc>
        <w:tc>
          <w:tcPr>
            <w:tcW w:w="228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amendment</w:t>
            </w:r>
          </w:p>
        </w:tc>
        <w:tc>
          <w:tcPr>
            <w:tcW w:w="1940" w:type="dxa"/>
            <w:vAlign w:val="bottom"/>
            <w:shd w:val="clear" w:color="auto" w:fill="DBDBDB"/>
          </w:tcPr>
          <w:p>
            <w:pPr>
              <w:spacing w:after="0"/>
              <w:rPr>
                <w:sz w:val="18"/>
                <w:szCs w:val="18"/>
                <w:color w:val="auto"/>
              </w:rPr>
            </w:pPr>
          </w:p>
        </w:tc>
        <w:tc>
          <w:tcPr>
            <w:tcW w:w="3200" w:type="dxa"/>
            <w:vAlign w:val="bottom"/>
            <w:tcBorders>
              <w:right w:val="single" w:sz="8" w:color="DBDBDB"/>
            </w:tcBorders>
            <w:shd w:val="clear" w:color="auto" w:fill="DBDBDB"/>
          </w:tcPr>
          <w:p>
            <w:pPr>
              <w:ind w:left="180"/>
              <w:spacing w:after="0"/>
              <w:rPr>
                <w:sz w:val="20"/>
                <w:szCs w:val="20"/>
                <w:color w:val="auto"/>
              </w:rPr>
            </w:pPr>
            <w:r>
              <w:rPr>
                <w:rFonts w:ascii="Arial" w:cs="Arial" w:eastAsia="Arial" w:hAnsi="Arial"/>
                <w:sz w:val="16"/>
                <w:szCs w:val="16"/>
                <w:color w:val="auto"/>
              </w:rPr>
              <w:t>Stock</w:t>
            </w:r>
          </w:p>
        </w:tc>
        <w:tc>
          <w:tcPr>
            <w:tcW w:w="1620" w:type="dxa"/>
            <w:vAlign w:val="bottom"/>
            <w:shd w:val="clear" w:color="auto" w:fill="DBDBDB"/>
          </w:tcPr>
          <w:p>
            <w:pPr>
              <w:spacing w:after="0"/>
              <w:rPr>
                <w:sz w:val="18"/>
                <w:szCs w:val="18"/>
                <w:color w:val="auto"/>
              </w:rPr>
            </w:pPr>
          </w:p>
        </w:tc>
        <w:tc>
          <w:tcPr>
            <w:tcW w:w="2280" w:type="dxa"/>
            <w:vAlign w:val="bottom"/>
            <w:tcBorders>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i w:val="1"/>
                <w:iCs w:val="1"/>
                <w:color w:val="auto"/>
              </w:rPr>
              <w:t xml:space="preserve">(Proposal No. 5) </w:t>
            </w:r>
            <w:r>
              <w:rPr>
                <w:rFonts w:ascii="Arial" w:cs="Arial" w:eastAsia="Arial" w:hAnsi="Arial"/>
                <w:sz w:val="16"/>
                <w:szCs w:val="16"/>
                <w:color w:val="auto"/>
              </w:rPr>
              <w:t>Non-binding</w:t>
            </w:r>
          </w:p>
        </w:tc>
        <w:tc>
          <w:tcPr>
            <w:tcW w:w="1940" w:type="dxa"/>
            <w:vAlign w:val="bottom"/>
          </w:tcPr>
          <w:p>
            <w:pPr>
              <w:ind w:left="80"/>
              <w:spacing w:after="0" w:line="162" w:lineRule="exact"/>
              <w:rPr>
                <w:sz w:val="20"/>
                <w:szCs w:val="20"/>
                <w:color w:val="auto"/>
              </w:rPr>
            </w:pPr>
            <w:r>
              <w:rPr>
                <w:rFonts w:ascii="Arial" w:cs="Arial" w:eastAsia="Arial" w:hAnsi="Arial"/>
                <w:sz w:val="16"/>
                <w:szCs w:val="16"/>
                <w:color w:val="auto"/>
              </w:rPr>
              <w:t>FOR</w:t>
            </w:r>
          </w:p>
        </w:tc>
        <w:tc>
          <w:tcPr>
            <w:tcW w:w="482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Majority of the voting power of the shares Same as a vote</w:t>
            </w:r>
          </w:p>
        </w:tc>
        <w:tc>
          <w:tcPr>
            <w:tcW w:w="22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Not counted as entitled to vote</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color w:val="auto"/>
              </w:rPr>
              <w:t>advisory vote on the</w:t>
            </w:r>
          </w:p>
        </w:tc>
        <w:tc>
          <w:tcPr>
            <w:tcW w:w="1940" w:type="dxa"/>
            <w:vAlign w:val="bottom"/>
          </w:tcPr>
          <w:p>
            <w:pPr>
              <w:spacing w:after="0"/>
              <w:rPr>
                <w:sz w:val="14"/>
                <w:szCs w:val="14"/>
                <w:color w:val="auto"/>
              </w:rPr>
            </w:pPr>
          </w:p>
        </w:tc>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present in person or by proxy</w:t>
            </w:r>
          </w:p>
        </w:tc>
        <w:tc>
          <w:tcPr>
            <w:tcW w:w="1620" w:type="dxa"/>
            <w:vAlign w:val="bottom"/>
          </w:tcPr>
          <w:p>
            <w:pPr>
              <w:spacing w:after="0" w:line="162" w:lineRule="exact"/>
              <w:rPr>
                <w:sz w:val="20"/>
                <w:szCs w:val="20"/>
                <w:color w:val="auto"/>
              </w:rPr>
            </w:pPr>
            <w:r>
              <w:rPr>
                <w:rFonts w:ascii="Arial" w:cs="Arial" w:eastAsia="Arial" w:hAnsi="Arial"/>
                <w:sz w:val="16"/>
                <w:szCs w:val="16"/>
                <w:color w:val="auto"/>
              </w:rPr>
              <w:t>AGAINST</w:t>
            </w:r>
          </w:p>
        </w:tc>
        <w:tc>
          <w:tcPr>
            <w:tcW w:w="22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and therefore no effect</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6"/>
                <w:szCs w:val="16"/>
                <w:color w:val="auto"/>
              </w:rPr>
              <w:t>compensation of our named</w:t>
            </w:r>
          </w:p>
        </w:tc>
        <w:tc>
          <w:tcPr>
            <w:tcW w:w="1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executive officers</w:t>
            </w:r>
          </w:p>
        </w:tc>
        <w:tc>
          <w:tcPr>
            <w:tcW w:w="19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Because Proposal No. 5 is an advisory vote, the results will not be binding on our Board, our Compensation Committee, or the Company. However, our Board and our Compensation Committee will consider the outcome of the vote on executive compensation when determining NEO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1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Holders of either our Class A common stock or Class B common stock as of the close of business on April 15, 2026, the record date for the Annual Meeting (the “Record Date”), are entitled to vote at the Annual Meeting. As of the Record Date, there were _______________ shares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Class A common stock and ______________ shares of Class B common stock outstanding and entitled to vote.</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w:t>
      </w:r>
    </w:p>
    <w:p>
      <w:pPr>
        <w:spacing w:after="0" w:line="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i w:val="1"/>
          <w:iCs w:val="1"/>
          <w:color w:val="auto"/>
        </w:rPr>
        <w:t>Beneficial Owner: Shares Held on Your Behalf by a Brokerage Firm, Bank, or Other Nominee</w:t>
      </w:r>
      <w:r>
        <w:rPr>
          <w:rFonts w:ascii="Arial" w:cs="Arial" w:eastAsia="Arial" w:hAnsi="Arial"/>
          <w:sz w:val="18"/>
          <w:szCs w:val="18"/>
          <w:color w:val="auto"/>
        </w:rPr>
        <w:t>. 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not held in your name, but on your behalf by a brokerage firm, bank, or other nominee, then you are the beneficial owner of shares held in “street name” and the Notice is being forwarded to you by that nominee. Those shares will be reported as being held by the brokerage, bank, or other nominee in the system of record used for identifying stockholders. As a beneficial owner of the shares, you are invited to attend the Annual Meeting, and you have the right to direct your brokerage firm, bank, or other nominee regarding how to vote the shares in your account. You may access the meeting and vote by logging in with your control number at www.virtualshareholdermeeting.com/MQ2026.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per share do I have?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Class A common stock has one vote per share and our Class B common stock has ten votes per share. Our Class A and Class B common stock will vote together as a single class on all matters to be voted upon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list of stockholders of record as of the Record Date be available?</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 list of our stockholders of record as of the close of business on the Record Date will be made available to stockholders online during the Annual Meeting for those who attend. In addition, for the ten days prior to the Annual Meeting, the stockholder list will be available upon request via</w:t>
      </w:r>
    </w:p>
    <w:p>
      <w:pPr>
        <w:spacing w:after="0" w:line="200" w:lineRule="exact"/>
        <w:rPr>
          <w:sz w:val="20"/>
          <w:szCs w:val="20"/>
          <w:color w:val="auto"/>
        </w:rPr>
      </w:pPr>
    </w:p>
    <w:p>
      <w:pPr>
        <w:spacing w:after="0" w:line="34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IR@marqeta.com for examination by any stockholder for any purpose relating to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voting options depend on how you hold your shares.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may vote (i) online during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Even if you have submitted a proxy before the meeting, you may still attend online and vote during the meeting. In such case, your previously submitted proxy will be disregarded. For more information, see the question below titled “How can I change my vote?”</w:t>
      </w:r>
    </w:p>
    <w:p>
      <w:pPr>
        <w:spacing w:after="0" w:line="17" w:lineRule="exact"/>
        <w:rPr>
          <w:sz w:val="20"/>
          <w:szCs w:val="20"/>
          <w:color w:val="auto"/>
        </w:rPr>
      </w:pPr>
    </w:p>
    <w:p>
      <w:pPr>
        <w:ind w:left="500" w:right="20" w:hanging="168"/>
        <w:spacing w:after="0" w:line="281" w:lineRule="auto"/>
        <w:tabs>
          <w:tab w:leader="none" w:pos="50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To vote by internet in advance of the Annual Meeting</w:t>
      </w:r>
      <w:r>
        <w:rPr>
          <w:rFonts w:ascii="Arial" w:cs="Arial" w:eastAsia="Arial" w:hAnsi="Arial"/>
          <w:sz w:val="18"/>
          <w:szCs w:val="18"/>
          <w:color w:val="auto"/>
        </w:rPr>
        <w:t>, go to www.proxyvote.com and complete an electronic proxy card. Votes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must be received by 11:59 p.m., Eastern Time, on June 9, 2026 to be counted.</w:t>
      </w:r>
    </w:p>
    <w:p>
      <w:pPr>
        <w:spacing w:after="0" w:line="1" w:lineRule="exact"/>
        <w:rPr>
          <w:rFonts w:ascii="Arial" w:cs="Arial" w:eastAsia="Arial" w:hAnsi="Arial"/>
          <w:sz w:val="18"/>
          <w:szCs w:val="18"/>
          <w:color w:val="auto"/>
        </w:rPr>
      </w:pPr>
    </w:p>
    <w:p>
      <w:pPr>
        <w:ind w:left="500" w:hanging="168"/>
        <w:spacing w:after="0" w:line="281" w:lineRule="auto"/>
        <w:tabs>
          <w:tab w:leader="none" w:pos="50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To vote by mail in advance of the Annual Meeting</w:t>
      </w:r>
      <w:r>
        <w:rPr>
          <w:rFonts w:ascii="Arial" w:cs="Arial" w:eastAsia="Arial" w:hAnsi="Arial"/>
          <w:sz w:val="18"/>
          <w:szCs w:val="18"/>
          <w:color w:val="auto"/>
        </w:rPr>
        <w:t>, complete, sign, and date a printed proxy card and return it promptly. If you return</w:t>
      </w:r>
      <w:r>
        <w:rPr>
          <w:rFonts w:ascii="Arial" w:cs="Arial" w:eastAsia="Arial" w:hAnsi="Arial"/>
          <w:sz w:val="18"/>
          <w:szCs w:val="18"/>
          <w:i w:val="1"/>
          <w:iCs w:val="1"/>
          <w:color w:val="auto"/>
        </w:rPr>
        <w:t xml:space="preserve"> </w:t>
      </w:r>
      <w:r>
        <w:rPr>
          <w:rFonts w:ascii="Arial" w:cs="Arial" w:eastAsia="Arial" w:hAnsi="Arial"/>
          <w:sz w:val="18"/>
          <w:szCs w:val="18"/>
          <w:color w:val="auto"/>
        </w:rPr>
        <w:t>your signed proxy card to us before the Annual Meeting, we will vote your shares as directed.</w:t>
      </w:r>
    </w:p>
    <w:p>
      <w:pPr>
        <w:spacing w:after="0" w:line="1" w:lineRule="exact"/>
        <w:rPr>
          <w:rFonts w:ascii="Arial" w:cs="Arial" w:eastAsia="Arial" w:hAnsi="Arial"/>
          <w:sz w:val="18"/>
          <w:szCs w:val="18"/>
          <w:color w:val="auto"/>
        </w:rPr>
      </w:pPr>
    </w:p>
    <w:p>
      <w:pPr>
        <w:jc w:val="both"/>
        <w:ind w:left="500" w:hanging="168"/>
        <w:spacing w:after="0" w:line="268" w:lineRule="auto"/>
        <w:tabs>
          <w:tab w:leader="none" w:pos="50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To vote by telephone in advance of the Annual Meeting</w:t>
      </w:r>
      <w:r>
        <w:rPr>
          <w:rFonts w:ascii="Arial" w:cs="Arial" w:eastAsia="Arial" w:hAnsi="Arial"/>
          <w:sz w:val="18"/>
          <w:szCs w:val="18"/>
          <w:color w:val="auto"/>
        </w:rPr>
        <w:t>, call 1-800-690-6903 and follow the recorded instructions, including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 number from the Notice, proxy card, or instructions that accompanied your Annual Meeting materials. Votes by telephone must be received by 11:59 p.m., Eastern Time, on June 9, 2026 to be counted.</w:t>
      </w:r>
    </w:p>
    <w:p>
      <w:pPr>
        <w:spacing w:after="0" w:line="8" w:lineRule="exact"/>
        <w:rPr>
          <w:rFonts w:ascii="Arial" w:cs="Arial" w:eastAsia="Arial" w:hAnsi="Arial"/>
          <w:sz w:val="18"/>
          <w:szCs w:val="18"/>
          <w:color w:val="auto"/>
        </w:rPr>
      </w:pPr>
    </w:p>
    <w:p>
      <w:pPr>
        <w:jc w:val="both"/>
        <w:ind w:left="500" w:hanging="168"/>
        <w:spacing w:after="0" w:line="262" w:lineRule="auto"/>
        <w:tabs>
          <w:tab w:leader="none" w:pos="50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To vote online during the Annual Meeting</w:t>
      </w:r>
      <w:r>
        <w:rPr>
          <w:rFonts w:ascii="Arial" w:cs="Arial" w:eastAsia="Arial" w:hAnsi="Arial"/>
          <w:sz w:val="18"/>
          <w:szCs w:val="18"/>
          <w:color w:val="auto"/>
        </w:rPr>
        <w:t>, follow the provided instructions to join the Annual Meeting at</w:t>
      </w:r>
      <w:r>
        <w:rPr>
          <w:rFonts w:ascii="Arial" w:cs="Arial" w:eastAsia="Arial" w:hAnsi="Arial"/>
          <w:sz w:val="18"/>
          <w:szCs w:val="18"/>
          <w:i w:val="1"/>
          <w:iCs w:val="1"/>
          <w:color w:val="auto"/>
        </w:rPr>
        <w:t xml:space="preserve"> </w:t>
      </w:r>
      <w:r>
        <w:rPr>
          <w:rFonts w:ascii="Arial" w:cs="Arial" w:eastAsia="Arial" w:hAnsi="Arial"/>
          <w:sz w:val="18"/>
          <w:szCs w:val="18"/>
          <w:color w:val="auto"/>
        </w:rPr>
        <w:t>www.virtualshareholdermeeting.com/MQ2026, starting at 11:30 a.m., Eastern Time, on June 10, 2026. You will need to enter the control number located on the Notice, on your proxy card, or in the instructions that accompanied your Annual Meeting materials. The webcast will open 15 minutes before the start of the Annual Meeting.</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Beneficial Owner: Shares Held on Your Behalf by a Brokerage Firm, Bank, or Other Nominee</w:t>
      </w:r>
      <w:r>
        <w:rPr>
          <w:rFonts w:ascii="Arial" w:cs="Arial" w:eastAsia="Arial" w:hAnsi="Arial"/>
          <w:sz w:val="18"/>
          <w:szCs w:val="18"/>
          <w:color w:val="auto"/>
        </w:rPr>
        <w:t>. If you are a beneficial owner of shares held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behalf by a brokerage firm, bank, or other nominee, you should have received a Notice containing voting instructions from that nominee rather than from us. To vote online during the Annual Meeting, you must follow the instructions from such nominee. You may access the meeting and vote by logging in with your control number at www.virtualshareholdermeeting.com/MQ2026.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you are a stockholder of record, you can change your vote or revoke your proxy at any time before the final vote at the Annual Meeting in any one of the following ways:</w:t>
      </w:r>
    </w:p>
    <w:p>
      <w:pPr>
        <w:spacing w:after="0" w:line="45" w:lineRule="exact"/>
        <w:rPr>
          <w:sz w:val="20"/>
          <w:szCs w:val="20"/>
          <w:color w:val="auto"/>
        </w:rPr>
      </w:pPr>
    </w:p>
    <w:p>
      <w:pPr>
        <w:ind w:left="500" w:hanging="168"/>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Submit another properly completed proxy card with a later date.</w:t>
      </w:r>
    </w:p>
    <w:p>
      <w:pPr>
        <w:spacing w:after="0" w:line="63" w:lineRule="exact"/>
        <w:rPr>
          <w:rFonts w:ascii="Arial" w:cs="Arial" w:eastAsia="Arial" w:hAnsi="Arial"/>
          <w:sz w:val="18"/>
          <w:szCs w:val="18"/>
          <w:color w:val="auto"/>
        </w:rPr>
      </w:pPr>
    </w:p>
    <w:p>
      <w:pPr>
        <w:ind w:left="500" w:hanging="168"/>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 a subsequent proxy by telephone or through the internet.</w:t>
      </w:r>
    </w:p>
    <w:p>
      <w:pPr>
        <w:spacing w:after="0" w:line="63" w:lineRule="exact"/>
        <w:rPr>
          <w:rFonts w:ascii="Arial" w:cs="Arial" w:eastAsia="Arial" w:hAnsi="Arial"/>
          <w:sz w:val="18"/>
          <w:szCs w:val="18"/>
          <w:color w:val="auto"/>
        </w:rPr>
      </w:pPr>
    </w:p>
    <w:p>
      <w:pPr>
        <w:ind w:left="500" w:hanging="168"/>
        <w:spacing w:after="0" w:line="281"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Send a timely written notice that you are revoking your proxy to the Corporate Secretary at Marqeta’s address provided on page </w:t>
      </w:r>
      <w:r>
        <w:rPr>
          <w:rFonts w:ascii="Arial" w:cs="Arial" w:eastAsia="Arial" w:hAnsi="Arial"/>
          <w:sz w:val="18"/>
          <w:szCs w:val="18"/>
          <w:u w:val="single" w:color="auto"/>
          <w:color w:val="0000FF"/>
        </w:rPr>
        <w:t>80</w:t>
      </w:r>
      <w:r>
        <w:rPr>
          <w:rFonts w:ascii="Arial" w:cs="Arial" w:eastAsia="Arial" w:hAnsi="Arial"/>
          <w:sz w:val="18"/>
          <w:szCs w:val="18"/>
          <w:color w:val="auto"/>
        </w:rPr>
        <w:t xml:space="preserve"> of this Proxy Statement.</w:t>
      </w:r>
    </w:p>
    <w:p>
      <w:pPr>
        <w:spacing w:after="0" w:line="1" w:lineRule="exact"/>
        <w:rPr>
          <w:rFonts w:ascii="Arial" w:cs="Arial" w:eastAsia="Arial" w:hAnsi="Arial"/>
          <w:sz w:val="18"/>
          <w:szCs w:val="18"/>
          <w:color w:val="auto"/>
        </w:rPr>
      </w:pPr>
    </w:p>
    <w:p>
      <w:pPr>
        <w:jc w:val="both"/>
        <w:ind w:left="500" w:hanging="168"/>
        <w:spacing w:after="0" w:line="262"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Attend the Annual Meeting and vote online during the meeting. Attending the Annual Meeting will not, by itself, change your vote or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you are a beneficial owner and your shares are held in “street name” on your behalf by a brokerage firm, bank, or other nominee, you should follow the instructions provided by that nominee.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Votes will be counted by the inspector of elections appointed for the Annual Meeting by our Board.</w:t>
      </w:r>
    </w:p>
    <w:p>
      <w:pPr>
        <w:spacing w:after="0" w:line="379"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What if I am a stockholder of record and I do not vote or I do not submit voting instructions?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complete and submit your proxy, the persons named as proxies will vote your shares in accordance with your instructions. If you submit a proxy but do not complete the voting instructions, the persons named as proxies will vote your shares in accordance with the recommendations of the Board above in the question “What vote is necessary to approve each proposal and what are the recommendations of the Board?” If you do not submit a proxy or vote at the Annual Meeting, your shares will not be voted.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am a beneficial owner of shares held in “street name” and I do not submit voting instructions?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instruct your brokerage firm, bank, or other nominee on how to vote your shares by following the instructions they provided with the Annual Meeting materials. If you do not do so, the nominee has discretion to vote your shares only with respect to Proposal No. 2, which is considered a “routine” matter. Proposals No. 1, 3, 4, and 5 are not considered “routine,” and the nominee that holds your shares will not have discretionary authority to vote your shares for Proposal No. 1, 3, 4, and 5. This is called a “broker non-vote.” Therefore, you are encouraged to return your voting instructions so that your shares are voted at the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other business comes before the Annual Meeting?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does not intend to bring any other matters to be voted on at the Annual Meeting, and currently knows of no other matters that will be presented for consideration at the Annual Meeting. However, if any other business should properly come before the Annual Meeting, the persons named as proxies will vote your shares on such matters in accordance with their best judgment. Each nominee for director has consented to be a candidate and to serve if elected. Although the Board has no reason to believe that any nominee will be unavailable to serve as a director, if such an event should occur, the Board may designate a substitute nominee or reduce the size of the Board. If the Board designates a substitute nominee, proxies will be voted for such substitute nominee(s).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ask questions during the Annual Meeting?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be hosting the Annual Meeting online via live audio webcast only. You can attend the Annual Meeting live online at www.virtualshareholdermeeting.com/MQ2026 by logging in with your control number. The meeting will start at 11:30 a.m., Eastern Time, on Wednesday, June 10, 2026. We recommend that you log in a few minutes before 11:30 a.m., Eastern Time, to ensure you are logged in when the Annual Meeting starts. The webcast will open 15 minutes before the start of the Annual Meeting. Stockholders attending the Annual Meeting will be afforded the same rights and opportunities to participate as they would at an in-person meeting.</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order to enter the Annual Meeting, you will need your control number, which is included in the Notice or on your proxy card if you are a stockholder of record. If you are the beneficial owner of your shares, your control number is included with your voting instruction card and voting instructions received from your brokerage firm, bank, or other nominee. Instructions on how to attend and participate are available at www.virtualshareholdermeeting.com/MQ2026.</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would like to submit a question during the Annual Meeting, you may log in at www.virtualshareholdermeeting.com/MQ2026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the start of the meeting. We will answer as many questions submitted in accordance with the Rules of Conduct as possible in the time allotted for the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help if I have trouble checking in or listening to the meeting online?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you encounter any difficulties accessing the Annual Meeting during the check-in or meeting time, please call the technical support number that will be posted at www.virtualshareholdermeeting.com/MQ2026.</w:t>
      </w:r>
    </w:p>
    <w:p>
      <w:pPr>
        <w:spacing w:after="0" w:line="200" w:lineRule="exact"/>
        <w:rPr>
          <w:sz w:val="20"/>
          <w:szCs w:val="20"/>
          <w:color w:val="auto"/>
        </w:rPr>
      </w:pPr>
    </w:p>
    <w:p>
      <w:pPr>
        <w:spacing w:after="0" w:line="3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Proxies are solicited by and on behalf of our Board. The persons named in the proxy have been designated as proxy holders by our Board.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 in the question “How can I change my vote?”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of the proxy solicitation?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pay for the costs of soliciting proxies, including the preparation, assembly, printing, and mailing of the Annual Meeting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Annual Meeting materials to the street-name holders of our common stock. If you choose to access the Annual Meeting materials and/or vote over the internet, you are responsible for any internet access charges you may incur.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quorum is the minimum number of shares or voting power required to be present at the Annual Meeting for the meeting to be properly held under our bylaws and Delaware law. The presence (including by proxy) of a majority of the voting power of the shares of capital stock issued and outstanding and entitled to vote at the Annual Meeting will constitute a quorum at the Annual Meeting. Your shares will be counted as present only if you submit a valid proxy (or one is submitted on your behalf by your brokerage firm, bank, or other nominee) or if you vote online during the Annual Meeting. Abstentions and broker non-votes will be counted towards the quorum requirement.</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there is no quorum, the chair of the Annual Meeting or holders of a majority of the voting power of the shares present at the Annual Meeting may adjourn the meeting to a later date.</w:t>
      </w:r>
    </w:p>
    <w:p>
      <w:pPr>
        <w:spacing w:after="0" w:line="4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an SEC-approved procedure called “householding.” Under this procedure, we will deliver only one copy of our Notice, and for those stockholders that received a paper copy of Annual Meeting materials in the mail, one copy of our 2025 Annual Report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the Annual Meeting materials in the mail. This procedure reduces our printing and mailing costs. Upon written or oral request, we will promptly deliver a separate copy of the Annual Meeting materials and 2025 Annual Report to any stockholder at a shared address to which we delivered a single copy of any of these documents. To receive a separate copy, or, if you are receiving multiple copies, to request that we only send a single copy of next year’s annual meeting materials and annual report, you may contact us as follows: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 Grand Avenue, 6th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Oakland, California 94612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(877) 962-7738</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you are the beneficial owner of your shares, you may contact your brokerage firm, bank, or other nominee to request information about householding.</w:t>
      </w:r>
    </w:p>
    <w:p>
      <w:pPr>
        <w:spacing w:after="0" w:line="307"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How can I sign up to receive future annual meeting materials by e-mail?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encourage stockholders to take advantage of electronic delivery to help reduce the cost and environmental impact of our annual meetings. To sign up for electronic delivery, please follow the instructions above for voting online and, when prompted, indicate that you agree to receive or access annual meeting materials electronically in future years. Also, if you are a beneficial owner, you may sign up for electronic delivery by contacting your brokerage firm, bank, or other nominee through which you hold your shares. Once you sign up, you will not receive a printed copy of the annual meeting materials unless you request them.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announce the preliminary voting results at the Annual Meeting. Final voting results will be tallied by the inspector of elections and will be published in a Current Report on Form 8-K that we expect to file within four business days after the Annual Meeting.</w:t>
      </w:r>
    </w:p>
    <w:p>
      <w:pPr>
        <w:spacing w:after="0" w:line="200" w:lineRule="exact"/>
        <w:rPr>
          <w:sz w:val="20"/>
          <w:szCs w:val="20"/>
          <w:color w:val="auto"/>
        </w:rPr>
      </w:pPr>
    </w:p>
    <w:p>
      <w:pPr>
        <w:spacing w:after="0" w:line="3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5"/>
          <w:szCs w:val="25"/>
          <w:b w:val="1"/>
          <w:bCs w:val="1"/>
          <w:color w:val="auto"/>
        </w:rPr>
        <w:t>PROPOSALS OF STOCKHOLDERS FOR 2027 ANNUAL MEETING</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2027 Annual Meeting of Stockholders (the “2027 Annual Meeting”), our Corporate Secretary must receive the written proposal at our principal executive offices not later than December 22, 2026. In addition, stockholder proposals must comply with the requirements of Rule 14a-8 under the Exchange Act regarding the inclusion of stockholder proposals in company-sponsored annual meeting materials. Stockholder proposals should be addressed to:</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 Grand Avenue, 6th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Oakland, CA 94612</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annual meeting materials with respect to such meeting, (ii) otherwise properly brought before the annual meeting by or at the direction of our Board, or (iii) properly brought before the annual meeting by a stockholder of record entitled to vote at the annual meeting who has delivered timely written notice to our Corporate Secretary, which notice must contain the information specified in our bylaws. In addition, the notice must contain the information required by, and otherwise comply with, Rule 14a-19(b) of the Exchange Act, if applicable. To be timely for our 2026 Annual Meeting, our Corporate Secretary must receive the written notice at our principal executive offices:</w:t>
      </w:r>
    </w:p>
    <w:p>
      <w:pPr>
        <w:spacing w:after="0" w:line="77"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 earlier than the close of business on December 22, 2026;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 later than the close of business on January 21, 2027.</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that we hold our 2027 Annual Meeting more than 30 days before or 60 days after the anniversary of the date of the 2026 Annual Meeting, then notice of a stockholder proposal that is not intended to be included in our proxy statement must be received no earlier than the close of business on the 120th day before the anniversary of the 2026 Annual Meeting and no later than the close of business on the later of the following two dates:</w:t>
      </w:r>
    </w:p>
    <w:p>
      <w:pPr>
        <w:spacing w:after="0" w:line="68"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90th day prior to the 2027 Annual Meeting;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the 2027 Annual Meeting is first made.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satisfying the deadlines in the advance notice provisions of our bylaws, to comply with the universal proxy rules, a stockholder who intends to solicit proxies in support of nominees submitted under these advance notice provisions must provide the proper written notice that sets forth all information required by Rule 14a-19 under the Exchange Act to our Secretary.</w:t>
      </w:r>
    </w:p>
    <w:p>
      <w:pPr>
        <w:spacing w:after="0" w:line="63"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knows of no other matters that will be presented for consideration during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important that your shares of our common stock be represented during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Oakland,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21, 2026</w:t>
      </w:r>
    </w:p>
    <w:p>
      <w:pPr>
        <w:spacing w:after="0" w:line="374"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5"/>
          <w:szCs w:val="25"/>
          <w:b w:val="1"/>
          <w:bCs w:val="1"/>
          <w:color w:val="auto"/>
        </w:rPr>
        <w:t>ANNEX I - KEY OPERATING METRIC AND NON-GAAP FINANCIAL MEASURES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382,513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291,105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222,264</w:t>
            </w:r>
          </w:p>
        </w:tc>
      </w:tr>
      <w:tr>
        <w:trPr>
          <w:trHeight w:val="270"/>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624,884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506,995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676,171</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Gross profit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437,272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351,849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329,514</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(loss) income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(13,925)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(222,962)</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Total operating expenses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483,702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376,315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612,529</w:t>
            </w:r>
          </w:p>
        </w:tc>
      </w:tr>
      <w:tr>
        <w:trPr>
          <w:trHeight w:val="270"/>
        </w:trPr>
        <w:tc>
          <w:tcPr>
            <w:tcW w:w="6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109,578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(2,290)</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327,694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322,756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331,804</w:t>
            </w: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(loss) income adjusted to exclude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(benefit);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income to Adjusted EBITDA.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 This measure is used by management and our Board of Directors to evaluate our operating efficiency. See the section below titled “Use of Non-GAAP Financial Measures” for a discussion of the use of non-GAAP measures and a reconciliation of Net (loss) income to Adjusted EBITDA Margin.</w:t>
      </w:r>
    </w:p>
    <w:p>
      <w:pPr>
        <w:sectPr>
          <w:pgSz w:w="11900" w:h="16838" w:orient="portrait"/>
          <w:cols w:equalWidth="0" w:num="1">
            <w:col w:w="11240"/>
          </w:cols>
          <w:pgMar w:left="320" w:top="925" w:right="339" w:bottom="1440" w:gutter="0" w:footer="0" w:header="0"/>
        </w:sectPr>
      </w:pP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Adjusted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to exclude performance award; payroll tax expense; and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firstLine="90"/>
        <w:spacing w:after="0" w:line="268" w:lineRule="auto"/>
        <w:rPr>
          <w:sz w:val="20"/>
          <w:szCs w:val="20"/>
          <w:color w:val="auto"/>
        </w:rPr>
      </w:pPr>
      <w:r>
        <w:rPr>
          <w:rFonts w:ascii="Arial" w:cs="Arial" w:eastAsia="Arial" w:hAnsi="Arial"/>
          <w:sz w:val="18"/>
          <w:szCs w:val="18"/>
          <w:color w:val="auto"/>
        </w:rPr>
        <w:t>Adjusted operating expenses is a non-GAAP financial measure that is calculated as Total operating depreciation and amortization; share-based compensation expense; executive chairman long-term related to share-based compensation; restructuring and other one-time costs; non-recurring litigation</w:t>
      </w:r>
    </w:p>
    <w:p>
      <w:pPr>
        <w:spacing w:after="0" w:line="410" w:lineRule="exact"/>
        <w:rPr>
          <w:sz w:val="20"/>
          <w:szCs w:val="20"/>
          <w:color w:val="auto"/>
        </w:rPr>
      </w:pPr>
    </w:p>
    <w:p>
      <w:pPr>
        <w:sectPr>
          <w:pgSz w:w="11900" w:h="16838" w:orient="portrait"/>
          <w:cols w:equalWidth="0" w:num="2">
            <w:col w:w="2740" w:space="0"/>
            <w:col w:w="8500"/>
          </w:cols>
          <w:pgMar w:left="320" w:top="925" w:right="339" w:bottom="1440" w:gutter="0" w:footer="0" w:header="0"/>
          <w:type w:val="continuous"/>
        </w:sectPr>
      </w:pPr>
    </w:p>
    <w:p>
      <w:pPr>
        <w:spacing w:after="0" w:line="3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87" w:name="page88"/>
    <w:bookmarkEnd w:id="87"/>
    <w:p>
      <w:pPr>
        <w:jc w:val="both"/>
        <w:spacing w:after="0" w:line="257" w:lineRule="auto"/>
        <w:rPr>
          <w:sz w:val="20"/>
          <w:szCs w:val="20"/>
          <w:color w:val="auto"/>
        </w:rPr>
      </w:pPr>
      <w:r>
        <w:rPr>
          <w:rFonts w:ascii="Arial" w:cs="Arial" w:eastAsia="Arial" w:hAnsi="Arial"/>
          <w:sz w:val="18"/>
          <w:szCs w:val="18"/>
          <w:color w:val="auto"/>
        </w:rPr>
        <w:t>acquisition-related expenses which consists of due diligence costs, transaction cost and integration costs related to potential or successful acquisitions, and cash and non-cash postcombination compensation expenses. We believe that adjusted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operation expenses to adjusted operating expenses.</w:t>
      </w:r>
    </w:p>
    <w:p>
      <w:pPr>
        <w:spacing w:after="0" w:line="336"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Use of Non-GAAP Financial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operating expenses differently than how we calculate these measures or not at all; limiting their usefulness as comparative measures;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may require future replacement, and adjusted EBITDA does not reflect cash capital expenditure requirements for such replacements or for new capital expenditures;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spacing w:after="0" w:line="287" w:lineRule="auto"/>
        <w:rPr>
          <w:sz w:val="20"/>
          <w:szCs w:val="20"/>
          <w:color w:val="auto"/>
        </w:rPr>
      </w:pPr>
      <w:r>
        <w:rPr>
          <w:rFonts w:ascii="Arial" w:cs="Arial" w:eastAsia="Arial" w:hAnsi="Arial"/>
          <w:sz w:val="18"/>
          <w:szCs w:val="18"/>
          <w:color w:val="auto"/>
        </w:rPr>
        <w:t>A reconciliation of Net (loss) income to adjusted EBITDA and GAAP operating expenses to Adjusted operating expenses for the periods presented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624,884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506,995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676,171</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(13,925)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(222,962)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483,702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376,315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612,529</w:t>
            </w: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(13,925)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(222,962)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136,562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130,416</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75,473</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Non-recurring litigation expense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(144,617)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53,214</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(52,546)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(52,440)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109,578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29,093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483,702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376,315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612,529</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(104,788)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(136,562)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(130,416)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(41,584)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(75,473)</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Restructuring and other one-time costs</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Non-recurring litigation expenses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144,617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(53,214)</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327,694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322,756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331,804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73" w:lineRule="exact"/>
        <w:rPr>
          <w:sz w:val="20"/>
          <w:szCs w:val="20"/>
          <w:color w:val="auto"/>
        </w:rPr>
      </w:pPr>
    </w:p>
    <w:p>
      <w:pPr>
        <w:ind w:firstLine="8"/>
        <w:spacing w:after="0" w:line="285" w:lineRule="auto"/>
        <w:tabs>
          <w:tab w:leader="none" w:pos="22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Restructuring includes a net reduction of $2.9 million of stock-based compensation related to the forfeiture of certain equity awards during the year ended December 31, 2023. See Note 13, “Restructuring” for additional information.</w:t>
      </w:r>
    </w:p>
    <w:p>
      <w:pPr>
        <w:spacing w:after="0" w:line="9" w:lineRule="exact"/>
        <w:rPr>
          <w:rFonts w:ascii="Arial" w:cs="Arial" w:eastAsia="Arial" w:hAnsi="Arial"/>
          <w:sz w:val="14"/>
          <w:szCs w:val="14"/>
          <w:color w:val="auto"/>
        </w:rPr>
      </w:pPr>
    </w:p>
    <w:p>
      <w:pPr>
        <w:jc w:val="both"/>
        <w:ind w:firstLine="8"/>
        <w:spacing w:after="0" w:line="268" w:lineRule="auto"/>
        <w:tabs>
          <w:tab w:leader="none" w:pos="22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pacing w:after="0" w:line="1" w:lineRule="exact"/>
        <w:rPr>
          <w:rFonts w:ascii="Arial" w:cs="Arial" w:eastAsia="Arial" w:hAnsi="Arial"/>
          <w:sz w:val="14"/>
          <w:szCs w:val="14"/>
          <w:color w:val="auto"/>
        </w:rPr>
      </w:pPr>
    </w:p>
    <w:p>
      <w:pPr>
        <w:jc w:val="both"/>
        <w:ind w:firstLine="8"/>
        <w:spacing w:after="0" w:line="256" w:lineRule="auto"/>
        <w:tabs>
          <w:tab w:leader="none" w:pos="21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Restructuring and other one-time costs consist primarily of severance expenses and other one-time expenses related to executive transitions. For the year ended December 31, 2025, these costs were associated with the transition of our former CEO and other key executives and retention bonuses given to certain key employees. Retention bonuses are subject to service requirements and are recognized as expense ratably over the requisite service period. For the year ended December 31, 2023, these costs were incurred in connection with an approved restructuring plan. See Note 13, “Restructuring” for additional information.</w:t>
      </w:r>
    </w:p>
    <w:p>
      <w:pPr>
        <w:spacing w:after="0" w:line="1" w:lineRule="exact"/>
        <w:rPr>
          <w:rFonts w:ascii="Arial" w:cs="Arial" w:eastAsia="Arial" w:hAnsi="Arial"/>
          <w:sz w:val="14"/>
          <w:szCs w:val="14"/>
          <w:color w:val="auto"/>
        </w:rPr>
      </w:pPr>
    </w:p>
    <w:p>
      <w:pPr>
        <w:ind w:firstLine="8"/>
        <w:spacing w:after="0" w:line="284" w:lineRule="auto"/>
        <w:tabs>
          <w:tab w:leader="none" w:pos="23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Non-recurring litigation expense includes a legal contingency expense related to the Securities Actions. See Note 10, “Commitments and Contingencies” for additional information.</w:t>
      </w:r>
    </w:p>
    <w:p>
      <w:pPr>
        <w:spacing w:after="0" w:line="200" w:lineRule="exact"/>
        <w:rPr>
          <w:sz w:val="20"/>
          <w:szCs w:val="20"/>
          <w:color w:val="auto"/>
        </w:rPr>
      </w:pPr>
    </w:p>
    <w:p>
      <w:pPr>
        <w:spacing w:after="0" w:line="359"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0" w:name="page91"/>
    <w:bookmarkEnd w:id="90"/>
    <w:p>
      <w:pPr>
        <w:jc w:val="center"/>
        <w:ind w:left="340" w:right="120"/>
        <w:spacing w:after="0" w:line="298" w:lineRule="auto"/>
        <w:rPr>
          <w:sz w:val="20"/>
          <w:szCs w:val="20"/>
          <w:color w:val="auto"/>
        </w:rPr>
      </w:pPr>
      <w:r>
        <w:rPr>
          <w:rFonts w:ascii="Arial" w:cs="Arial" w:eastAsia="Arial" w:hAnsi="Arial"/>
          <w:sz w:val="25"/>
          <w:szCs w:val="25"/>
          <w:b w:val="1"/>
          <w:bCs w:val="1"/>
          <w:color w:val="auto"/>
        </w:rPr>
        <w:t>ANNEX II - PROPOSED AMENDMENT TO OUR AMENDED AND RESTATED CERTIFICATE OF INCORPORATION PURSUANT TO PROPOSAL 3</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proposal to amend our Certificate of Incorporation pursuant to Item 3 is approved and our Board elects to implement a Reverse Stock Split, Part A of Article IV shall be amended and restated in its entirety to read as follows (with language to be removed being shown in strikethrough and language to be added being shown as italicized and underscored formats):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Classes of Stock</w:t>
      </w:r>
      <w:r>
        <w:rPr>
          <w:rFonts w:ascii="Arial" w:cs="Arial" w:eastAsia="Arial" w:hAnsi="Arial"/>
          <w:sz w:val="18"/>
          <w:szCs w:val="18"/>
          <w:color w:val="auto"/>
        </w:rPr>
        <w:t xml:space="preserve">[added underlining]. The total number of shares of capital stock that the Corporation shall have authority to issue is </w:t>
      </w:r>
      <w:r>
        <w:rPr>
          <w:rFonts w:ascii="Arial" w:cs="Arial" w:eastAsia="Arial" w:hAnsi="Arial"/>
          <w:sz w:val="18"/>
          <w:szCs w:val="18"/>
          <w:color w:val="auto"/>
          <w:strike w:val="1"/>
        </w:rPr>
        <w:t>2,200,000,000</w:t>
      </w:r>
      <w:r>
        <w:rPr>
          <w:rFonts w:ascii="Arial" w:cs="Arial" w:eastAsia="Arial" w:hAnsi="Arial"/>
          <w:sz w:val="18"/>
          <w:szCs w:val="18"/>
          <w:i w:val="1"/>
          <w:iCs w:val="1"/>
          <w:u w:val="single" w:color="auto"/>
          <w:color w:val="auto"/>
        </w:rPr>
        <w:t>550,000,000,</w:t>
      </w:r>
      <w:r>
        <w:rPr>
          <w:rFonts w:ascii="Arial" w:cs="Arial" w:eastAsia="Arial" w:hAnsi="Arial"/>
          <w:sz w:val="18"/>
          <w:szCs w:val="18"/>
          <w:color w:val="auto"/>
        </w:rPr>
        <w:t xml:space="preserve"> consisting of the following: </w:t>
      </w:r>
      <w:r>
        <w:rPr>
          <w:rFonts w:ascii="Arial" w:cs="Arial" w:eastAsia="Arial" w:hAnsi="Arial"/>
          <w:sz w:val="18"/>
          <w:szCs w:val="18"/>
          <w:color w:val="auto"/>
          <w:strike w:val="1"/>
        </w:rPr>
        <w:t>1,500,000,000</w:t>
      </w:r>
      <w:r>
        <w:rPr>
          <w:rFonts w:ascii="Arial" w:cs="Arial" w:eastAsia="Arial" w:hAnsi="Arial"/>
          <w:sz w:val="18"/>
          <w:szCs w:val="18"/>
          <w:i w:val="1"/>
          <w:iCs w:val="1"/>
          <w:u w:val="single" w:color="auto"/>
          <w:color w:val="auto"/>
        </w:rPr>
        <w:t>375,000,000</w:t>
      </w:r>
      <w:r>
        <w:rPr>
          <w:rFonts w:ascii="Arial" w:cs="Arial" w:eastAsia="Arial" w:hAnsi="Arial"/>
          <w:sz w:val="18"/>
          <w:szCs w:val="18"/>
          <w:color w:val="auto"/>
        </w:rPr>
        <w:t xml:space="preserve"> shares of Class A Common Stock, par value $ 0.0001 per share (“</w:t>
      </w:r>
      <w:r>
        <w:rPr>
          <w:rFonts w:ascii="Arial" w:cs="Arial" w:eastAsia="Arial" w:hAnsi="Arial"/>
          <w:sz w:val="18"/>
          <w:szCs w:val="18"/>
          <w:b w:val="1"/>
          <w:bCs w:val="1"/>
          <w:color w:val="auto"/>
        </w:rPr>
        <w:t>Class A Common Stock</w:t>
      </w:r>
      <w:r>
        <w:rPr>
          <w:rFonts w:ascii="Arial" w:cs="Arial" w:eastAsia="Arial" w:hAnsi="Arial"/>
          <w:sz w:val="18"/>
          <w:szCs w:val="18"/>
          <w:color w:val="auto"/>
        </w:rPr>
        <w:t xml:space="preserve">”), </w:t>
      </w:r>
      <w:r>
        <w:rPr>
          <w:rFonts w:ascii="Arial" w:cs="Arial" w:eastAsia="Arial" w:hAnsi="Arial"/>
          <w:sz w:val="18"/>
          <w:szCs w:val="18"/>
          <w:color w:val="auto"/>
          <w:strike w:val="1"/>
        </w:rPr>
        <w:t>600,000,000</w:t>
      </w:r>
      <w:r>
        <w:rPr>
          <w:rFonts w:ascii="Arial" w:cs="Arial" w:eastAsia="Arial" w:hAnsi="Arial"/>
          <w:sz w:val="18"/>
          <w:szCs w:val="18"/>
          <w:i w:val="1"/>
          <w:iCs w:val="1"/>
          <w:u w:val="single" w:color="auto"/>
          <w:color w:val="auto"/>
        </w:rPr>
        <w:t>150,000,000</w:t>
      </w:r>
      <w:r>
        <w:rPr>
          <w:rFonts w:ascii="Arial" w:cs="Arial" w:eastAsia="Arial" w:hAnsi="Arial"/>
          <w:sz w:val="18"/>
          <w:szCs w:val="18"/>
          <w:color w:val="auto"/>
        </w:rPr>
        <w:t xml:space="preserve"> shares of Class B Common Stock, par value $0.0001 per share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100,000,000</w:t>
      </w:r>
      <w:r>
        <w:rPr>
          <w:rFonts w:ascii="Arial" w:cs="Arial" w:eastAsia="Arial" w:hAnsi="Arial"/>
          <w:sz w:val="18"/>
          <w:szCs w:val="18"/>
          <w:i w:val="1"/>
          <w:iCs w:val="1"/>
          <w:u w:val="single" w:color="auto"/>
          <w:color w:val="auto"/>
        </w:rPr>
        <w:t>25,000,000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undesignated Preferred Stock, par value $0.0001 per share (“</w:t>
      </w:r>
      <w:r>
        <w:rPr>
          <w:rFonts w:ascii="Arial" w:cs="Arial" w:eastAsia="Arial" w:hAnsi="Arial"/>
          <w:sz w:val="18"/>
          <w:szCs w:val="18"/>
          <w:b w:val="1"/>
          <w:bCs w:val="1"/>
          <w:color w:val="auto"/>
        </w:rPr>
        <w:t>Preferred Stock”).</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strike w:val="1"/>
        </w:rPr>
        <w:t>Immediately upon the acceptance of this Amended and Restated Certificate of Incorporation for filing by the Secretary of State of the State of Delaware (the “Effective Time”), each share of the Corporation’s capital stock issued and outstanding or held as treasury stock immediately prior to the Effective Time shall, automatically and without further action by any stockholder, be reclassified as, and shall become, one share of Class B Common Stock.</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Effective immediately upon the filing and effectiveness of the Certificate of Amendment to the Amended and Restated Certificate of Incorporation adding this paragraph (the “Reverse Stock Split Effective Time”), each four (4) shares of Class A Common Stock issued and outstanding or held in treasury immediately prior to the Reverse Stock Split Effective Time shall, automatically and without any action on the part of the respective holders thereof, be combined into one (1) validly issued, fully-paid and non-assessable share of Class A Common Stock and each four (4) shares of Class B Common Stock issued and outstanding or held in treasury immediately prior to the Reverse Stock Split Effective Time shall, automatically and without any action on the part of the respective holders thereof, be combined into one (1) validly issued, fully-paid and non-assessable share of Class B Common Stock (collectively, the “Reverse Stock Split”). No fractional shares shall be issued in connection with the Reverse Stock Split and, in lieu thereof, any stockholder who would otherwise be entitled to receive in connection therewith a fractional interest in a share of Class A Common Stock or Class B Common Stock shall instead be entitled to receive a cash payment equal to the product determined by multiplying such fraction by the closing sales prices per share of the Class A Common Stock for the trading day immediately preceding the Reverse Stock Split Effective Time as reported on the Nasdaq Global Market (with such closing sales price being multiplied by four (4)), without interest.</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proposal to amend our Certificate of Incorporation pursuant to Proposal 3 is approved and the Board elects to implement a Reverse Stock Split, Article V shall be amended to add the following paragraph immediately following the definition of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“Effective Time” means 8:03 am ET on June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91" w:name="page92"/>
    <w:bookmarkEnd w:id="91"/>
    <w:p>
      <w:pPr>
        <w:jc w:val="center"/>
        <w:spacing w:after="0" w:line="298" w:lineRule="auto"/>
        <w:rPr>
          <w:sz w:val="20"/>
          <w:szCs w:val="20"/>
          <w:color w:val="auto"/>
        </w:rPr>
      </w:pPr>
      <w:r>
        <w:rPr>
          <w:rFonts w:ascii="Arial" w:cs="Arial" w:eastAsia="Arial" w:hAnsi="Arial"/>
          <w:sz w:val="25"/>
          <w:szCs w:val="25"/>
          <w:b w:val="1"/>
          <w:bCs w:val="1"/>
          <w:color w:val="auto"/>
        </w:rPr>
        <w:t>ANNEX III - PROPOSED AMENDMENT TO OUR AMENDED AND RESTATED CERTIFICATE OF INCORPORATION PURSUANT TO PROPOSAL 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fullest extent permitted by the DGCL, as it presently exists or may hereafter be amended from time to time, an officer of the Corporation shall not be personally liable to the Corporation or its stockholders for monetary damages for breach of any fiduciary duties as an officer. If the DGCL is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have the meaning provided in Section 102(b)(7) of the DGCL.</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Neither any amendment, repeal nor elimination of this Article XI, nor the adoption of any provision of the Corporation’s Amended and Restated Certificate of Incorporation inconsistent with this Article XI, shall eliminate or reduce the effect of this Article XI in respect of any matter occurring, or any cause of action, suit or proceeding accruing or arising or that, but for this Article XI, would accrue or arise, prior to such amendment, repeal, elimination or adoption of an inconsistent provision.</w:t>
      </w:r>
    </w:p>
    <w:p>
      <w:pPr>
        <w:spacing w:after="0" w:line="200" w:lineRule="exact"/>
        <w:rPr>
          <w:sz w:val="20"/>
          <w:szCs w:val="20"/>
          <w:color w:val="auto"/>
        </w:rPr>
      </w:pPr>
    </w:p>
    <w:p>
      <w:pPr>
        <w:spacing w:after="0" w:line="373" w:lineRule="exact"/>
        <w:rPr>
          <w:sz w:val="20"/>
          <w:szCs w:val="20"/>
          <w:color w:val="auto"/>
        </w:rPr>
      </w:pPr>
    </w:p>
    <w:p>
      <w:pPr>
        <w:ind w:left="9220"/>
        <w:spacing w:after="0"/>
        <w:rPr>
          <w:sz w:val="20"/>
          <w:szCs w:val="20"/>
          <w:color w:val="auto"/>
        </w:rPr>
      </w:pPr>
      <w:r>
        <w:rPr>
          <w:sz w:val="1"/>
          <w:szCs w:val="1"/>
          <w:color w:val="auto"/>
        </w:rPr>
        <w:drawing>
          <wp:inline distT="0" distB="0" distL="0" distR="0">
            <wp:extent cx="1105535" cy="1543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05535" cy="154305"/>
                    </a:xfrm>
                    <a:prstGeom prst="rect">
                      <a:avLst/>
                    </a:prstGeom>
                    <a:noFill/>
                    <a:ln>
                      <a:noFill/>
                    </a:ln>
                  </pic:spPr>
                </pic:pic>
              </a:graphicData>
            </a:graphic>
          </wp:inline>
        </w:drawing>
      </w:r>
      <w:r>
        <w:rPr>
          <w:rFonts w:ascii="Arial" w:cs="Arial" w:eastAsia="Arial" w:hAnsi="Arial"/>
          <w:sz w:val="17"/>
          <w:szCs w:val="17"/>
          <w:b w:val="1"/>
          <w:bCs w:val="1"/>
          <w:color w:val="auto"/>
        </w:rPr>
        <w:t xml:space="preserv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1031875</wp:posOffset>
            </wp:positionV>
            <wp:extent cx="7157720" cy="7959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7959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1031875</wp:posOffset>
            </wp:positionV>
            <wp:extent cx="5657850" cy="73209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x"/>
      <w:numFmt w:val="bullet"/>
      <w:start w:val="1"/>
    </w:lvl>
  </w:abstractNum>
  <w:abstractNum w:abstractNumId="1">
    <w:nsid w:val="23F9C13C"/>
    <w:multiLevelType w:val="hybridMultilevel"/>
    <w:lvl w:ilvl="0">
      <w:lvlJc w:val="left"/>
      <w:lvlText w:val="o"/>
      <w:numFmt w:val="bullet"/>
      <w:start w:val="1"/>
    </w:lvl>
  </w:abstractNum>
  <w:abstractNum w:abstractNumId="2">
    <w:nsid w:val="649BB77C"/>
    <w:multiLevelType w:val="hybridMultilevel"/>
    <w:lvl w:ilvl="0">
      <w:lvlJc w:val="left"/>
      <w:lvlText w:val="x"/>
      <w:numFmt w:val="bullet"/>
      <w:start w:val="1"/>
    </w:lvl>
  </w:abstractNum>
  <w:abstractNum w:abstractNumId="3">
    <w:nsid w:val="275AC794"/>
    <w:multiLevelType w:val="hybridMultilevel"/>
    <w:lvl w:ilvl="0">
      <w:lvlJc w:val="left"/>
      <w:lvlText w:val="o"/>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3"/>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5"/>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7"/>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9"/>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1."/>
      <w:numFmt w:val="lowerLetter"/>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lvl w:ilvl="1">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lvl>
    <w:lvl w:ilvl="1">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5"/>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3"/>
    </w:lvl>
  </w:abstractNum>
  <w:abstractNum w:abstractNumId="84">
    <w:nsid w:val="5FB8370B"/>
    <w:multiLevelType w:val="hybridMultilevel"/>
    <w:lvl w:ilvl="0">
      <w:lvlJc w:val="left"/>
      <w:lvlText w:val="(%1)"/>
      <w:numFmt w:val="decimal"/>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lowerRoman"/>
      <w:start w:val="1"/>
    </w:lvl>
  </w:abstractNum>
  <w:abstractNum w:abstractNumId="90">
    <w:nsid w:val="6FC75AF8"/>
    <w:multiLevelType w:val="hybridMultilevel"/>
    <w:lvl w:ilvl="0">
      <w:lvlJc w:val="left"/>
      <w:lvlText w:val="(%1)"/>
      <w:numFmt w:val="decimal"/>
      <w:start w:val="4"/>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decimal"/>
      <w:start w:val="4"/>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lvl w:ilvl="1">
      <w:lvlJc w:val="left"/>
      <w:lvlText w:val="(%2)"/>
      <w:numFmt w:val="decimal"/>
      <w:start w:val="1"/>
    </w:lvl>
  </w:abstractNum>
  <w:abstractNum w:abstractNumId="96">
    <w:nsid w:val="555C55B5"/>
    <w:multiLevelType w:val="hybridMultilevel"/>
    <w:lvl w:ilvl="0">
      <w:lvlJc w:val="left"/>
      <w:lvlText w:val="(%1)"/>
      <w:numFmt w:val="decimal"/>
      <w:start w:val="2"/>
    </w:lvl>
  </w:abstractNum>
  <w:abstractNum w:abstractNumId="97">
    <w:nsid w:val="3FA62ACA"/>
    <w:multiLevelType w:val="hybridMultilevel"/>
    <w:lvl w:ilvl="0">
      <w:lvlJc w:val="left"/>
      <w:lvlText w:val="(%1)"/>
      <w:numFmt w:val="decimal"/>
      <w:start w:val="13"/>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
      <w:numFmt w:val="bullet"/>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2026-04-10T15:24:27Z</dcterms:created>
  <dcterms:modified xsi:type="dcterms:W3CDTF">2026-04-10T15:24:27Z</dcterms:modified>
</cp:coreProperties>
</file>