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62230</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43815</wp:posOffset>
            </wp:positionV>
            <wp:extent cx="1979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2026</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340" w:hanging="314"/>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69215</wp:posOffset>
            </wp:positionV>
            <wp:extent cx="19799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Marqeta, Inc.</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66675</wp:posOffset>
            </wp:positionV>
            <wp:extent cx="1979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940" w:type="dxa"/>
            <w:vAlign w:val="bottom"/>
            <w:gridSpan w:val="3"/>
          </w:tcPr>
          <w:p>
            <w:pPr>
              <w:jc w:val="center"/>
              <w:ind w:left="624"/>
              <w:spacing w:after="0"/>
              <w:rPr>
                <w:sz w:val="20"/>
                <w:szCs w:val="20"/>
                <w:color w:val="auto"/>
              </w:rPr>
            </w:pPr>
            <w:r>
              <w:rPr>
                <w:rFonts w:ascii="Arial" w:cs="Arial" w:eastAsia="Arial" w:hAnsi="Arial"/>
                <w:sz w:val="18"/>
                <w:szCs w:val="18"/>
                <w:b w:val="1"/>
                <w:bCs w:val="1"/>
                <w:color w:val="auto"/>
              </w:rPr>
              <w:t>Delaware</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60" w:type="dxa"/>
            <w:vAlign w:val="bottom"/>
          </w:tcPr>
          <w:p>
            <w:pPr>
              <w:jc w:val="right"/>
              <w:ind w:right="2243"/>
              <w:spacing w:after="0"/>
              <w:rPr>
                <w:sz w:val="20"/>
                <w:szCs w:val="20"/>
                <w:color w:val="auto"/>
              </w:rPr>
            </w:pPr>
            <w:r>
              <w:rPr>
                <w:rFonts w:ascii="Arial" w:cs="Arial" w:eastAsia="Arial" w:hAnsi="Arial"/>
                <w:sz w:val="18"/>
                <w:szCs w:val="18"/>
                <w:b w:val="1"/>
                <w:bCs w:val="1"/>
                <w:color w:val="auto"/>
              </w:rPr>
              <w:t>27-4306690</w:t>
            </w:r>
          </w:p>
        </w:tc>
      </w:tr>
      <w:tr>
        <w:trPr>
          <w:trHeight w:val="196"/>
        </w:trPr>
        <w:tc>
          <w:tcPr>
            <w:tcW w:w="4940" w:type="dxa"/>
            <w:vAlign w:val="bottom"/>
            <w:gridSpan w:val="3"/>
          </w:tcPr>
          <w:p>
            <w:pPr>
              <w:jc w:val="center"/>
              <w:ind w:left="624"/>
              <w:spacing w:after="0"/>
              <w:rPr>
                <w:sz w:val="20"/>
                <w:szCs w:val="20"/>
                <w:color w:val="auto"/>
              </w:rPr>
            </w:pPr>
            <w:r>
              <w:rPr>
                <w:rFonts w:ascii="Arial" w:cs="Arial" w:eastAsia="Arial" w:hAnsi="Arial"/>
                <w:sz w:val="14"/>
                <w:szCs w:val="14"/>
                <w:color w:val="auto"/>
              </w:rPr>
              <w:t>(State or other jurisdiction of incorporation or organization)</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60" w:type="dxa"/>
            <w:vAlign w:val="bottom"/>
          </w:tcPr>
          <w:p>
            <w:pPr>
              <w:jc w:val="center"/>
              <w:ind w:right="1483"/>
              <w:spacing w:after="0"/>
              <w:rPr>
                <w:sz w:val="20"/>
                <w:szCs w:val="20"/>
                <w:color w:val="auto"/>
              </w:rPr>
            </w:pPr>
            <w:r>
              <w:rPr>
                <w:rFonts w:ascii="Arial" w:cs="Arial" w:eastAsia="Arial" w:hAnsi="Arial"/>
                <w:sz w:val="14"/>
                <w:szCs w:val="14"/>
                <w:color w:val="auto"/>
              </w:rPr>
              <w:t>(I.R.S. Employer Identification Number)</w:t>
            </w:r>
          </w:p>
        </w:tc>
      </w:tr>
      <w:tr>
        <w:trPr>
          <w:trHeight w:val="317"/>
        </w:trPr>
        <w:tc>
          <w:tcPr>
            <w:tcW w:w="4940" w:type="dxa"/>
            <w:vAlign w:val="bottom"/>
            <w:gridSpan w:val="3"/>
          </w:tcPr>
          <w:p>
            <w:pPr>
              <w:jc w:val="center"/>
              <w:ind w:left="604"/>
              <w:spacing w:after="0"/>
              <w:rPr>
                <w:sz w:val="20"/>
                <w:szCs w:val="20"/>
                <w:color w:val="auto"/>
              </w:rPr>
            </w:pPr>
            <w:r>
              <w:rPr>
                <w:rFonts w:ascii="Arial" w:cs="Arial" w:eastAsia="Arial" w:hAnsi="Arial"/>
                <w:sz w:val="18"/>
                <w:szCs w:val="18"/>
                <w:b w:val="1"/>
                <w:bCs w:val="1"/>
                <w:color w:val="auto"/>
                <w:w w:val="99"/>
              </w:rPr>
              <w:t>180 Grand Avenue, 6th Floor, Oakland, California</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60" w:type="dxa"/>
            <w:vAlign w:val="bottom"/>
          </w:tcPr>
          <w:p>
            <w:pPr>
              <w:jc w:val="right"/>
              <w:ind w:right="2483"/>
              <w:spacing w:after="0"/>
              <w:rPr>
                <w:sz w:val="20"/>
                <w:szCs w:val="20"/>
                <w:color w:val="auto"/>
              </w:rPr>
            </w:pPr>
            <w:r>
              <w:rPr>
                <w:rFonts w:ascii="Arial" w:cs="Arial" w:eastAsia="Arial" w:hAnsi="Arial"/>
                <w:sz w:val="18"/>
                <w:szCs w:val="18"/>
                <w:b w:val="1"/>
                <w:bCs w:val="1"/>
                <w:color w:val="auto"/>
              </w:rPr>
              <w:t>94612</w:t>
            </w:r>
          </w:p>
        </w:tc>
      </w:tr>
      <w:tr>
        <w:trPr>
          <w:trHeight w:val="196"/>
        </w:trPr>
        <w:tc>
          <w:tcPr>
            <w:tcW w:w="4940" w:type="dxa"/>
            <w:vAlign w:val="bottom"/>
            <w:gridSpan w:val="3"/>
          </w:tcPr>
          <w:p>
            <w:pPr>
              <w:jc w:val="center"/>
              <w:ind w:left="604"/>
              <w:spacing w:after="0"/>
              <w:rPr>
                <w:sz w:val="20"/>
                <w:szCs w:val="20"/>
                <w:color w:val="auto"/>
              </w:rPr>
            </w:pPr>
            <w:r>
              <w:rPr>
                <w:rFonts w:ascii="Arial" w:cs="Arial" w:eastAsia="Arial" w:hAnsi="Arial"/>
                <w:sz w:val="14"/>
                <w:szCs w:val="14"/>
                <w:color w:val="auto"/>
              </w:rPr>
              <w:t>(Address of principal executive offices)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60" w:type="dxa"/>
            <w:vAlign w:val="bottom"/>
          </w:tcPr>
          <w:p>
            <w:pPr>
              <w:jc w:val="center"/>
              <w:ind w:right="1463"/>
              <w:spacing w:after="0"/>
              <w:rPr>
                <w:sz w:val="20"/>
                <w:szCs w:val="20"/>
                <w:color w:val="auto"/>
              </w:rPr>
            </w:pPr>
            <w:r>
              <w:rPr>
                <w:rFonts w:ascii="Arial" w:cs="Arial" w:eastAsia="Arial" w:hAnsi="Arial"/>
                <w:sz w:val="14"/>
                <w:szCs w:val="14"/>
                <w:color w:val="auto"/>
              </w:rPr>
              <w:t>(Zip Code)</w:t>
            </w:r>
          </w:p>
        </w:tc>
      </w:tr>
      <w:tr>
        <w:trPr>
          <w:trHeight w:val="552"/>
        </w:trPr>
        <w:tc>
          <w:tcPr>
            <w:tcW w:w="4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(510) 671-5437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90"/>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(Registrant's telephone number, including area code)</w:t>
            </w:r>
          </w:p>
        </w:tc>
      </w:tr>
      <w:tr>
        <w:trPr>
          <w:trHeight w:val="62"/>
        </w:trPr>
        <w:tc>
          <w:tcPr>
            <w:tcW w:w="406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60" w:type="dxa"/>
            <w:vAlign w:val="bottom"/>
          </w:tcPr>
          <w:p>
            <w:pPr>
              <w:spacing w:after="0"/>
              <w:rPr>
                <w:sz w:val="5"/>
                <w:szCs w:val="5"/>
                <w:color w:val="auto"/>
              </w:rPr>
            </w:pPr>
          </w:p>
        </w:tc>
      </w:tr>
      <w:tr>
        <w:trPr>
          <w:trHeight w:val="269"/>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41"/>
        </w:trPr>
        <w:tc>
          <w:tcPr>
            <w:tcW w:w="4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center"/>
              <w:ind w:right="703"/>
              <w:spacing w:after="0"/>
              <w:rPr>
                <w:sz w:val="20"/>
                <w:szCs w:val="20"/>
                <w:color w:val="auto"/>
              </w:rPr>
            </w:pPr>
            <w:r>
              <w:rPr>
                <w:rFonts w:ascii="Arial" w:cs="Arial" w:eastAsia="Arial" w:hAnsi="Arial"/>
                <w:sz w:val="14"/>
                <w:szCs w:val="14"/>
                <w:color w:val="auto"/>
              </w:rPr>
              <w:t>Name of each exchange on which registered</w:t>
            </w:r>
          </w:p>
        </w:tc>
      </w:tr>
      <w:tr>
        <w:trPr>
          <w:trHeight w:val="212"/>
        </w:trPr>
        <w:tc>
          <w:tcPr>
            <w:tcW w:w="4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2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7"/>
              </w:rPr>
              <w:t>MQ</w:t>
            </w:r>
          </w:p>
        </w:tc>
        <w:tc>
          <w:tcPr>
            <w:tcW w:w="4060" w:type="dxa"/>
            <w:vAlign w:val="bottom"/>
          </w:tcPr>
          <w:p>
            <w:pPr>
              <w:jc w:val="center"/>
              <w:ind w:right="703"/>
              <w:spacing w:after="0"/>
              <w:rPr>
                <w:sz w:val="20"/>
                <w:szCs w:val="20"/>
                <w:color w:val="auto"/>
              </w:rPr>
            </w:pPr>
            <w:r>
              <w:rPr>
                <w:rFonts w:ascii="Arial" w:cs="Arial" w:eastAsia="Arial" w:hAnsi="Arial"/>
                <w:sz w:val="14"/>
                <w:szCs w:val="14"/>
                <w:b w:val="1"/>
                <w:bCs w:val="1"/>
                <w:color w:val="auto"/>
              </w:rPr>
              <w:t>The Nasdaq Stock Market LLC</w:t>
            </w:r>
          </w:p>
        </w:tc>
      </w:tr>
      <w:tr>
        <w:trPr>
          <w:trHeight w:val="216"/>
        </w:trPr>
        <w:tc>
          <w:tcPr>
            <w:tcW w:w="4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60" w:type="dxa"/>
            <w:vAlign w:val="bottom"/>
          </w:tcPr>
          <w:p>
            <w:pPr>
              <w:jc w:val="center"/>
              <w:ind w:right="703"/>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195" w:lineRule="exact"/>
        <w:rPr>
          <w:sz w:val="24"/>
          <w:szCs w:val="24"/>
          <w:color w:val="auto"/>
        </w:rPr>
      </w:pPr>
    </w:p>
    <w:p>
      <w:pPr>
        <w:jc w:val="both"/>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2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4640" w:type="dxa"/>
            <w:vAlign w:val="bottom"/>
          </w:tcPr>
          <w:p>
            <w:pPr>
              <w:ind w:left="222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1" w:lineRule="exact"/>
        <w:rPr>
          <w:sz w:val="24"/>
          <w:szCs w:val="24"/>
          <w:color w:val="auto"/>
        </w:rPr>
      </w:pPr>
    </w:p>
    <w:p>
      <w:pPr>
        <w:jc w:val="both"/>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As of October 30, 2026, there were 96,014,739 shares of the registrant's Class A common stock, par value $0.0001 per share, outstanding and 7,796,104 shares of the registrant's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40" w:type="dxa"/>
            <w:vAlign w:val="bottom"/>
            <w:gridSpan w:val="8"/>
          </w:tcPr>
          <w:p>
            <w:pPr>
              <w:ind w:left="8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46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20" w:type="dxa"/>
            <w:vAlign w:val="bottom"/>
            <w:gridSpan w:val="8"/>
          </w:tcPr>
          <w:p>
            <w:pPr>
              <w:ind w:left="1100"/>
              <w:spacing w:after="0"/>
              <w:rPr>
                <w:sz w:val="20"/>
                <w:szCs w:val="20"/>
                <w:color w:val="auto"/>
              </w:rPr>
            </w:pPr>
            <w:r>
              <w:rPr>
                <w:rFonts w:ascii="Arial" w:cs="Arial" w:eastAsia="Arial" w:hAnsi="Arial"/>
                <w:sz w:val="18"/>
                <w:szCs w:val="18"/>
                <w:b w:val="1"/>
                <w:bCs w:val="1"/>
                <w:color w:val="auto"/>
              </w:rPr>
              <w:t>Page</w:t>
            </w:r>
          </w:p>
        </w:tc>
      </w:tr>
      <w:tr>
        <w:trPr>
          <w:trHeight w:val="223"/>
        </w:trPr>
        <w:tc>
          <w:tcPr>
            <w:tcW w:w="20" w:type="dxa"/>
            <w:vAlign w:val="bottom"/>
          </w:tcPr>
          <w:p>
            <w:pPr>
              <w:spacing w:after="0"/>
              <w:rPr>
                <w:sz w:val="19"/>
                <w:szCs w:val="19"/>
                <w:color w:val="auto"/>
              </w:rPr>
            </w:pPr>
          </w:p>
        </w:tc>
        <w:tc>
          <w:tcPr>
            <w:tcW w:w="9400" w:type="dxa"/>
            <w:vAlign w:val="bottom"/>
            <w:gridSpan w:val="22"/>
          </w:tcPr>
          <w:p>
            <w:pPr>
              <w:spacing w:after="0"/>
              <w:rPr>
                <w:sz w:val="20"/>
                <w:szCs w:val="20"/>
                <w:color w:val="auto"/>
              </w:rPr>
            </w:pPr>
            <w:r>
              <w:rPr>
                <w:rFonts w:ascii="Arial" w:cs="Arial" w:eastAsia="Arial" w:hAnsi="Arial"/>
                <w:sz w:val="18"/>
                <w:szCs w:val="18"/>
                <w:color w:val="0000FF"/>
              </w:rPr>
              <w:t>Note About Forward-Looking Statements</w:t>
            </w:r>
          </w:p>
        </w:tc>
        <w:tc>
          <w:tcPr>
            <w:tcW w:w="1100" w:type="dxa"/>
            <w:vAlign w:val="bottom"/>
          </w:tcPr>
          <w:p>
            <w:pPr>
              <w:spacing w:after="0"/>
              <w:rPr>
                <w:sz w:val="19"/>
                <w:szCs w:val="19"/>
                <w:color w:val="auto"/>
              </w:rPr>
            </w:pPr>
          </w:p>
        </w:tc>
        <w:tc>
          <w:tcPr>
            <w:tcW w:w="300" w:type="dxa"/>
            <w:vAlign w:val="bottom"/>
            <w:tcBorders>
              <w:top w:val="single" w:sz="8" w:color="auto"/>
            </w:tcBorders>
            <w:gridSpan w:val="5"/>
          </w:tcPr>
          <w:p>
            <w:pPr>
              <w:jc w:val="center"/>
              <w:ind w:left="30"/>
              <w:spacing w:after="0"/>
              <w:rPr>
                <w:sz w:val="20"/>
                <w:szCs w:val="20"/>
                <w:color w:val="auto"/>
              </w:rPr>
            </w:pPr>
            <w:r>
              <w:rPr>
                <w:rFonts w:ascii="Arial" w:cs="Arial" w:eastAsia="Arial" w:hAnsi="Arial"/>
                <w:sz w:val="18"/>
                <w:szCs w:val="18"/>
                <w:color w:val="0000FF"/>
                <w:w w:val="99"/>
              </w:rPr>
              <w:t>3</w:t>
            </w:r>
          </w:p>
        </w:tc>
        <w:tc>
          <w:tcPr>
            <w:tcW w:w="1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542"/>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5620" w:type="dxa"/>
            <w:vAlign w:val="bottom"/>
            <w:gridSpan w:val="9"/>
          </w:tcPr>
          <w:p>
            <w:pPr>
              <w:ind w:left="720"/>
              <w:spacing w:after="0"/>
              <w:rPr>
                <w:sz w:val="20"/>
                <w:szCs w:val="20"/>
                <w:color w:val="auto"/>
              </w:rPr>
            </w:pPr>
            <w:r>
              <w:rPr>
                <w:rFonts w:ascii="Arial" w:cs="Arial" w:eastAsia="Arial" w:hAnsi="Arial"/>
                <w:sz w:val="18"/>
                <w:szCs w:val="18"/>
                <w:b w:val="1"/>
                <w:bCs w:val="1"/>
                <w:color w:val="auto"/>
              </w:rPr>
              <w:t>Part I - Financial Information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0000FF"/>
              </w:rPr>
              <w:t>Item 1.</w:t>
            </w:r>
          </w:p>
        </w:tc>
        <w:tc>
          <w:tcPr>
            <w:tcW w:w="360" w:type="dxa"/>
            <w:vAlign w:val="bottom"/>
            <w:gridSpan w:val="2"/>
          </w:tcPr>
          <w:p>
            <w:pPr>
              <w:spacing w:after="0"/>
              <w:rPr>
                <w:sz w:val="16"/>
                <w:szCs w:val="16"/>
                <w:color w:val="auto"/>
              </w:rPr>
            </w:pPr>
          </w:p>
        </w:tc>
        <w:tc>
          <w:tcPr>
            <w:tcW w:w="3800" w:type="dxa"/>
            <w:vAlign w:val="bottom"/>
            <w:gridSpan w:val="11"/>
          </w:tcPr>
          <w:p>
            <w:pPr>
              <w:spacing w:after="0" w:line="195" w:lineRule="exact"/>
              <w:rPr>
                <w:sz w:val="20"/>
                <w:szCs w:val="20"/>
                <w:color w:val="auto"/>
              </w:rPr>
            </w:pPr>
            <w:r>
              <w:rPr>
                <w:rFonts w:ascii="Arial" w:cs="Arial" w:eastAsia="Arial" w:hAnsi="Arial"/>
                <w:sz w:val="18"/>
                <w:szCs w:val="18"/>
                <w:color w:val="0000FF"/>
                <w:w w:val="99"/>
              </w:rPr>
              <w:t>Condensed Consolidated Financial Statements:</w:t>
            </w:r>
          </w:p>
        </w:tc>
        <w:tc>
          <w:tcPr>
            <w:tcW w:w="4360" w:type="dxa"/>
            <w:vAlign w:val="bottom"/>
            <w:gridSpan w:val="7"/>
          </w:tcPr>
          <w:p>
            <w:pPr>
              <w:spacing w:after="0"/>
              <w:rPr>
                <w:sz w:val="16"/>
                <w:szCs w:val="16"/>
                <w:color w:val="auto"/>
              </w:rPr>
            </w:pPr>
          </w:p>
        </w:tc>
        <w:tc>
          <w:tcPr>
            <w:tcW w:w="1400" w:type="dxa"/>
            <w:vAlign w:val="bottom"/>
            <w:gridSpan w:val="6"/>
          </w:tcPr>
          <w:p>
            <w:pPr>
              <w:jc w:val="center"/>
              <w:ind w:left="1130"/>
              <w:spacing w:after="0" w:line="195" w:lineRule="exact"/>
              <w:rPr>
                <w:sz w:val="20"/>
                <w:szCs w:val="20"/>
                <w:color w:val="auto"/>
              </w:rPr>
            </w:pPr>
            <w:r>
              <w:rPr>
                <w:rFonts w:ascii="Arial" w:cs="Arial" w:eastAsia="Arial" w:hAnsi="Arial"/>
                <w:sz w:val="18"/>
                <w:szCs w:val="18"/>
                <w:color w:val="0000FF"/>
                <w:w w:val="99"/>
              </w:rPr>
              <w:t>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0" w:type="dxa"/>
            <w:vAlign w:val="bottom"/>
            <w:gridSpan w:val="11"/>
          </w:tcPr>
          <w:p>
            <w:pPr>
              <w:spacing w:after="0"/>
              <w:rPr>
                <w:sz w:val="20"/>
                <w:szCs w:val="20"/>
                <w:color w:val="auto"/>
              </w:rPr>
            </w:pPr>
            <w:r>
              <w:rPr>
                <w:rFonts w:ascii="Arial" w:cs="Arial" w:eastAsia="Arial" w:hAnsi="Arial"/>
                <w:sz w:val="18"/>
                <w:szCs w:val="18"/>
                <w:color w:val="0000FF"/>
              </w:rPr>
              <w:t>Condensed Consolidated Balance Sheets</w:t>
            </w:r>
          </w:p>
        </w:tc>
        <w:tc>
          <w:tcPr>
            <w:tcW w:w="4360" w:type="dxa"/>
            <w:vAlign w:val="bottom"/>
            <w:gridSpan w:val="7"/>
          </w:tcPr>
          <w:p>
            <w:pPr>
              <w:spacing w:after="0"/>
              <w:rPr>
                <w:sz w:val="19"/>
                <w:szCs w:val="19"/>
                <w:color w:val="auto"/>
              </w:rPr>
            </w:pPr>
          </w:p>
        </w:tc>
        <w:tc>
          <w:tcPr>
            <w:tcW w:w="1400" w:type="dxa"/>
            <w:vAlign w:val="bottom"/>
            <w:gridSpan w:val="6"/>
          </w:tcPr>
          <w:p>
            <w:pPr>
              <w:jc w:val="center"/>
              <w:ind w:left="1130"/>
              <w:spacing w:after="0"/>
              <w:rPr>
                <w:sz w:val="20"/>
                <w:szCs w:val="20"/>
                <w:color w:val="auto"/>
              </w:rPr>
            </w:pPr>
            <w:r>
              <w:rPr>
                <w:rFonts w:ascii="Arial" w:cs="Arial" w:eastAsia="Arial" w:hAnsi="Arial"/>
                <w:sz w:val="18"/>
                <w:szCs w:val="18"/>
                <w:color w:val="0000FF"/>
                <w:w w:val="99"/>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960" w:type="dxa"/>
            <w:vAlign w:val="bottom"/>
            <w:gridSpan w:val="16"/>
          </w:tcPr>
          <w:p>
            <w:pPr>
              <w:spacing w:after="0"/>
              <w:rPr>
                <w:sz w:val="20"/>
                <w:szCs w:val="20"/>
                <w:color w:val="auto"/>
              </w:rPr>
            </w:pPr>
            <w:r>
              <w:rPr>
                <w:rFonts w:ascii="Arial" w:cs="Arial" w:eastAsia="Arial" w:hAnsi="Arial"/>
                <w:sz w:val="18"/>
                <w:szCs w:val="18"/>
                <w:color w:val="0000FF"/>
                <w:w w:val="99"/>
              </w:rPr>
              <w:t>Condensed Consolidated Statements of Operations and Comprehensive Income (Loss)</w:t>
            </w:r>
          </w:p>
        </w:tc>
        <w:tc>
          <w:tcPr>
            <w:tcW w:w="1200" w:type="dxa"/>
            <w:vAlign w:val="bottom"/>
            <w:gridSpan w:val="2"/>
          </w:tcPr>
          <w:p>
            <w:pPr>
              <w:spacing w:after="0"/>
              <w:rPr>
                <w:sz w:val="19"/>
                <w:szCs w:val="19"/>
                <w:color w:val="auto"/>
              </w:rPr>
            </w:pPr>
          </w:p>
        </w:tc>
        <w:tc>
          <w:tcPr>
            <w:tcW w:w="1400" w:type="dxa"/>
            <w:vAlign w:val="bottom"/>
            <w:gridSpan w:val="6"/>
          </w:tcPr>
          <w:p>
            <w:pPr>
              <w:jc w:val="center"/>
              <w:ind w:left="1130"/>
              <w:spacing w:after="0"/>
              <w:rPr>
                <w:sz w:val="20"/>
                <w:szCs w:val="20"/>
                <w:color w:val="auto"/>
              </w:rPr>
            </w:pPr>
            <w:r>
              <w:rPr>
                <w:rFonts w:ascii="Arial" w:cs="Arial" w:eastAsia="Arial" w:hAnsi="Arial"/>
                <w:sz w:val="18"/>
                <w:szCs w:val="18"/>
                <w:color w:val="0000FF"/>
                <w:w w:val="99"/>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60" w:type="dxa"/>
            <w:vAlign w:val="bottom"/>
            <w:gridSpan w:val="15"/>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210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400" w:type="dxa"/>
            <w:vAlign w:val="bottom"/>
            <w:gridSpan w:val="6"/>
          </w:tcPr>
          <w:p>
            <w:pPr>
              <w:jc w:val="center"/>
              <w:ind w:left="1130"/>
              <w:spacing w:after="0"/>
              <w:rPr>
                <w:sz w:val="20"/>
                <w:szCs w:val="20"/>
                <w:color w:val="auto"/>
              </w:rPr>
            </w:pPr>
            <w:r>
              <w:rPr>
                <w:rFonts w:ascii="Arial" w:cs="Arial" w:eastAsia="Arial" w:hAnsi="Arial"/>
                <w:sz w:val="18"/>
                <w:szCs w:val="18"/>
                <w:color w:val="0000FF"/>
                <w:w w:val="99"/>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3300" w:type="dxa"/>
            <w:vAlign w:val="bottom"/>
            <w:gridSpan w:val="3"/>
          </w:tcPr>
          <w:p>
            <w:pPr>
              <w:spacing w:after="0"/>
              <w:rPr>
                <w:sz w:val="19"/>
                <w:szCs w:val="19"/>
                <w:color w:val="auto"/>
              </w:rPr>
            </w:pPr>
          </w:p>
        </w:tc>
        <w:tc>
          <w:tcPr>
            <w:tcW w:w="1400" w:type="dxa"/>
            <w:vAlign w:val="bottom"/>
            <w:gridSpan w:val="6"/>
          </w:tcPr>
          <w:p>
            <w:pPr>
              <w:jc w:val="center"/>
              <w:ind w:left="1130"/>
              <w:spacing w:after="0"/>
              <w:rPr>
                <w:sz w:val="20"/>
                <w:szCs w:val="20"/>
                <w:color w:val="auto"/>
              </w:rPr>
            </w:pPr>
            <w:r>
              <w:rPr>
                <w:rFonts w:ascii="Arial" w:cs="Arial" w:eastAsia="Arial" w:hAnsi="Arial"/>
                <w:sz w:val="18"/>
                <w:szCs w:val="18"/>
                <w:color w:val="0000FF"/>
                <w:w w:val="99"/>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16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400" w:type="dxa"/>
            <w:vAlign w:val="bottom"/>
            <w:gridSpan w:val="6"/>
          </w:tcPr>
          <w:p>
            <w:pPr>
              <w:jc w:val="center"/>
              <w:ind w:left="1130"/>
              <w:spacing w:after="0"/>
              <w:rPr>
                <w:sz w:val="20"/>
                <w:szCs w:val="20"/>
                <w:color w:val="auto"/>
              </w:rPr>
            </w:pPr>
            <w:r>
              <w:rPr>
                <w:rFonts w:ascii="Arial" w:cs="Arial" w:eastAsia="Arial" w:hAnsi="Arial"/>
                <w:sz w:val="18"/>
                <w:szCs w:val="18"/>
                <w:color w:val="0000FF"/>
                <w:w w:val="89"/>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2.</w:t>
            </w:r>
          </w:p>
        </w:tc>
        <w:tc>
          <w:tcPr>
            <w:tcW w:w="360" w:type="dxa"/>
            <w:vAlign w:val="bottom"/>
            <w:gridSpan w:val="2"/>
          </w:tcPr>
          <w:p>
            <w:pPr>
              <w:spacing w:after="0"/>
              <w:rPr>
                <w:sz w:val="19"/>
                <w:szCs w:val="19"/>
                <w:color w:val="auto"/>
              </w:rPr>
            </w:pPr>
          </w:p>
        </w:tc>
        <w:tc>
          <w:tcPr>
            <w:tcW w:w="816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520" w:type="dxa"/>
            <w:vAlign w:val="bottom"/>
            <w:gridSpan w:val="7"/>
          </w:tcPr>
          <w:p>
            <w:pPr>
              <w:jc w:val="center"/>
              <w:ind w:left="990"/>
              <w:spacing w:after="0"/>
              <w:rPr>
                <w:sz w:val="20"/>
                <w:szCs w:val="20"/>
                <w:color w:val="auto"/>
              </w:rPr>
            </w:pPr>
            <w:r>
              <w:rPr>
                <w:rFonts w:ascii="Arial" w:cs="Arial" w:eastAsia="Arial" w:hAnsi="Arial"/>
                <w:sz w:val="18"/>
                <w:szCs w:val="18"/>
                <w:color w:val="0000FF"/>
                <w:w w:val="99"/>
              </w:rPr>
              <w:t>29</w:t>
            </w:r>
          </w:p>
        </w:tc>
        <w:tc>
          <w:tcPr>
            <w:tcW w:w="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3.</w:t>
            </w:r>
          </w:p>
        </w:tc>
        <w:tc>
          <w:tcPr>
            <w:tcW w:w="360" w:type="dxa"/>
            <w:vAlign w:val="bottom"/>
            <w:gridSpan w:val="2"/>
          </w:tcPr>
          <w:p>
            <w:pPr>
              <w:spacing w:after="0"/>
              <w:rPr>
                <w:sz w:val="19"/>
                <w:szCs w:val="19"/>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10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320" w:type="dxa"/>
            <w:vAlign w:val="bottom"/>
            <w:gridSpan w:val="5"/>
          </w:tcPr>
          <w:p>
            <w:pPr>
              <w:jc w:val="center"/>
              <w:ind w:right="120"/>
              <w:spacing w:after="0"/>
              <w:rPr>
                <w:sz w:val="20"/>
                <w:szCs w:val="20"/>
                <w:color w:val="auto"/>
              </w:rPr>
            </w:pPr>
            <w:r>
              <w:rPr>
                <w:rFonts w:ascii="Arial" w:cs="Arial" w:eastAsia="Arial" w:hAnsi="Arial"/>
                <w:sz w:val="18"/>
                <w:szCs w:val="18"/>
                <w:color w:val="0000FF"/>
                <w:w w:val="99"/>
              </w:rPr>
              <w:t>45</w:t>
            </w:r>
          </w:p>
        </w:tc>
        <w:tc>
          <w:tcPr>
            <w:tcW w:w="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4.</w:t>
            </w:r>
          </w:p>
        </w:tc>
        <w:tc>
          <w:tcPr>
            <w:tcW w:w="360" w:type="dxa"/>
            <w:vAlign w:val="bottom"/>
            <w:gridSpan w:val="2"/>
          </w:tcPr>
          <w:p>
            <w:pPr>
              <w:spacing w:after="0"/>
              <w:rPr>
                <w:sz w:val="19"/>
                <w:szCs w:val="19"/>
                <w:color w:val="auto"/>
              </w:rPr>
            </w:pPr>
          </w:p>
        </w:tc>
        <w:tc>
          <w:tcPr>
            <w:tcW w:w="470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3460" w:type="dxa"/>
            <w:vAlign w:val="bottom"/>
            <w:gridSpan w:val="4"/>
          </w:tcPr>
          <w:p>
            <w:pPr>
              <w:spacing w:after="0"/>
              <w:rPr>
                <w:sz w:val="19"/>
                <w:szCs w:val="19"/>
                <w:color w:val="auto"/>
              </w:rPr>
            </w:pPr>
          </w:p>
        </w:tc>
        <w:tc>
          <w:tcPr>
            <w:tcW w:w="1200" w:type="dxa"/>
            <w:vAlign w:val="bottom"/>
            <w:gridSpan w:val="2"/>
          </w:tcPr>
          <w:p>
            <w:pPr>
              <w:spacing w:after="0"/>
              <w:rPr>
                <w:sz w:val="19"/>
                <w:szCs w:val="19"/>
                <w:color w:val="auto"/>
              </w:rPr>
            </w:pPr>
          </w:p>
        </w:tc>
        <w:tc>
          <w:tcPr>
            <w:tcW w:w="320" w:type="dxa"/>
            <w:vAlign w:val="bottom"/>
            <w:gridSpan w:val="5"/>
          </w:tcPr>
          <w:p>
            <w:pPr>
              <w:jc w:val="center"/>
              <w:ind w:right="120"/>
              <w:spacing w:after="0"/>
              <w:rPr>
                <w:sz w:val="20"/>
                <w:szCs w:val="20"/>
                <w:color w:val="auto"/>
              </w:rPr>
            </w:pPr>
            <w:r>
              <w:rPr>
                <w:rFonts w:ascii="Arial" w:cs="Arial" w:eastAsia="Arial" w:hAnsi="Arial"/>
                <w:sz w:val="18"/>
                <w:szCs w:val="18"/>
                <w:color w:val="0000FF"/>
                <w:w w:val="99"/>
              </w:rPr>
              <w:t>46</w:t>
            </w:r>
          </w:p>
        </w:tc>
        <w:tc>
          <w:tcPr>
            <w:tcW w:w="300" w:type="dxa"/>
            <w:vAlign w:val="bottom"/>
          </w:tcPr>
          <w:p>
            <w:pPr>
              <w:spacing w:after="0"/>
              <w:rPr>
                <w:sz w:val="19"/>
                <w:szCs w:val="19"/>
                <w:color w:val="auto"/>
              </w:rPr>
            </w:pPr>
          </w:p>
        </w:tc>
      </w:tr>
      <w:tr>
        <w:trPr>
          <w:trHeight w:val="54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40" w:type="dxa"/>
            <w:vAlign w:val="bottom"/>
            <w:gridSpan w:val="8"/>
          </w:tcPr>
          <w:p>
            <w:pPr>
              <w:ind w:left="60"/>
              <w:spacing w:after="0"/>
              <w:rPr>
                <w:sz w:val="20"/>
                <w:szCs w:val="20"/>
                <w:color w:val="auto"/>
              </w:rPr>
            </w:pPr>
            <w:r>
              <w:rPr>
                <w:rFonts w:ascii="Arial" w:cs="Arial" w:eastAsia="Arial" w:hAnsi="Arial"/>
                <w:sz w:val="18"/>
                <w:szCs w:val="18"/>
                <w:b w:val="1"/>
                <w:bCs w:val="1"/>
                <w:color w:val="auto"/>
              </w:rPr>
              <w:t>Part II - Other Information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0000FF"/>
              </w:rPr>
              <w:t>Item 1.</w:t>
            </w:r>
          </w:p>
        </w:tc>
        <w:tc>
          <w:tcPr>
            <w:tcW w:w="360" w:type="dxa"/>
            <w:vAlign w:val="bottom"/>
            <w:gridSpan w:val="2"/>
          </w:tcPr>
          <w:p>
            <w:pPr>
              <w:spacing w:after="0"/>
              <w:rPr>
                <w:sz w:val="16"/>
                <w:szCs w:val="16"/>
                <w:color w:val="auto"/>
              </w:rPr>
            </w:pPr>
          </w:p>
        </w:tc>
        <w:tc>
          <w:tcPr>
            <w:tcW w:w="8160" w:type="dxa"/>
            <w:vAlign w:val="bottom"/>
            <w:gridSpan w:val="18"/>
          </w:tcPr>
          <w:p>
            <w:pPr>
              <w:spacing w:after="0" w:line="195" w:lineRule="exact"/>
              <w:rPr>
                <w:sz w:val="20"/>
                <w:szCs w:val="20"/>
                <w:color w:val="auto"/>
              </w:rPr>
            </w:pPr>
            <w:r>
              <w:rPr>
                <w:rFonts w:ascii="Arial" w:cs="Arial" w:eastAsia="Arial" w:hAnsi="Arial"/>
                <w:sz w:val="18"/>
                <w:szCs w:val="18"/>
                <w:color w:val="0000FF"/>
              </w:rPr>
              <w:t>Legal Proceedings</w:t>
            </w:r>
          </w:p>
        </w:tc>
        <w:tc>
          <w:tcPr>
            <w:tcW w:w="1520" w:type="dxa"/>
            <w:vAlign w:val="bottom"/>
            <w:gridSpan w:val="7"/>
          </w:tcPr>
          <w:p>
            <w:pPr>
              <w:jc w:val="center"/>
              <w:ind w:left="990"/>
              <w:spacing w:after="0" w:line="195" w:lineRule="exact"/>
              <w:rPr>
                <w:sz w:val="20"/>
                <w:szCs w:val="20"/>
                <w:color w:val="auto"/>
              </w:rPr>
            </w:pPr>
            <w:r>
              <w:rPr>
                <w:rFonts w:ascii="Arial" w:cs="Arial" w:eastAsia="Arial" w:hAnsi="Arial"/>
                <w:sz w:val="18"/>
                <w:szCs w:val="18"/>
                <w:color w:val="0000FF"/>
                <w:w w:val="99"/>
              </w:rPr>
              <w:t>47</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0000FF"/>
                <w:w w:val="92"/>
              </w:rPr>
              <w:t>Item 1A.</w:t>
            </w:r>
          </w:p>
        </w:tc>
        <w:tc>
          <w:tcPr>
            <w:tcW w:w="30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0000FF"/>
                <w:w w:val="97"/>
              </w:rPr>
              <w:t>Risk Factors</w:t>
            </w:r>
          </w:p>
        </w:tc>
        <w:tc>
          <w:tcPr>
            <w:tcW w:w="7160" w:type="dxa"/>
            <w:vAlign w:val="bottom"/>
            <w:gridSpan w:val="15"/>
          </w:tcPr>
          <w:p>
            <w:pPr>
              <w:spacing w:after="0"/>
              <w:rPr>
                <w:sz w:val="19"/>
                <w:szCs w:val="19"/>
                <w:color w:val="auto"/>
              </w:rPr>
            </w:pPr>
          </w:p>
        </w:tc>
        <w:tc>
          <w:tcPr>
            <w:tcW w:w="1200" w:type="dxa"/>
            <w:vAlign w:val="bottom"/>
            <w:gridSpan w:val="2"/>
          </w:tcPr>
          <w:p>
            <w:pPr>
              <w:spacing w:after="0"/>
              <w:rPr>
                <w:sz w:val="19"/>
                <w:szCs w:val="19"/>
                <w:color w:val="auto"/>
              </w:rPr>
            </w:pPr>
          </w:p>
        </w:tc>
        <w:tc>
          <w:tcPr>
            <w:tcW w:w="320" w:type="dxa"/>
            <w:vAlign w:val="bottom"/>
            <w:gridSpan w:val="5"/>
          </w:tcPr>
          <w:p>
            <w:pPr>
              <w:jc w:val="center"/>
              <w:ind w:right="120"/>
              <w:spacing w:after="0"/>
              <w:rPr>
                <w:sz w:val="20"/>
                <w:szCs w:val="20"/>
                <w:color w:val="auto"/>
              </w:rPr>
            </w:pPr>
            <w:r>
              <w:rPr>
                <w:rFonts w:ascii="Arial" w:cs="Arial" w:eastAsia="Arial" w:hAnsi="Arial"/>
                <w:sz w:val="18"/>
                <w:szCs w:val="18"/>
                <w:color w:val="0000FF"/>
                <w:w w:val="99"/>
              </w:rPr>
              <w:t>47</w:t>
            </w:r>
          </w:p>
        </w:tc>
        <w:tc>
          <w:tcPr>
            <w:tcW w:w="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8"/>
                <w:szCs w:val="18"/>
                <w:color w:val="0000FF"/>
              </w:rPr>
              <w:t>Item 2.</w:t>
            </w:r>
          </w:p>
        </w:tc>
        <w:tc>
          <w:tcPr>
            <w:tcW w:w="300" w:type="dxa"/>
            <w:vAlign w:val="bottom"/>
          </w:tcPr>
          <w:p>
            <w:pPr>
              <w:spacing w:after="0"/>
              <w:rPr>
                <w:sz w:val="19"/>
                <w:szCs w:val="19"/>
                <w:color w:val="auto"/>
              </w:rPr>
            </w:pPr>
          </w:p>
        </w:tc>
        <w:tc>
          <w:tcPr>
            <w:tcW w:w="816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520" w:type="dxa"/>
            <w:vAlign w:val="bottom"/>
            <w:gridSpan w:val="7"/>
          </w:tcPr>
          <w:p>
            <w:pPr>
              <w:jc w:val="center"/>
              <w:ind w:left="990"/>
              <w:spacing w:after="0"/>
              <w:rPr>
                <w:sz w:val="20"/>
                <w:szCs w:val="20"/>
                <w:color w:val="auto"/>
              </w:rPr>
            </w:pPr>
            <w:r>
              <w:rPr>
                <w:rFonts w:ascii="Arial" w:cs="Arial" w:eastAsia="Arial" w:hAnsi="Arial"/>
                <w:sz w:val="18"/>
                <w:szCs w:val="18"/>
                <w:color w:val="0000FF"/>
                <w:w w:val="99"/>
              </w:rPr>
              <w:t>49</w:t>
            </w:r>
          </w:p>
        </w:tc>
        <w:tc>
          <w:tcPr>
            <w:tcW w:w="3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top w:val="single" w:sz="8" w:color="0000FF"/>
            </w:tcBorders>
            <w:gridSpan w:val="3"/>
          </w:tcPr>
          <w:p>
            <w:pPr>
              <w:jc w:val="center"/>
              <w:ind w:right="360"/>
              <w:spacing w:after="0"/>
              <w:rPr>
                <w:sz w:val="20"/>
                <w:szCs w:val="20"/>
                <w:color w:val="auto"/>
              </w:rPr>
            </w:pPr>
            <w:r>
              <w:rPr>
                <w:rFonts w:ascii="Arial" w:cs="Arial" w:eastAsia="Arial" w:hAnsi="Arial"/>
                <w:sz w:val="18"/>
                <w:szCs w:val="18"/>
                <w:color w:val="0000FF"/>
              </w:rPr>
              <w:t>Item 3.</w:t>
            </w:r>
          </w:p>
        </w:tc>
        <w:tc>
          <w:tcPr>
            <w:tcW w:w="486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Defaults Upon Senior Securities</w:t>
            </w:r>
          </w:p>
        </w:tc>
        <w:tc>
          <w:tcPr>
            <w:tcW w:w="3300" w:type="dxa"/>
            <w:vAlign w:val="bottom"/>
            <w:gridSpan w:val="3"/>
          </w:tcPr>
          <w:p>
            <w:pPr>
              <w:spacing w:after="0"/>
              <w:rPr>
                <w:sz w:val="19"/>
                <w:szCs w:val="19"/>
                <w:color w:val="auto"/>
              </w:rPr>
            </w:pPr>
          </w:p>
        </w:tc>
        <w:tc>
          <w:tcPr>
            <w:tcW w:w="1520" w:type="dxa"/>
            <w:vAlign w:val="bottom"/>
            <w:gridSpan w:val="7"/>
          </w:tcPr>
          <w:p>
            <w:pPr>
              <w:jc w:val="center"/>
              <w:ind w:left="990"/>
              <w:spacing w:after="0"/>
              <w:rPr>
                <w:sz w:val="20"/>
                <w:szCs w:val="20"/>
                <w:color w:val="auto"/>
              </w:rPr>
            </w:pPr>
            <w:r>
              <w:rPr>
                <w:rFonts w:ascii="Arial" w:cs="Arial" w:eastAsia="Arial" w:hAnsi="Arial"/>
                <w:sz w:val="18"/>
                <w:szCs w:val="18"/>
                <w:color w:val="0000FF"/>
                <w:w w:val="99"/>
              </w:rPr>
              <w:t>50</w:t>
            </w:r>
          </w:p>
        </w:tc>
        <w:tc>
          <w:tcPr>
            <w:tcW w:w="3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0000FF"/>
            </w:tcBorders>
          </w:tcPr>
          <w:p>
            <w:pPr>
              <w:jc w:val="center"/>
              <w:spacing w:after="0"/>
              <w:rPr>
                <w:sz w:val="20"/>
                <w:szCs w:val="20"/>
                <w:color w:val="auto"/>
              </w:rPr>
            </w:pPr>
            <w:r>
              <w:rPr>
                <w:rFonts w:ascii="Arial" w:cs="Arial" w:eastAsia="Arial" w:hAnsi="Arial"/>
                <w:sz w:val="18"/>
                <w:szCs w:val="18"/>
                <w:color w:val="0000FF"/>
              </w:rPr>
              <w:t>Item 4.</w:t>
            </w:r>
          </w:p>
        </w:tc>
        <w:tc>
          <w:tcPr>
            <w:tcW w:w="360" w:type="dxa"/>
            <w:vAlign w:val="bottom"/>
            <w:tcBorders>
              <w:top w:val="single" w:sz="8" w:color="0000FF"/>
            </w:tcBorders>
            <w:gridSpan w:val="2"/>
          </w:tcPr>
          <w:p>
            <w:pPr>
              <w:spacing w:after="0"/>
              <w:rPr>
                <w:sz w:val="19"/>
                <w:szCs w:val="19"/>
                <w:color w:val="auto"/>
              </w:rPr>
            </w:pPr>
          </w:p>
        </w:tc>
        <w:tc>
          <w:tcPr>
            <w:tcW w:w="25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Mine Safety Disclosures</w:t>
            </w:r>
          </w:p>
        </w:tc>
        <w:tc>
          <w:tcPr>
            <w:tcW w:w="5620" w:type="dxa"/>
            <w:vAlign w:val="bottom"/>
            <w:gridSpan w:val="9"/>
          </w:tcPr>
          <w:p>
            <w:pPr>
              <w:spacing w:after="0"/>
              <w:rPr>
                <w:sz w:val="19"/>
                <w:szCs w:val="19"/>
                <w:color w:val="auto"/>
              </w:rPr>
            </w:pPr>
          </w:p>
        </w:tc>
        <w:tc>
          <w:tcPr>
            <w:tcW w:w="1520" w:type="dxa"/>
            <w:vAlign w:val="bottom"/>
            <w:gridSpan w:val="7"/>
          </w:tcPr>
          <w:p>
            <w:pPr>
              <w:jc w:val="center"/>
              <w:ind w:left="990"/>
              <w:spacing w:after="0"/>
              <w:rPr>
                <w:sz w:val="20"/>
                <w:szCs w:val="20"/>
                <w:color w:val="auto"/>
              </w:rPr>
            </w:pPr>
            <w:r>
              <w:rPr>
                <w:rFonts w:ascii="Arial" w:cs="Arial" w:eastAsia="Arial" w:hAnsi="Arial"/>
                <w:sz w:val="18"/>
                <w:szCs w:val="18"/>
                <w:color w:val="0000FF"/>
                <w:w w:val="99"/>
              </w:rPr>
              <w:t>50</w:t>
            </w:r>
          </w:p>
        </w:tc>
        <w:tc>
          <w:tcPr>
            <w:tcW w:w="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40" w:type="dxa"/>
            <w:vAlign w:val="bottom"/>
            <w:gridSpan w:val="1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5.</w:t>
            </w:r>
          </w:p>
        </w:tc>
        <w:tc>
          <w:tcPr>
            <w:tcW w:w="360" w:type="dxa"/>
            <w:vAlign w:val="bottom"/>
            <w:gridSpan w:val="2"/>
          </w:tcPr>
          <w:p>
            <w:pPr>
              <w:spacing w:after="0"/>
              <w:rPr>
                <w:sz w:val="19"/>
                <w:szCs w:val="19"/>
                <w:color w:val="auto"/>
              </w:rPr>
            </w:pPr>
          </w:p>
        </w:tc>
        <w:tc>
          <w:tcPr>
            <w:tcW w:w="1400" w:type="dxa"/>
            <w:vAlign w:val="bottom"/>
            <w:gridSpan w:val="4"/>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2"/>
          </w:tcPr>
          <w:p>
            <w:pPr>
              <w:spacing w:after="0"/>
              <w:rPr>
                <w:sz w:val="19"/>
                <w:szCs w:val="19"/>
                <w:color w:val="auto"/>
              </w:rPr>
            </w:pPr>
          </w:p>
        </w:tc>
        <w:tc>
          <w:tcPr>
            <w:tcW w:w="6240" w:type="dxa"/>
            <w:vAlign w:val="bottom"/>
            <w:gridSpan w:val="12"/>
          </w:tcPr>
          <w:p>
            <w:pPr>
              <w:spacing w:after="0"/>
              <w:rPr>
                <w:sz w:val="19"/>
                <w:szCs w:val="19"/>
                <w:color w:val="auto"/>
              </w:rPr>
            </w:pPr>
          </w:p>
        </w:tc>
        <w:tc>
          <w:tcPr>
            <w:tcW w:w="1200" w:type="dxa"/>
            <w:vAlign w:val="bottom"/>
            <w:gridSpan w:val="2"/>
          </w:tcPr>
          <w:p>
            <w:pPr>
              <w:spacing w:after="0"/>
              <w:rPr>
                <w:sz w:val="19"/>
                <w:szCs w:val="19"/>
                <w:color w:val="auto"/>
              </w:rPr>
            </w:pPr>
          </w:p>
        </w:tc>
        <w:tc>
          <w:tcPr>
            <w:tcW w:w="320" w:type="dxa"/>
            <w:vAlign w:val="bottom"/>
            <w:gridSpan w:val="5"/>
          </w:tcPr>
          <w:p>
            <w:pPr>
              <w:jc w:val="center"/>
              <w:ind w:right="120"/>
              <w:spacing w:after="0"/>
              <w:rPr>
                <w:sz w:val="20"/>
                <w:szCs w:val="20"/>
                <w:color w:val="auto"/>
              </w:rPr>
            </w:pPr>
            <w:r>
              <w:rPr>
                <w:rFonts w:ascii="Arial" w:cs="Arial" w:eastAsia="Arial" w:hAnsi="Arial"/>
                <w:sz w:val="18"/>
                <w:szCs w:val="18"/>
                <w:color w:val="0000FF"/>
                <w:w w:val="99"/>
              </w:rPr>
              <w:t>50</w:t>
            </w:r>
          </w:p>
        </w:tc>
        <w:tc>
          <w:tcPr>
            <w:tcW w:w="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760" w:type="dxa"/>
            <w:vAlign w:val="bottom"/>
            <w:gridSpan w:val="1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6.</w:t>
            </w:r>
          </w:p>
        </w:tc>
        <w:tc>
          <w:tcPr>
            <w:tcW w:w="360" w:type="dxa"/>
            <w:vAlign w:val="bottom"/>
            <w:gridSpan w:val="2"/>
          </w:tcPr>
          <w:p>
            <w:pPr>
              <w:spacing w:after="0"/>
              <w:rPr>
                <w:sz w:val="19"/>
                <w:szCs w:val="19"/>
                <w:color w:val="auto"/>
              </w:rPr>
            </w:pPr>
          </w:p>
        </w:tc>
        <w:tc>
          <w:tcPr>
            <w:tcW w:w="140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6760" w:type="dxa"/>
            <w:vAlign w:val="bottom"/>
            <w:gridSpan w:val="14"/>
          </w:tcPr>
          <w:p>
            <w:pPr>
              <w:spacing w:after="0"/>
              <w:rPr>
                <w:sz w:val="19"/>
                <w:szCs w:val="19"/>
                <w:color w:val="auto"/>
              </w:rPr>
            </w:pPr>
          </w:p>
        </w:tc>
        <w:tc>
          <w:tcPr>
            <w:tcW w:w="1200" w:type="dxa"/>
            <w:vAlign w:val="bottom"/>
            <w:gridSpan w:val="2"/>
          </w:tcPr>
          <w:p>
            <w:pPr>
              <w:spacing w:after="0"/>
              <w:rPr>
                <w:sz w:val="19"/>
                <w:szCs w:val="19"/>
                <w:color w:val="auto"/>
              </w:rPr>
            </w:pPr>
          </w:p>
        </w:tc>
        <w:tc>
          <w:tcPr>
            <w:tcW w:w="320" w:type="dxa"/>
            <w:vAlign w:val="bottom"/>
            <w:gridSpan w:val="5"/>
          </w:tcPr>
          <w:p>
            <w:pPr>
              <w:jc w:val="center"/>
              <w:ind w:right="120"/>
              <w:spacing w:after="0"/>
              <w:rPr>
                <w:sz w:val="20"/>
                <w:szCs w:val="20"/>
                <w:color w:val="auto"/>
              </w:rPr>
            </w:pPr>
            <w:r>
              <w:rPr>
                <w:rFonts w:ascii="Arial" w:cs="Arial" w:eastAsia="Arial" w:hAnsi="Arial"/>
                <w:sz w:val="18"/>
                <w:szCs w:val="18"/>
                <w:color w:val="0000FF"/>
                <w:w w:val="99"/>
              </w:rPr>
              <w:t>51</w:t>
            </w:r>
          </w:p>
        </w:tc>
        <w:tc>
          <w:tcPr>
            <w:tcW w:w="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00" w:type="dxa"/>
            <w:vAlign w:val="bottom"/>
            <w:gridSpan w:val="16"/>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w w:val="97"/>
              </w:rPr>
              <w:t>Signatures</w:t>
            </w:r>
          </w:p>
        </w:tc>
        <w:tc>
          <w:tcPr>
            <w:tcW w:w="7300" w:type="dxa"/>
            <w:vAlign w:val="bottom"/>
            <w:gridSpan w:val="16"/>
          </w:tcPr>
          <w:p>
            <w:pPr>
              <w:spacing w:after="0"/>
              <w:rPr>
                <w:sz w:val="19"/>
                <w:szCs w:val="19"/>
                <w:color w:val="auto"/>
              </w:rPr>
            </w:pPr>
          </w:p>
        </w:tc>
        <w:tc>
          <w:tcPr>
            <w:tcW w:w="1200" w:type="dxa"/>
            <w:vAlign w:val="bottom"/>
            <w:gridSpan w:val="2"/>
          </w:tcPr>
          <w:p>
            <w:pPr>
              <w:spacing w:after="0"/>
              <w:rPr>
                <w:sz w:val="19"/>
                <w:szCs w:val="19"/>
                <w:color w:val="auto"/>
              </w:rPr>
            </w:pPr>
          </w:p>
        </w:tc>
        <w:tc>
          <w:tcPr>
            <w:tcW w:w="320" w:type="dxa"/>
            <w:vAlign w:val="bottom"/>
            <w:gridSpan w:val="5"/>
          </w:tcPr>
          <w:p>
            <w:pPr>
              <w:jc w:val="center"/>
              <w:ind w:right="120"/>
              <w:spacing w:after="0"/>
              <w:rPr>
                <w:sz w:val="20"/>
                <w:szCs w:val="20"/>
                <w:color w:val="auto"/>
              </w:rPr>
            </w:pPr>
            <w:r>
              <w:rPr>
                <w:rFonts w:ascii="Arial" w:cs="Arial" w:eastAsia="Arial" w:hAnsi="Arial"/>
                <w:sz w:val="18"/>
                <w:szCs w:val="18"/>
                <w:color w:val="0000FF"/>
                <w:w w:val="99"/>
              </w:rPr>
              <w:t>52</w:t>
            </w:r>
          </w:p>
        </w:tc>
        <w:tc>
          <w:tcPr>
            <w:tcW w:w="300" w:type="dxa"/>
            <w:vAlign w:val="bottom"/>
          </w:tcPr>
          <w:p>
            <w:pPr>
              <w:spacing w:after="0"/>
              <w:rPr>
                <w:sz w:val="19"/>
                <w:szCs w:val="19"/>
                <w:color w:val="auto"/>
              </w:rPr>
            </w:pPr>
          </w:p>
        </w:tc>
      </w:tr>
      <w:tr>
        <w:trPr>
          <w:trHeight w:val="79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0000FF"/>
            </w:tcBorders>
            <w:gridSpan w:val="2"/>
          </w:tcPr>
          <w:p>
            <w:pPr>
              <w:spacing w:after="0"/>
              <w:rPr>
                <w:sz w:val="24"/>
                <w:szCs w:val="24"/>
                <w:color w:val="auto"/>
              </w:rPr>
            </w:pPr>
          </w:p>
        </w:tc>
        <w:tc>
          <w:tcPr>
            <w:tcW w:w="3600" w:type="dxa"/>
            <w:vAlign w:val="bottom"/>
            <w:gridSpan w:val="11"/>
          </w:tcPr>
          <w:p>
            <w:pPr>
              <w:jc w:val="right"/>
              <w:ind w:right="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4"/>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7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uncertainties related to U.S. and global economies and the effect on our business, results of operations, and financial condition;</w:t>
      </w:r>
    </w:p>
    <w:p>
      <w:pPr>
        <w:spacing w:after="0" w:line="63" w:lineRule="exact"/>
        <w:rPr>
          <w:rFonts w:ascii="Arial" w:cs="Arial" w:eastAsia="Arial" w:hAnsi="Arial"/>
          <w:sz w:val="18"/>
          <w:szCs w:val="18"/>
          <w:i w:val="1"/>
          <w:iCs w:val="1"/>
          <w:color w:val="auto"/>
        </w:rPr>
      </w:pPr>
    </w:p>
    <w:p>
      <w:pPr>
        <w:ind w:left="660" w:hanging="328"/>
        <w:spacing w:after="0" w:line="281" w:lineRule="auto"/>
        <w:tabs>
          <w:tab w:leader="none" w:pos="64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and any fluctuations in such performance, including our net revenue, costs of revenue, gross profit, and operating expenses, and our ability to achieve future profitability;</w:t>
      </w:r>
    </w:p>
    <w:p>
      <w:pPr>
        <w:spacing w:after="0" w:line="1"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and scale new products and services, such as our credit card platform;</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expand our operations;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enhance our platform and services and develop and expand our capabilities;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further attract, retain, diversify, and expand our customer base;</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our relationships with Issuing Banks, Card Networks, and the other third parties with which we work;</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to expand internationally;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past and future acquisitions, investments, and other strategic investments;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compete in existing and new markets and offerings;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social, and/or economic instability or military conflict;</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and protect our brand;</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or developments in laws and regulations and our ability to comply with laws and regulations;</w:t>
      </w:r>
    </w:p>
    <w:p>
      <w:pPr>
        <w:spacing w:after="0" w:line="63" w:lineRule="exact"/>
        <w:rPr>
          <w:rFonts w:ascii="Arial" w:cs="Arial" w:eastAsia="Arial" w:hAnsi="Arial"/>
          <w:sz w:val="18"/>
          <w:szCs w:val="18"/>
          <w:i w:val="1"/>
          <w:iCs w:val="1"/>
          <w:color w:val="auto"/>
        </w:rPr>
      </w:pPr>
    </w:p>
    <w:p>
      <w:pPr>
        <w:ind w:left="660" w:right="620" w:hanging="328"/>
        <w:spacing w:after="0" w:line="281" w:lineRule="auto"/>
        <w:tabs>
          <w:tab w:leader="none" w:pos="64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our expectations regarding our income tax liabilities, including any changes regarding foreign taxes, realizability of deferred tax assets, valuation allowances, and the adequacy of our reserves;</w:t>
      </w:r>
    </w:p>
    <w:p>
      <w:pPr>
        <w:spacing w:after="0" w:line="1"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defend litigation brought against us;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repurchase shares under authorized share repurchase programs and receive expected financial benefits; and</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effective disclosure controls and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both"/>
        <w:spacing w:after="0" w:line="252" w:lineRule="auto"/>
        <w:rPr>
          <w:sz w:val="20"/>
          <w:szCs w:val="20"/>
          <w:color w:val="auto"/>
        </w:rPr>
      </w:pPr>
      <w:r>
        <w:rPr>
          <w:rFonts w:ascii="Arial" w:cs="Arial" w:eastAsia="Arial" w:hAnsi="Arial"/>
          <w:sz w:val="18"/>
          <w:szCs w:val="18"/>
          <w:i w:val="1"/>
          <w:iCs w:val="1"/>
          <w:color w:val="auto"/>
        </w:rPr>
        <w:t>We caution you that the foregoing list may not contain all of the forward-looking statements made in this Quarterly Report on Form 10-Q. 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or incorporated by reference in the sections titled “Risk Factors” in our most recently filed Annual Report on Form 10-K for the fiscal year ended December 31, 2025 (the “2025 Annual Report”), as updated by our Quarterly Report on Form 10-Q filed with the SEC on May 5, 2026, and as may be updated from time to time by this Quarterly Report on Form 10-Q or other quarterly or periodic filings.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Unless otherwise indicated or unless the context requires otherwise, all references in this document to “Marqeta”, the “Company”, the “Registrant,” “we”, “us”, “our”, or similar references are to Marqeta, Inc. Capitalized terms used and not defined above are defined elsewhere within this Quarterly Report on Form 10-Q.</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24"/>
              <w:spacing w:after="0"/>
              <w:rPr>
                <w:sz w:val="20"/>
                <w:szCs w:val="20"/>
                <w:color w:val="auto"/>
              </w:rPr>
            </w:pPr>
            <w:r>
              <w:rPr>
                <w:rFonts w:ascii="Arial" w:cs="Arial" w:eastAsia="Arial" w:hAnsi="Arial"/>
                <w:sz w:val="13"/>
                <w:szCs w:val="13"/>
                <w:b w:val="1"/>
                <w:bCs w:val="1"/>
                <w:color w:val="auto"/>
              </w:rPr>
              <w:t>December 31,</w:t>
            </w:r>
          </w:p>
        </w:tc>
      </w:tr>
      <w:tr>
        <w:trPr>
          <w:trHeight w:val="183"/>
        </w:trPr>
        <w:tc>
          <w:tcPr>
            <w:tcW w:w="8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2025</w:t>
            </w:r>
          </w:p>
        </w:tc>
      </w:tr>
      <w:tr>
        <w:trPr>
          <w:trHeight w:val="203"/>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697,464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709,443</w:t>
            </w:r>
          </w:p>
        </w:tc>
      </w:tr>
      <w:tr>
        <w:trPr>
          <w:trHeight w:val="213"/>
        </w:trPr>
        <w:tc>
          <w:tcPr>
            <w:tcW w:w="8280" w:type="dxa"/>
            <w:vAlign w:val="bottom"/>
          </w:tcPr>
          <w:p>
            <w:pPr>
              <w:ind w:left="14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265,445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307,593</w:t>
            </w:r>
          </w:p>
        </w:tc>
      </w:tr>
      <w:tr>
        <w:trPr>
          <w:trHeight w:val="259"/>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Short-term investments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62,483</w:t>
            </w:r>
          </w:p>
        </w:tc>
      </w:tr>
      <w:tr>
        <w:trPr>
          <w:trHeight w:val="213"/>
        </w:trPr>
        <w:tc>
          <w:tcPr>
            <w:tcW w:w="8280" w:type="dxa"/>
            <w:vAlign w:val="bottom"/>
          </w:tcPr>
          <w:p>
            <w:pPr>
              <w:ind w:left="14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40,432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41,422</w:t>
            </w:r>
          </w:p>
        </w:tc>
      </w:tr>
      <w:tr>
        <w:trPr>
          <w:trHeight w:val="259"/>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Network incentives receivable</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49,947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61,059</w:t>
            </w:r>
          </w:p>
        </w:tc>
      </w:tr>
      <w:tr>
        <w:trPr>
          <w:trHeight w:val="213"/>
        </w:trPr>
        <w:tc>
          <w:tcPr>
            <w:tcW w:w="8280" w:type="dxa"/>
            <w:vAlign w:val="bottom"/>
          </w:tcPr>
          <w:p>
            <w:pPr>
              <w:ind w:left="140"/>
              <w:spacing w:after="0"/>
              <w:rPr>
                <w:sz w:val="20"/>
                <w:szCs w:val="20"/>
                <w:color w:val="auto"/>
              </w:rPr>
            </w:pPr>
            <w:r>
              <w:rPr>
                <w:rFonts w:ascii="Arial" w:cs="Arial" w:eastAsia="Arial" w:hAnsi="Arial"/>
                <w:sz w:val="15"/>
                <w:szCs w:val="15"/>
                <w:color w:val="auto"/>
              </w:rPr>
              <w:t>Settlements receivable, net</w:t>
            </w: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23,526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18,037</w:t>
            </w:r>
          </w:p>
        </w:tc>
      </w:tr>
      <w:tr>
        <w:trPr>
          <w:trHeight w:val="216"/>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30,664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35,278</w:t>
            </w:r>
          </w:p>
        </w:tc>
      </w:tr>
      <w:tr>
        <w:trPr>
          <w:trHeight w:val="210"/>
        </w:trPr>
        <w:tc>
          <w:tcPr>
            <w:tcW w:w="8280" w:type="dxa"/>
            <w:vAlign w:val="bottom"/>
          </w:tcPr>
          <w:p>
            <w:pPr>
              <w:ind w:left="20"/>
              <w:spacing w:after="0"/>
              <w:rPr>
                <w:sz w:val="20"/>
                <w:szCs w:val="20"/>
                <w:color w:val="auto"/>
              </w:rPr>
            </w:pPr>
            <w:r>
              <w:rPr>
                <w:rFonts w:ascii="Arial" w:cs="Arial" w:eastAsia="Arial" w:hAnsi="Arial"/>
                <w:sz w:val="15"/>
                <w:szCs w:val="15"/>
                <w:color w:val="auto"/>
              </w:rPr>
              <w:t>Total current assets</w:t>
            </w: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1,108,189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1,235,315</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69,616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59,910</w:t>
            </w:r>
          </w:p>
        </w:tc>
      </w:tr>
      <w:tr>
        <w:trPr>
          <w:trHeight w:val="213"/>
        </w:trPr>
        <w:tc>
          <w:tcPr>
            <w:tcW w:w="8280" w:type="dxa"/>
            <w:vAlign w:val="bottom"/>
          </w:tcPr>
          <w:p>
            <w:pPr>
              <w:ind w:left="20"/>
              <w:spacing w:after="0"/>
              <w:rPr>
                <w:sz w:val="20"/>
                <w:szCs w:val="20"/>
                <w:color w:val="auto"/>
              </w:rPr>
            </w:pPr>
            <w:r>
              <w:rPr>
                <w:rFonts w:ascii="Arial" w:cs="Arial" w:eastAsia="Arial" w:hAnsi="Arial"/>
                <w:sz w:val="15"/>
                <w:szCs w:val="15"/>
                <w:color w:val="auto"/>
              </w:rPr>
              <w:t>Operating lease right-of-use assets, net</w:t>
            </w: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6,116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8,275</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43,468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51,388</w:t>
            </w:r>
          </w:p>
        </w:tc>
      </w:tr>
      <w:tr>
        <w:trPr>
          <w:trHeight w:val="213"/>
        </w:trPr>
        <w:tc>
          <w:tcPr>
            <w:tcW w:w="8280" w:type="dxa"/>
            <w:vAlign w:val="bottom"/>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153,602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154,706</w:t>
            </w: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120,851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15,439</w:t>
            </w:r>
          </w:p>
        </w:tc>
      </w:tr>
      <w:tr>
        <w:trPr>
          <w:trHeight w:val="213"/>
        </w:trPr>
        <w:tc>
          <w:tcPr>
            <w:tcW w:w="828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1,501,842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1,525,033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1,847</w:t>
            </w:r>
          </w:p>
        </w:tc>
      </w:tr>
      <w:tr>
        <w:trPr>
          <w:trHeight w:val="213"/>
        </w:trPr>
        <w:tc>
          <w:tcPr>
            <w:tcW w:w="8280" w:type="dxa"/>
            <w:vAlign w:val="bottom"/>
          </w:tcPr>
          <w:p>
            <w:pPr>
              <w:ind w:left="140"/>
              <w:spacing w:after="0"/>
              <w:rPr>
                <w:sz w:val="20"/>
                <w:szCs w:val="20"/>
                <w:color w:val="auto"/>
              </w:rPr>
            </w:pPr>
            <w:r>
              <w:rPr>
                <w:rFonts w:ascii="Arial" w:cs="Arial" w:eastAsia="Arial" w:hAnsi="Arial"/>
                <w:sz w:val="15"/>
                <w:szCs w:val="15"/>
                <w:color w:val="auto"/>
              </w:rPr>
              <w:t>Revenue share payable</w:t>
            </w: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217,038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224,526</w:t>
            </w:r>
          </w:p>
        </w:tc>
      </w:tr>
      <w:tr>
        <w:trPr>
          <w:trHeight w:val="327"/>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Funds payable and amounts due to customers</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265,344</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306,891</w:t>
            </w:r>
          </w:p>
        </w:tc>
      </w:tr>
      <w:tr>
        <w:trPr>
          <w:trHeight w:val="213"/>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Accrued expenses and other current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167,669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215,793</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current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651,284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749,057</w:t>
            </w:r>
          </w:p>
        </w:tc>
      </w:tr>
      <w:tr>
        <w:trPr>
          <w:trHeight w:val="213"/>
        </w:trPr>
        <w:tc>
          <w:tcPr>
            <w:tcW w:w="8280" w:type="dxa"/>
            <w:vAlign w:val="bottom"/>
          </w:tcPr>
          <w:p>
            <w:pPr>
              <w:ind w:left="20"/>
              <w:spacing w:after="0"/>
              <w:rPr>
                <w:sz w:val="20"/>
                <w:szCs w:val="20"/>
                <w:color w:val="auto"/>
              </w:rPr>
            </w:pPr>
            <w:r>
              <w:rPr>
                <w:rFonts w:ascii="Arial" w:cs="Arial" w:eastAsia="Arial" w:hAnsi="Arial"/>
                <w:sz w:val="15"/>
                <w:szCs w:val="15"/>
                <w:color w:val="auto"/>
              </w:rPr>
              <w:t>Operating lease liabilities, net of current portion</w:t>
            </w: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3,478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5,535</w:t>
            </w: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10,411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8,484</w:t>
            </w:r>
          </w:p>
        </w:tc>
      </w:tr>
      <w:tr>
        <w:trPr>
          <w:trHeight w:val="20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665,173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763,076</w:t>
            </w:r>
          </w:p>
        </w:tc>
      </w:tr>
      <w:tr>
        <w:trPr>
          <w:trHeight w:val="199"/>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 (Note 9)</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8280" w:type="dxa"/>
            <w:vAlign w:val="bottom"/>
          </w:tcPr>
          <w:p>
            <w:pPr>
              <w:ind w:left="20"/>
              <w:spacing w:after="0" w:line="216" w:lineRule="exact"/>
              <w:rPr>
                <w:sz w:val="20"/>
                <w:szCs w:val="20"/>
                <w:color w:val="auto"/>
              </w:rPr>
            </w:pPr>
            <w:r>
              <w:rPr>
                <w:rFonts w:ascii="Arial" w:cs="Arial" w:eastAsia="Arial" w:hAnsi="Arial"/>
                <w:sz w:val="15"/>
                <w:szCs w:val="15"/>
                <w:color w:val="auto"/>
              </w:rPr>
              <w:t xml:space="preserve">Stockholders’ equity: </w:t>
            </w:r>
            <w:r>
              <w:rPr>
                <w:rFonts w:ascii="Arial" w:cs="Arial" w:eastAsia="Arial" w:hAnsi="Arial"/>
                <w:sz w:val="19"/>
                <w:szCs w:val="19"/>
                <w:color w:val="auto"/>
                <w:vertAlign w:val="superscript"/>
              </w:rPr>
              <w:t>(1)</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stock, $0.0001 par value; 25,000 and 25,000 shares authorized, no shares issued and outstanding as of</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 30, 2026 and December 31, 2025, respectively</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8280" w:type="dxa"/>
            <w:vAlign w:val="bottom"/>
          </w:tcPr>
          <w:p>
            <w:pPr>
              <w:ind w:left="20"/>
              <w:spacing w:after="0"/>
              <w:rPr>
                <w:sz w:val="20"/>
                <w:szCs w:val="20"/>
                <w:color w:val="auto"/>
              </w:rPr>
            </w:pPr>
            <w:r>
              <w:rPr>
                <w:rFonts w:ascii="Arial" w:cs="Arial" w:eastAsia="Arial" w:hAnsi="Arial"/>
                <w:sz w:val="15"/>
                <w:szCs w:val="15"/>
                <w:color w:val="auto"/>
              </w:rPr>
              <w:t>Common stock, $0.0001 par value: 375,000 and 375,000 Class A shares authorized, 96,288 and 99,848 shares issued</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5"/>
        </w:trPr>
        <w:tc>
          <w:tcPr>
            <w:tcW w:w="8280" w:type="dxa"/>
            <w:vAlign w:val="bottom"/>
          </w:tcPr>
          <w:p>
            <w:pPr>
              <w:ind w:left="20"/>
              <w:spacing w:after="0"/>
              <w:rPr>
                <w:sz w:val="20"/>
                <w:szCs w:val="20"/>
                <w:color w:val="auto"/>
              </w:rPr>
            </w:pPr>
            <w:r>
              <w:rPr>
                <w:rFonts w:ascii="Arial" w:cs="Arial" w:eastAsia="Arial" w:hAnsi="Arial"/>
                <w:sz w:val="15"/>
                <w:szCs w:val="15"/>
                <w:color w:val="auto"/>
              </w:rPr>
              <w:t>and outstanding as of September 30, 2026 and December 31, 2025, respectively. 150,000 and 150,000 Class B shares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5"/>
                <w:szCs w:val="15"/>
                <w:color w:val="auto"/>
              </w:rPr>
              <w:t>authorized, 7,796 and 8,216 shares issued and outstanding as of September 30, 2026 and December 31, 2025,</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8280" w:type="dxa"/>
            <w:vAlign w:val="bottom"/>
          </w:tcPr>
          <w:p>
            <w:pPr>
              <w:ind w:left="20"/>
              <w:spacing w:after="0"/>
              <w:rPr>
                <w:sz w:val="20"/>
                <w:szCs w:val="20"/>
                <w:color w:val="auto"/>
              </w:rPr>
            </w:pPr>
            <w:r>
              <w:rPr>
                <w:rFonts w:ascii="Arial" w:cs="Arial" w:eastAsia="Arial" w:hAnsi="Arial"/>
                <w:sz w:val="15"/>
                <w:szCs w:val="15"/>
                <w:color w:val="auto"/>
              </w:rPr>
              <w:t>respectively</w:t>
            </w: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1,518,704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1,572,270</w:t>
            </w:r>
          </w:p>
        </w:tc>
      </w:tr>
      <w:tr>
        <w:trPr>
          <w:trHeight w:val="213"/>
        </w:trPr>
        <w:tc>
          <w:tcPr>
            <w:tcW w:w="8280" w:type="dxa"/>
            <w:vAlign w:val="bottom"/>
          </w:tcPr>
          <w:p>
            <w:pPr>
              <w:ind w:left="20"/>
              <w:spacing w:after="0"/>
              <w:rPr>
                <w:sz w:val="20"/>
                <w:szCs w:val="20"/>
                <w:color w:val="auto"/>
              </w:rPr>
            </w:pPr>
            <w:r>
              <w:rPr>
                <w:rFonts w:ascii="Arial" w:cs="Arial" w:eastAsia="Arial" w:hAnsi="Arial"/>
                <w:sz w:val="15"/>
                <w:szCs w:val="15"/>
                <w:color w:val="auto"/>
              </w:rPr>
              <w:t>Accumulated other comprehensive (loss) income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1,509</w:t>
            </w: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deficit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(680,990)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(811,833)</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836,669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761,957</w:t>
            </w: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1,501,842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1,525,033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120" w:firstLine="8"/>
        <w:spacing w:after="0" w:line="211" w:lineRule="auto"/>
        <w:tabs>
          <w:tab w:leader="none" w:pos="175" w:val="left"/>
        </w:tabs>
        <w:numPr>
          <w:ilvl w:val="0"/>
          <w:numId w:val="4"/>
        </w:numPr>
        <w:rPr>
          <w:rFonts w:ascii="Arial" w:cs="Arial" w:eastAsia="Arial" w:hAnsi="Arial"/>
          <w:sz w:val="20"/>
          <w:szCs w:val="20"/>
          <w:color w:val="auto"/>
          <w:vertAlign w:val="superscript"/>
        </w:rPr>
      </w:pPr>
      <w:r>
        <w:rPr>
          <w:rFonts w:ascii="Arial" w:cs="Arial" w:eastAsia="Arial" w:hAnsi="Arial"/>
          <w:sz w:val="11"/>
          <w:szCs w:val="11"/>
          <w:color w:val="auto"/>
        </w:rPr>
        <w:t>Reflects the one-for-four reverse stock split that was effective June 30, 2026, which has been applied retrospectively to all prior periods presented. Refer to Note 1, “Business Overview and Basis of Presentation”, for further information.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September 30,</w:t>
            </w:r>
          </w:p>
        </w:tc>
        <w:tc>
          <w:tcPr>
            <w:tcW w:w="300" w:type="dxa"/>
            <w:vAlign w:val="bottom"/>
          </w:tcPr>
          <w:p>
            <w:pPr>
              <w:spacing w:after="0"/>
              <w:rPr>
                <w:sz w:val="15"/>
                <w:szCs w:val="15"/>
                <w:color w:val="auto"/>
              </w:rPr>
            </w:pPr>
          </w:p>
        </w:tc>
        <w:tc>
          <w:tcPr>
            <w:tcW w:w="2760" w:type="dxa"/>
            <w:vAlign w:val="bottom"/>
            <w:gridSpan w:val="4"/>
          </w:tcPr>
          <w:p>
            <w:pPr>
              <w:jc w:val="right"/>
              <w:ind w:right="424"/>
              <w:spacing w:after="0"/>
              <w:rPr>
                <w:sz w:val="20"/>
                <w:szCs w:val="20"/>
                <w:color w:val="auto"/>
              </w:rPr>
            </w:pPr>
            <w:r>
              <w:rPr>
                <w:rFonts w:ascii="Arial" w:cs="Arial" w:eastAsia="Arial" w:hAnsi="Arial"/>
                <w:sz w:val="13"/>
                <w:szCs w:val="13"/>
                <w:b w:val="1"/>
                <w:bCs w:val="1"/>
                <w:color w:val="auto"/>
              </w:rPr>
              <w:t>Nine Months Ended September 30,</w:t>
            </w:r>
          </w:p>
        </w:tc>
      </w:tr>
      <w:tr>
        <w:trPr>
          <w:trHeight w:val="183"/>
        </w:trPr>
        <w:tc>
          <w:tcPr>
            <w:tcW w:w="50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2025</w:t>
            </w: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176,179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163,306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517,972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452,771</w:t>
            </w:r>
          </w:p>
        </w:tc>
      </w:tr>
      <w:tr>
        <w:trPr>
          <w:trHeight w:val="21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Costs of revenue</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54,079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48,749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156,407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135,474</w:t>
            </w: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122,100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114,557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361,565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317,297</w:t>
            </w:r>
          </w:p>
        </w:tc>
      </w:tr>
      <w:tr>
        <w:trPr>
          <w:trHeight w:val="213"/>
        </w:trPr>
        <w:tc>
          <w:tcPr>
            <w:tcW w:w="504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Compensation and benefits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77,316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84,871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252,330</w:t>
            </w:r>
          </w:p>
        </w:tc>
      </w:tr>
      <w:tr>
        <w:trPr>
          <w:trHeight w:val="213"/>
        </w:trPr>
        <w:tc>
          <w:tcPr>
            <w:tcW w:w="5040" w:type="dxa"/>
            <w:vAlign w:val="bottom"/>
          </w:tcPr>
          <w:p>
            <w:pPr>
              <w:ind w:left="140"/>
              <w:spacing w:after="0"/>
              <w:rPr>
                <w:sz w:val="20"/>
                <w:szCs w:val="20"/>
                <w:color w:val="auto"/>
              </w:rPr>
            </w:pPr>
            <w:r>
              <w:rPr>
                <w:rFonts w:ascii="Arial" w:cs="Arial" w:eastAsia="Arial" w:hAnsi="Arial"/>
                <w:sz w:val="15"/>
                <w:szCs w:val="15"/>
                <w:color w:val="auto"/>
              </w:rPr>
              <w:t>Technology</w:t>
            </w:r>
          </w:p>
        </w:tc>
        <w:tc>
          <w:tcPr>
            <w:tcW w:w="28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18,028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16,942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54,511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47,855</w:t>
            </w:r>
          </w:p>
        </w:tc>
      </w:tr>
      <w:tr>
        <w:trPr>
          <w:trHeight w:val="219"/>
        </w:trPr>
        <w:tc>
          <w:tcPr>
            <w:tcW w:w="5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10,247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19,003</w:t>
            </w:r>
          </w:p>
        </w:tc>
      </w:tr>
      <w:tr>
        <w:trPr>
          <w:trHeight w:val="213"/>
        </w:trPr>
        <w:tc>
          <w:tcPr>
            <w:tcW w:w="5040" w:type="dxa"/>
            <w:vAlign w:val="bottom"/>
          </w:tcPr>
          <w:p>
            <w:pPr>
              <w:ind w:left="140"/>
              <w:spacing w:after="0"/>
              <w:rPr>
                <w:sz w:val="20"/>
                <w:szCs w:val="20"/>
                <w:color w:val="auto"/>
              </w:rPr>
            </w:pPr>
            <w:r>
              <w:rPr>
                <w:rFonts w:ascii="Arial" w:cs="Arial" w:eastAsia="Arial" w:hAnsi="Arial"/>
                <w:sz w:val="15"/>
                <w:szCs w:val="15"/>
                <w:color w:val="auto"/>
              </w:rPr>
              <w:t>Professional services</w:t>
            </w:r>
          </w:p>
        </w:tc>
        <w:tc>
          <w:tcPr>
            <w:tcW w:w="28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4,124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5,518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14,375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15,432</w:t>
            </w:r>
          </w:p>
        </w:tc>
      </w:tr>
      <w:tr>
        <w:trPr>
          <w:trHeight w:val="219"/>
        </w:trPr>
        <w:tc>
          <w:tcPr>
            <w:tcW w:w="5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Occupancy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2,818</w:t>
            </w:r>
          </w:p>
        </w:tc>
      </w:tr>
      <w:tr>
        <w:trPr>
          <w:trHeight w:val="213"/>
        </w:trPr>
        <w:tc>
          <w:tcPr>
            <w:tcW w:w="5040" w:type="dxa"/>
            <w:vAlign w:val="bottom"/>
          </w:tcPr>
          <w:p>
            <w:pPr>
              <w:ind w:left="140"/>
              <w:spacing w:after="0"/>
              <w:rPr>
                <w:sz w:val="20"/>
                <w:szCs w:val="20"/>
                <w:color w:val="auto"/>
              </w:rPr>
            </w:pPr>
            <w:r>
              <w:rPr>
                <w:rFonts w:ascii="Arial" w:cs="Arial" w:eastAsia="Arial" w:hAnsi="Arial"/>
                <w:sz w:val="15"/>
                <w:szCs w:val="15"/>
                <w:color w:val="auto"/>
              </w:rPr>
              <w:t>Marketing and advertising</w:t>
            </w:r>
          </w:p>
        </w:tc>
        <w:tc>
          <w:tcPr>
            <w:tcW w:w="28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972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3,364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2,075</w:t>
            </w:r>
          </w:p>
        </w:tc>
      </w:tr>
      <w:tr>
        <w:trPr>
          <w:trHeight w:val="216"/>
        </w:trPr>
        <w:tc>
          <w:tcPr>
            <w:tcW w:w="5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4,042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15,920</w:t>
            </w:r>
          </w:p>
        </w:tc>
      </w:tr>
      <w:tr>
        <w:trPr>
          <w:trHeight w:val="209"/>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Total operating expenses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115,825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124,927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349,560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355,433</w:t>
            </w: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6,275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(38,136)</w:t>
            </w:r>
          </w:p>
        </w:tc>
      </w:tr>
      <w:tr>
        <w:trPr>
          <w:trHeight w:val="21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net</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4,774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7,244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26,544</w:t>
            </w: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before income tax (benefit) expense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11,049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(11,592)</w:t>
            </w:r>
          </w:p>
        </w:tc>
      </w:tr>
      <w:tr>
        <w:trPr>
          <w:trHeight w:val="21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(benefit) expense</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(104,393)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(103,695)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939</w:t>
            </w: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115,442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130,843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(12,531)</w:t>
            </w:r>
          </w:p>
        </w:tc>
      </w:tr>
      <w:tr>
        <w:trPr>
          <w:trHeight w:val="213"/>
        </w:trPr>
        <w:tc>
          <w:tcPr>
            <w:tcW w:w="5040" w:type="dxa"/>
            <w:vAlign w:val="bottom"/>
          </w:tcPr>
          <w:p>
            <w:pPr>
              <w:ind w:left="20"/>
              <w:spacing w:after="0"/>
              <w:rPr>
                <w:sz w:val="20"/>
                <w:szCs w:val="20"/>
                <w:color w:val="auto"/>
              </w:rPr>
            </w:pPr>
            <w:r>
              <w:rPr>
                <w:rFonts w:ascii="Arial" w:cs="Arial" w:eastAsia="Arial" w:hAnsi="Arial"/>
                <w:sz w:val="15"/>
                <w:szCs w:val="15"/>
                <w:color w:val="auto"/>
              </w:rPr>
              <w:t>Other comprehensive (loss) income, net of taxes: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Change in foreign currency translation adjustment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1,936</w:t>
            </w:r>
          </w:p>
        </w:tc>
      </w:tr>
      <w:tr>
        <w:trPr>
          <w:trHeight w:val="213"/>
        </w:trPr>
        <w:tc>
          <w:tcPr>
            <w:tcW w:w="50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Net change in unrealized gain (loss) on short-term investments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w:t>
            </w: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other comprehensive (loss) income</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1,711</w:t>
            </w:r>
          </w:p>
        </w:tc>
      </w:tr>
      <w:tr>
        <w:trPr>
          <w:trHeight w:val="213"/>
        </w:trPr>
        <w:tc>
          <w:tcPr>
            <w:tcW w:w="5040" w:type="dxa"/>
            <w:vAlign w:val="bottom"/>
          </w:tcPr>
          <w:p>
            <w:pPr>
              <w:ind w:left="20"/>
              <w:spacing w:after="0"/>
              <w:rPr>
                <w:sz w:val="20"/>
                <w:szCs w:val="20"/>
                <w:color w:val="auto"/>
              </w:rPr>
            </w:pPr>
            <w:r>
              <w:rPr>
                <w:rFonts w:ascii="Arial" w:cs="Arial" w:eastAsia="Arial" w:hAnsi="Arial"/>
                <w:sz w:val="15"/>
                <w:szCs w:val="15"/>
                <w:color w:val="auto"/>
              </w:rPr>
              <w:t>Comprehensive income (loss)</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114,995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128,279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(10,820)</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62"/>
        </w:trPr>
        <w:tc>
          <w:tcPr>
            <w:tcW w:w="5040" w:type="dxa"/>
            <w:vAlign w:val="bottom"/>
          </w:tcPr>
          <w:p>
            <w:pPr>
              <w:ind w:left="20"/>
              <w:spacing w:after="0" w:line="162" w:lineRule="exact"/>
              <w:rPr>
                <w:sz w:val="20"/>
                <w:szCs w:val="20"/>
                <w:color w:val="auto"/>
              </w:rPr>
            </w:pPr>
            <w:r>
              <w:rPr>
                <w:rFonts w:ascii="Arial" w:cs="Arial" w:eastAsia="Arial" w:hAnsi="Arial"/>
                <w:sz w:val="15"/>
                <w:szCs w:val="15"/>
                <w:b w:val="1"/>
                <w:bCs w:val="1"/>
                <w:color w:val="auto"/>
              </w:rPr>
              <w:t>Net income (loss) per share attributable to Class A and Class B</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5040" w:type="dxa"/>
            <w:vAlign w:val="bottom"/>
          </w:tcPr>
          <w:p>
            <w:pPr>
              <w:ind w:left="20"/>
              <w:spacing w:after="0" w:line="216" w:lineRule="exact"/>
              <w:rPr>
                <w:sz w:val="20"/>
                <w:szCs w:val="20"/>
                <w:color w:val="auto"/>
              </w:rPr>
            </w:pPr>
            <w:r>
              <w:rPr>
                <w:rFonts w:ascii="Arial" w:cs="Arial" w:eastAsia="Arial" w:hAnsi="Arial"/>
                <w:sz w:val="15"/>
                <w:szCs w:val="15"/>
                <w:b w:val="1"/>
                <w:bCs w:val="1"/>
                <w:color w:val="auto"/>
              </w:rPr>
              <w:t xml:space="preserve">common stockholders </w:t>
            </w:r>
            <w:r>
              <w:rPr>
                <w:rFonts w:ascii="Arial" w:cs="Arial" w:eastAsia="Arial" w:hAnsi="Arial"/>
                <w:sz w:val="19"/>
                <w:szCs w:val="19"/>
                <w:b w:val="1"/>
                <w:bCs w:val="1"/>
                <w:color w:val="auto"/>
                <w:vertAlign w:val="superscript"/>
              </w:rPr>
              <w:t>(1)</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(0.11)</w:t>
            </w:r>
          </w:p>
        </w:tc>
      </w:tr>
      <w:tr>
        <w:trPr>
          <w:trHeight w:val="213"/>
        </w:trPr>
        <w:tc>
          <w:tcPr>
            <w:tcW w:w="5040" w:type="dxa"/>
            <w:vAlign w:val="bottom"/>
          </w:tcPr>
          <w:p>
            <w:pPr>
              <w:ind w:left="20"/>
              <w:spacing w:after="0"/>
              <w:rPr>
                <w:sz w:val="20"/>
                <w:szCs w:val="20"/>
                <w:color w:val="auto"/>
              </w:rPr>
            </w:pPr>
            <w:r>
              <w:rPr>
                <w:rFonts w:ascii="Arial" w:cs="Arial" w:eastAsia="Arial" w:hAnsi="Arial"/>
                <w:sz w:val="15"/>
                <w:szCs w:val="15"/>
                <w:color w:val="auto"/>
              </w:rPr>
              <w:t>Diluted</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8"/>
                <w:szCs w:val="18"/>
                <w:color w:val="auto"/>
              </w:rPr>
            </w:pPr>
          </w:p>
        </w:tc>
        <w:tc>
          <w:tcPr>
            <w:tcW w:w="3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8"/>
                <w:szCs w:val="18"/>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8"/>
                <w:szCs w:val="18"/>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(0.11)</w:t>
            </w:r>
          </w:p>
        </w:tc>
      </w:tr>
      <w:tr>
        <w:trPr>
          <w:trHeight w:val="165"/>
        </w:trPr>
        <w:tc>
          <w:tcPr>
            <w:tcW w:w="5040" w:type="dxa"/>
            <w:vAlign w:val="bottom"/>
            <w:shd w:val="clear" w:color="auto" w:fill="CCEEFF"/>
          </w:tcPr>
          <w:p>
            <w:pPr>
              <w:ind w:left="20"/>
              <w:spacing w:after="0" w:line="165" w:lineRule="exact"/>
              <w:rPr>
                <w:sz w:val="20"/>
                <w:szCs w:val="20"/>
                <w:color w:val="auto"/>
              </w:rPr>
            </w:pPr>
            <w:r>
              <w:rPr>
                <w:rFonts w:ascii="Arial" w:cs="Arial" w:eastAsia="Arial" w:hAnsi="Arial"/>
                <w:sz w:val="15"/>
                <w:szCs w:val="15"/>
                <w:b w:val="1"/>
                <w:bCs w:val="1"/>
                <w:color w:val="auto"/>
              </w:rPr>
              <w:t>Weighted-average shares used in computing net income (loss) per</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6"/>
        </w:trPr>
        <w:tc>
          <w:tcPr>
            <w:tcW w:w="5040" w:type="dxa"/>
            <w:vAlign w:val="bottom"/>
            <w:shd w:val="clear" w:color="auto" w:fill="CCEEFF"/>
          </w:tcPr>
          <w:p>
            <w:pPr>
              <w:ind w:left="20"/>
              <w:spacing w:after="0" w:line="216" w:lineRule="exact"/>
              <w:rPr>
                <w:sz w:val="20"/>
                <w:szCs w:val="20"/>
                <w:color w:val="auto"/>
              </w:rPr>
            </w:pPr>
            <w:r>
              <w:rPr>
                <w:rFonts w:ascii="Arial" w:cs="Arial" w:eastAsia="Arial" w:hAnsi="Arial"/>
                <w:sz w:val="15"/>
                <w:szCs w:val="15"/>
                <w:b w:val="1"/>
                <w:bCs w:val="1"/>
                <w:color w:val="auto"/>
              </w:rPr>
              <w:t xml:space="preserve">share attributable to Class A and Class B common stockholders </w:t>
            </w:r>
            <w:r>
              <w:rPr>
                <w:rFonts w:ascii="Arial" w:cs="Arial" w:eastAsia="Arial" w:hAnsi="Arial"/>
                <w:sz w:val="19"/>
                <w:szCs w:val="19"/>
                <w:b w:val="1"/>
                <w:bCs w:val="1"/>
                <w:color w:val="auto"/>
                <w:vertAlign w:val="superscript"/>
              </w:rPr>
              <w:t>(1)</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5"/>
                <w:szCs w:val="15"/>
                <w:color w:val="auto"/>
              </w:rPr>
              <w:t>Basic</w:t>
            </w:r>
          </w:p>
        </w:tc>
        <w:tc>
          <w:tcPr>
            <w:tcW w:w="28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104,240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112,179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105,608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117,573</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105,777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117,573</w:t>
            </w:r>
          </w:p>
        </w:tc>
      </w:tr>
    </w:tbl>
    <w:p>
      <w:pPr>
        <w:spacing w:after="0" w:line="293" w:lineRule="exact"/>
        <w:rPr>
          <w:sz w:val="20"/>
          <w:szCs w:val="20"/>
          <w:color w:val="auto"/>
        </w:rPr>
      </w:pPr>
    </w:p>
    <w:p>
      <w:pPr>
        <w:ind w:right="120" w:firstLine="8"/>
        <w:spacing w:after="0" w:line="211" w:lineRule="auto"/>
        <w:tabs>
          <w:tab w:leader="none" w:pos="172" w:val="left"/>
        </w:tabs>
        <w:numPr>
          <w:ilvl w:val="0"/>
          <w:numId w:val="5"/>
        </w:numPr>
        <w:rPr>
          <w:rFonts w:ascii="Arial" w:cs="Arial" w:eastAsia="Arial" w:hAnsi="Arial"/>
          <w:sz w:val="20"/>
          <w:szCs w:val="20"/>
          <w:color w:val="auto"/>
          <w:vertAlign w:val="superscript"/>
        </w:rPr>
      </w:pPr>
      <w:r>
        <w:rPr>
          <w:rFonts w:ascii="Arial" w:cs="Arial" w:eastAsia="Arial" w:hAnsi="Arial"/>
          <w:sz w:val="11"/>
          <w:szCs w:val="11"/>
          <w:color w:val="auto"/>
        </w:rPr>
        <w:t>Reflects the one-for-four reverse stock split that was effective June 30, 2026, which has been applied retrospectively to all prior periods presented. Refer to Note 1, “Business Overview and Basis of Presentation”, for further information.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0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5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4"/>
                <w:szCs w:val="4"/>
                <w:color w:val="auto"/>
              </w:rPr>
            </w:pPr>
          </w:p>
        </w:tc>
        <w:tc>
          <w:tcPr>
            <w:tcW w:w="110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restart"/>
          </w:tcPr>
          <w:p>
            <w:pPr>
              <w:jc w:val="center"/>
              <w:ind w:right="128"/>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5"/>
        </w:trPr>
        <w:tc>
          <w:tcPr>
            <w:tcW w:w="4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4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rPr>
              <w:t>Accumulated</w:t>
            </w:r>
          </w:p>
        </w:tc>
        <w:tc>
          <w:tcPr>
            <w:tcW w:w="10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120" w:type="dxa"/>
            <w:vAlign w:val="bottom"/>
          </w:tcPr>
          <w:p>
            <w:pPr>
              <w:spacing w:after="0"/>
              <w:rPr>
                <w:sz w:val="7"/>
                <w:szCs w:val="7"/>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8"/>
                <w:szCs w:val="18"/>
                <w:b w:val="1"/>
                <w:bCs w:val="1"/>
                <w:color w:val="auto"/>
                <w:vertAlign w:val="superscript"/>
              </w:rPr>
              <w:t>(1)</w:t>
            </w:r>
          </w:p>
        </w:tc>
        <w:tc>
          <w:tcPr>
            <w:tcW w:w="1180" w:type="dxa"/>
            <w:vAlign w:val="bottom"/>
            <w:gridSpan w:val="3"/>
          </w:tcPr>
          <w:p>
            <w:pPr>
              <w:jc w:val="center"/>
              <w:ind w:right="100"/>
              <w:spacing w:after="0" w:line="91" w:lineRule="exact"/>
              <w:rPr>
                <w:sz w:val="20"/>
                <w:szCs w:val="20"/>
                <w:color w:val="auto"/>
              </w:rPr>
            </w:pPr>
            <w:r>
              <w:rPr>
                <w:rFonts w:ascii="Arial" w:cs="Arial" w:eastAsia="Arial" w:hAnsi="Arial"/>
                <w:sz w:val="10"/>
                <w:szCs w:val="10"/>
                <w:b w:val="1"/>
                <w:bCs w:val="1"/>
                <w:color w:val="auto"/>
              </w:rPr>
              <w:t>Paid-in Capital</w:t>
            </w:r>
          </w:p>
        </w:tc>
        <w:tc>
          <w:tcPr>
            <w:tcW w:w="1200" w:type="dxa"/>
            <w:vAlign w:val="bottom"/>
            <w:gridSpan w:val="3"/>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89"/>
              <w:spacing w:after="0"/>
              <w:rPr>
                <w:sz w:val="20"/>
                <w:szCs w:val="20"/>
                <w:color w:val="auto"/>
              </w:rPr>
            </w:pPr>
            <w:r>
              <w:rPr>
                <w:rFonts w:ascii="Arial" w:cs="Arial" w:eastAsia="Arial" w:hAnsi="Arial"/>
                <w:sz w:val="9"/>
                <w:szCs w:val="9"/>
                <w:b w:val="1"/>
                <w:bCs w:val="1"/>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2025</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1,572,270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(811,833)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761,957</w:t>
            </w: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Arial" w:cs="Arial" w:eastAsia="Arial" w:hAnsi="Arial"/>
                <w:sz w:val="14"/>
                <w:szCs w:val="14"/>
                <w:color w:val="auto"/>
              </w:rPr>
              <w:t>Repurchase and retirement of common stock, including excise tax</w:t>
            </w:r>
          </w:p>
        </w:tc>
        <w:tc>
          <w:tcPr>
            <w:tcW w:w="1020" w:type="dxa"/>
            <w:vAlign w:val="bottom"/>
          </w:tcPr>
          <w:p>
            <w:pPr>
              <w:jc w:val="right"/>
              <w:spacing w:after="0"/>
              <w:rPr>
                <w:sz w:val="20"/>
                <w:szCs w:val="20"/>
                <w:color w:val="auto"/>
              </w:rPr>
            </w:pPr>
            <w:r>
              <w:rPr>
                <w:rFonts w:ascii="Arial" w:cs="Arial" w:eastAsia="Arial" w:hAnsi="Arial"/>
                <w:sz w:val="14"/>
                <w:szCs w:val="14"/>
                <w:color w:val="auto"/>
              </w:rPr>
              <w:t>(2,351)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(39,575)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(39,575)</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22,623</w:t>
            </w:r>
          </w:p>
        </w:tc>
        <w:tc>
          <w:tcPr>
            <w:tcW w:w="0" w:type="dxa"/>
            <w:vAlign w:val="bottom"/>
          </w:tcPr>
          <w:p>
            <w:pPr>
              <w:spacing w:after="0"/>
              <w:rPr>
                <w:sz w:val="1"/>
                <w:szCs w:val="1"/>
                <w:color w:val="auto"/>
              </w:rPr>
            </w:pPr>
          </w:p>
        </w:tc>
      </w:tr>
      <w:tr>
        <w:trPr>
          <w:trHeight w:val="166"/>
        </w:trPr>
        <w:tc>
          <w:tcPr>
            <w:tcW w:w="4500" w:type="dxa"/>
            <w:vAlign w:val="bottom"/>
          </w:tcPr>
          <w:p>
            <w:pPr>
              <w:ind w:left="20"/>
              <w:spacing w:after="0"/>
              <w:rPr>
                <w:sz w:val="20"/>
                <w:szCs w:val="20"/>
                <w:color w:val="auto"/>
              </w:rPr>
            </w:pPr>
            <w:r>
              <w:rPr>
                <w:rFonts w:ascii="Arial" w:cs="Arial" w:eastAsia="Arial" w:hAnsi="Arial"/>
                <w:sz w:val="14"/>
                <w:szCs w:val="14"/>
                <w:color w:val="auto"/>
              </w:rPr>
              <w:t>Issuance of common stock upon net settlement of restricted stock</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(8,789)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(8,789)</w:t>
            </w:r>
          </w:p>
        </w:tc>
        <w:tc>
          <w:tcPr>
            <w:tcW w:w="0" w:type="dxa"/>
            <w:vAlign w:val="bottom"/>
          </w:tcPr>
          <w:p>
            <w:pPr>
              <w:spacing w:after="0"/>
              <w:rPr>
                <w:sz w:val="1"/>
                <w:szCs w:val="1"/>
                <w:color w:val="auto"/>
              </w:rPr>
            </w:pPr>
          </w:p>
        </w:tc>
      </w:tr>
      <w:tr>
        <w:trPr>
          <w:trHeight w:val="185"/>
        </w:trPr>
        <w:tc>
          <w:tcPr>
            <w:tcW w:w="4500" w:type="dxa"/>
            <w:vAlign w:val="bottom"/>
          </w:tcPr>
          <w:p>
            <w:pPr>
              <w:ind w:left="20"/>
              <w:spacing w:after="0"/>
              <w:rPr>
                <w:sz w:val="20"/>
                <w:szCs w:val="20"/>
                <w:color w:val="auto"/>
              </w:rPr>
            </w:pPr>
            <w:r>
              <w:rPr>
                <w:rFonts w:ascii="Arial" w:cs="Arial" w:eastAsia="Arial" w:hAnsi="Arial"/>
                <w:sz w:val="14"/>
                <w:szCs w:val="14"/>
                <w:color w:val="auto"/>
              </w:rPr>
              <w:t>units</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Arial" w:cs="Arial" w:eastAsia="Arial" w:hAnsi="Arial"/>
                <w:sz w:val="14"/>
                <w:szCs w:val="14"/>
                <w:color w:val="auto"/>
              </w:rPr>
              <w:t>Change in accumulated other comprehensive income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7,834</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106,438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1,546,580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(803,999)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742,282</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common stock, including excise tax</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(51,700)</w:t>
            </w: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24,744</w:t>
            </w:r>
          </w:p>
        </w:tc>
        <w:tc>
          <w:tcPr>
            <w:tcW w:w="0" w:type="dxa"/>
            <w:vAlign w:val="bottom"/>
          </w:tcPr>
          <w:p>
            <w:pPr>
              <w:spacing w:after="0"/>
              <w:rPr>
                <w:sz w:val="1"/>
                <w:szCs w:val="1"/>
                <w:color w:val="auto"/>
              </w:rPr>
            </w:pPr>
          </w:p>
        </w:tc>
      </w:tr>
      <w:tr>
        <w:trPr>
          <w:trHeight w:val="170"/>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net settlement of restricted stock</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(7,894)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(7,894)</w:t>
            </w:r>
          </w:p>
        </w:tc>
        <w:tc>
          <w:tcPr>
            <w:tcW w:w="0" w:type="dxa"/>
            <w:vAlign w:val="bottom"/>
          </w:tcPr>
          <w:p>
            <w:pPr>
              <w:spacing w:after="0"/>
              <w:rPr>
                <w:sz w:val="1"/>
                <w:szCs w:val="1"/>
                <w:color w:val="auto"/>
              </w:rPr>
            </w:pPr>
          </w:p>
        </w:tc>
      </w:tr>
      <w:tr>
        <w:trPr>
          <w:trHeight w:val="185"/>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102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Arial" w:cs="Arial" w:eastAsia="Arial" w:hAnsi="Arial"/>
                <w:sz w:val="14"/>
                <w:szCs w:val="14"/>
                <w:color w:val="auto"/>
              </w:rPr>
              <w:t>Change in accumulated other comprehensive income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7,567</w:t>
            </w:r>
          </w:p>
        </w:tc>
        <w:tc>
          <w:tcPr>
            <w:tcW w:w="0" w:type="dxa"/>
            <w:vAlign w:val="bottom"/>
          </w:tcPr>
          <w:p>
            <w:pPr>
              <w:spacing w:after="0"/>
              <w:rPr>
                <w:sz w:val="1"/>
                <w:szCs w:val="1"/>
                <w:color w:val="auto"/>
              </w:rPr>
            </w:pPr>
          </w:p>
        </w:tc>
      </w:tr>
      <w:tr>
        <w:trPr>
          <w:trHeight w:val="187"/>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104,103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1,512,587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(796,432)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715,557</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23,524</w:t>
            </w: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Arial" w:cs="Arial" w:eastAsia="Arial" w:hAnsi="Arial"/>
                <w:sz w:val="14"/>
                <w:szCs w:val="14"/>
                <w:color w:val="auto"/>
              </w:rPr>
              <w:t>Repurchase and retirement of common stock, including excise tax</w:t>
            </w:r>
          </w:p>
        </w:tc>
        <w:tc>
          <w:tcPr>
            <w:tcW w:w="102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(11,094)</w:t>
            </w:r>
          </w:p>
        </w:tc>
        <w:tc>
          <w:tcPr>
            <w:tcW w:w="0" w:type="dxa"/>
            <w:vAlign w:val="bottom"/>
          </w:tcPr>
          <w:p>
            <w:pPr>
              <w:spacing w:after="0"/>
              <w:rPr>
                <w:sz w:val="1"/>
                <w:szCs w:val="1"/>
                <w:color w:val="auto"/>
              </w:rPr>
            </w:pPr>
          </w:p>
        </w:tc>
      </w:tr>
      <w:tr>
        <w:trPr>
          <w:trHeight w:val="170"/>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net settlement of restricted stock</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(6,922)</w:t>
            </w:r>
          </w:p>
        </w:tc>
        <w:tc>
          <w:tcPr>
            <w:tcW w:w="0" w:type="dxa"/>
            <w:vAlign w:val="bottom"/>
          </w:tcPr>
          <w:p>
            <w:pPr>
              <w:spacing w:after="0"/>
              <w:rPr>
                <w:sz w:val="1"/>
                <w:szCs w:val="1"/>
                <w:color w:val="auto"/>
              </w:rPr>
            </w:pPr>
          </w:p>
        </w:tc>
      </w:tr>
      <w:tr>
        <w:trPr>
          <w:trHeight w:val="185"/>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Arial" w:cs="Arial" w:eastAsia="Arial" w:hAnsi="Arial"/>
                <w:sz w:val="14"/>
                <w:szCs w:val="14"/>
                <w:color w:val="auto"/>
              </w:rPr>
              <w:t>Vesting of common stock warrants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accumulated other comprehensive income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115,442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115,442</w:t>
            </w:r>
          </w:p>
        </w:tc>
        <w:tc>
          <w:tcPr>
            <w:tcW w:w="0" w:type="dxa"/>
            <w:vAlign w:val="bottom"/>
          </w:tcPr>
          <w:p>
            <w:pPr>
              <w:spacing w:after="0"/>
              <w:rPr>
                <w:sz w:val="1"/>
                <w:szCs w:val="1"/>
                <w:color w:val="auto"/>
              </w:rPr>
            </w:pPr>
          </w:p>
        </w:tc>
      </w:tr>
      <w:tr>
        <w:trPr>
          <w:trHeight w:val="239"/>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2026</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104,084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1,518,704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(680,990)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836,669</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16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4520" w:type="dxa"/>
            <w:vAlign w:val="bottom"/>
          </w:tcPr>
          <w:p>
            <w:pPr>
              <w:spacing w:after="0"/>
              <w:rPr>
                <w:sz w:val="8"/>
                <w:szCs w:val="8"/>
                <w:color w:val="auto"/>
              </w:rPr>
            </w:pPr>
          </w:p>
        </w:tc>
        <w:tc>
          <w:tcPr>
            <w:tcW w:w="216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8"/>
                <w:szCs w:val="8"/>
                <w:color w:val="auto"/>
              </w:rPr>
            </w:pPr>
          </w:p>
        </w:tc>
        <w:tc>
          <w:tcPr>
            <w:tcW w:w="1100" w:type="dxa"/>
            <w:vAlign w:val="bottom"/>
            <w:gridSpan w:val="2"/>
            <w:vMerge w:val="restart"/>
          </w:tcPr>
          <w:p>
            <w:pPr>
              <w:jc w:val="center"/>
              <w:ind w:right="160"/>
              <w:spacing w:after="0" w:line="14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restart"/>
          </w:tcPr>
          <w:p>
            <w:pPr>
              <w:jc w:val="center"/>
              <w:ind w:right="128"/>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4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Accumulated</w:t>
            </w:r>
          </w:p>
        </w:tc>
        <w:tc>
          <w:tcPr>
            <w:tcW w:w="10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90"/>
        </w:trPr>
        <w:tc>
          <w:tcPr>
            <w:tcW w:w="4520" w:type="dxa"/>
            <w:vAlign w:val="bottom"/>
          </w:tcPr>
          <w:p>
            <w:pPr>
              <w:spacing w:after="0"/>
              <w:rPr>
                <w:sz w:val="7"/>
                <w:szCs w:val="7"/>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120" w:type="dxa"/>
            <w:vAlign w:val="bottom"/>
          </w:tcPr>
          <w:p>
            <w:pPr>
              <w:spacing w:after="0"/>
              <w:rPr>
                <w:sz w:val="7"/>
                <w:szCs w:val="7"/>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8"/>
                <w:szCs w:val="18"/>
                <w:b w:val="1"/>
                <w:bCs w:val="1"/>
                <w:color w:val="auto"/>
                <w:vertAlign w:val="superscript"/>
              </w:rPr>
              <w:t>(1)</w:t>
            </w:r>
          </w:p>
        </w:tc>
        <w:tc>
          <w:tcPr>
            <w:tcW w:w="1180" w:type="dxa"/>
            <w:vAlign w:val="bottom"/>
            <w:gridSpan w:val="3"/>
          </w:tcPr>
          <w:p>
            <w:pPr>
              <w:jc w:val="center"/>
              <w:ind w:right="60"/>
              <w:spacing w:after="0" w:line="91" w:lineRule="exact"/>
              <w:rPr>
                <w:sz w:val="20"/>
                <w:szCs w:val="20"/>
                <w:color w:val="auto"/>
              </w:rPr>
            </w:pPr>
            <w:r>
              <w:rPr>
                <w:rFonts w:ascii="Arial" w:cs="Arial" w:eastAsia="Arial" w:hAnsi="Arial"/>
                <w:sz w:val="10"/>
                <w:szCs w:val="10"/>
                <w:b w:val="1"/>
                <w:bCs w:val="1"/>
                <w:color w:val="auto"/>
              </w:rPr>
              <w:t>Paid-in Capital</w:t>
            </w:r>
          </w:p>
        </w:tc>
        <w:tc>
          <w:tcPr>
            <w:tcW w:w="1200" w:type="dxa"/>
            <w:vAlign w:val="bottom"/>
            <w:gridSpan w:val="3"/>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9"/>
              <w:spacing w:after="0"/>
              <w:rPr>
                <w:sz w:val="20"/>
                <w:szCs w:val="20"/>
                <w:color w:val="auto"/>
              </w:rPr>
            </w:pPr>
            <w:r>
              <w:rPr>
                <w:rFonts w:ascii="Arial" w:cs="Arial" w:eastAsia="Arial" w:hAnsi="Arial"/>
                <w:sz w:val="9"/>
                <w:szCs w:val="9"/>
                <w:b w:val="1"/>
                <w:bCs w:val="1"/>
                <w:color w:val="auto"/>
                <w:w w:val="90"/>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126,074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1,883,227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(797,908)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1,085,018</w:t>
            </w: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Arial" w:cs="Arial" w:eastAsia="Arial" w:hAnsi="Arial"/>
                <w:sz w:val="14"/>
                <w:szCs w:val="14"/>
                <w:color w:val="auto"/>
              </w:rPr>
              <w:t>Repurchase and retirement of common stock, including excise tax</w:t>
            </w:r>
          </w:p>
        </w:tc>
        <w:tc>
          <w:tcPr>
            <w:tcW w:w="1020" w:type="dxa"/>
            <w:vAlign w:val="bottom"/>
          </w:tcPr>
          <w:p>
            <w:pPr>
              <w:jc w:val="right"/>
              <w:spacing w:after="0"/>
              <w:rPr>
                <w:sz w:val="20"/>
                <w:szCs w:val="20"/>
                <w:color w:val="auto"/>
              </w:rPr>
            </w:pPr>
            <w:r>
              <w:rPr>
                <w:rFonts w:ascii="Arial" w:cs="Arial" w:eastAsia="Arial" w:hAnsi="Arial"/>
                <w:sz w:val="14"/>
                <w:szCs w:val="14"/>
                <w:color w:val="auto"/>
              </w:rPr>
              <w:t>(6,556)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(112,315)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(112,316)</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28,437</w:t>
            </w:r>
          </w:p>
        </w:tc>
        <w:tc>
          <w:tcPr>
            <w:tcW w:w="0" w:type="dxa"/>
            <w:vAlign w:val="bottom"/>
          </w:tcPr>
          <w:p>
            <w:pPr>
              <w:spacing w:after="0"/>
              <w:rPr>
                <w:sz w:val="1"/>
                <w:szCs w:val="1"/>
                <w:color w:val="auto"/>
              </w:rPr>
            </w:pPr>
          </w:p>
        </w:tc>
      </w:tr>
      <w:tr>
        <w:trPr>
          <w:trHeight w:val="166"/>
        </w:trPr>
        <w:tc>
          <w:tcPr>
            <w:tcW w:w="4520" w:type="dxa"/>
            <w:vAlign w:val="bottom"/>
          </w:tcPr>
          <w:p>
            <w:pPr>
              <w:ind w:left="20"/>
              <w:spacing w:after="0"/>
              <w:rPr>
                <w:sz w:val="20"/>
                <w:szCs w:val="20"/>
                <w:color w:val="auto"/>
              </w:rPr>
            </w:pPr>
            <w:r>
              <w:rPr>
                <w:rFonts w:ascii="Arial" w:cs="Arial" w:eastAsia="Arial" w:hAnsi="Arial"/>
                <w:sz w:val="14"/>
                <w:szCs w:val="14"/>
                <w:color w:val="auto"/>
              </w:rPr>
              <w:t>Issuance of common stock upon net settlement of restricted stock</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(7,101)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(7,101)</w:t>
            </w:r>
          </w:p>
        </w:tc>
        <w:tc>
          <w:tcPr>
            <w:tcW w:w="0" w:type="dxa"/>
            <w:vAlign w:val="bottom"/>
          </w:tcPr>
          <w:p>
            <w:pPr>
              <w:spacing w:after="0"/>
              <w:rPr>
                <w:sz w:val="1"/>
                <w:szCs w:val="1"/>
                <w:color w:val="auto"/>
              </w:rPr>
            </w:pPr>
          </w:p>
        </w:tc>
      </w:tr>
      <w:tr>
        <w:trPr>
          <w:trHeight w:val="185"/>
        </w:trPr>
        <w:tc>
          <w:tcPr>
            <w:tcW w:w="4520" w:type="dxa"/>
            <w:vAlign w:val="bottom"/>
          </w:tcPr>
          <w:p>
            <w:pPr>
              <w:ind w:left="20"/>
              <w:spacing w:after="0"/>
              <w:rPr>
                <w:sz w:val="20"/>
                <w:szCs w:val="20"/>
                <w:color w:val="auto"/>
              </w:rPr>
            </w:pPr>
            <w:r>
              <w:rPr>
                <w:rFonts w:ascii="Arial" w:cs="Arial" w:eastAsia="Arial" w:hAnsi="Arial"/>
                <w:sz w:val="14"/>
                <w:szCs w:val="14"/>
                <w:color w:val="auto"/>
              </w:rPr>
              <w:t>units</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Arial" w:cs="Arial" w:eastAsia="Arial" w:hAnsi="Arial"/>
                <w:sz w:val="14"/>
                <w:szCs w:val="14"/>
                <w:color w:val="auto"/>
              </w:rPr>
              <w:t>Change in accumulated other comprehensive loss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(8,260)</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2025</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120,245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1,793,692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(806,168)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987,260</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common stock, including excise tax</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30,257</w:t>
            </w: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net settlement of restricted stock</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(9,741)</w:t>
            </w:r>
          </w:p>
        </w:tc>
        <w:tc>
          <w:tcPr>
            <w:tcW w:w="0" w:type="dxa"/>
            <w:vAlign w:val="bottom"/>
          </w:tcPr>
          <w:p>
            <w:pPr>
              <w:spacing w:after="0"/>
              <w:rPr>
                <w:sz w:val="1"/>
                <w:szCs w:val="1"/>
                <w:color w:val="auto"/>
              </w:rPr>
            </w:pPr>
          </w:p>
        </w:tc>
      </w:tr>
      <w:tr>
        <w:trPr>
          <w:trHeight w:val="185"/>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102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common stock warrants</w:t>
            </w:r>
          </w:p>
        </w:tc>
        <w:tc>
          <w:tcPr>
            <w:tcW w:w="102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accumulated other comprehensive income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21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2025</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112,365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1,650,339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(806,815)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843,433</w:t>
            </w: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28,645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28,645</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common stock, including excise tax</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(19,376)</w:t>
            </w:r>
          </w:p>
        </w:tc>
        <w:tc>
          <w:tcPr>
            <w:tcW w:w="0" w:type="dxa"/>
            <w:vAlign w:val="bottom"/>
          </w:tcPr>
          <w:p>
            <w:pPr>
              <w:spacing w:after="0"/>
              <w:rPr>
                <w:sz w:val="1"/>
                <w:szCs w:val="1"/>
                <w:color w:val="auto"/>
              </w:rPr>
            </w:pPr>
          </w:p>
        </w:tc>
      </w:tr>
      <w:tr>
        <w:trPr>
          <w:trHeight w:val="166"/>
        </w:trPr>
        <w:tc>
          <w:tcPr>
            <w:tcW w:w="4520" w:type="dxa"/>
            <w:vAlign w:val="bottom"/>
          </w:tcPr>
          <w:p>
            <w:pPr>
              <w:ind w:left="20"/>
              <w:spacing w:after="0"/>
              <w:rPr>
                <w:sz w:val="20"/>
                <w:szCs w:val="20"/>
                <w:color w:val="auto"/>
              </w:rPr>
            </w:pPr>
            <w:r>
              <w:rPr>
                <w:rFonts w:ascii="Arial" w:cs="Arial" w:eastAsia="Arial" w:hAnsi="Arial"/>
                <w:sz w:val="14"/>
                <w:szCs w:val="14"/>
                <w:color w:val="auto"/>
              </w:rPr>
              <w:t>Issuance of common stock upon net settlement of restricted stock</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(11,650)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(11,650)</w:t>
            </w:r>
          </w:p>
        </w:tc>
        <w:tc>
          <w:tcPr>
            <w:tcW w:w="0" w:type="dxa"/>
            <w:vAlign w:val="bottom"/>
          </w:tcPr>
          <w:p>
            <w:pPr>
              <w:spacing w:after="0"/>
              <w:rPr>
                <w:sz w:val="1"/>
                <w:szCs w:val="1"/>
                <w:color w:val="auto"/>
              </w:rPr>
            </w:pPr>
          </w:p>
        </w:tc>
      </w:tr>
      <w:tr>
        <w:trPr>
          <w:trHeight w:val="185"/>
        </w:trPr>
        <w:tc>
          <w:tcPr>
            <w:tcW w:w="4520" w:type="dxa"/>
            <w:vAlign w:val="bottom"/>
          </w:tcPr>
          <w:p>
            <w:pPr>
              <w:ind w:left="20"/>
              <w:spacing w:after="0"/>
              <w:rPr>
                <w:sz w:val="20"/>
                <w:szCs w:val="20"/>
                <w:color w:val="auto"/>
              </w:rPr>
            </w:pPr>
            <w:r>
              <w:rPr>
                <w:rFonts w:ascii="Arial" w:cs="Arial" w:eastAsia="Arial" w:hAnsi="Arial"/>
                <w:sz w:val="14"/>
                <w:szCs w:val="14"/>
                <w:color w:val="auto"/>
              </w:rPr>
              <w:t>units</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common stock warrants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accumulated other comprehensive income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w:t>
            </w: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(3,624)</w:t>
            </w:r>
          </w:p>
        </w:tc>
        <w:tc>
          <w:tcPr>
            <w:tcW w:w="0" w:type="dxa"/>
            <w:vAlign w:val="bottom"/>
          </w:tcPr>
          <w:p>
            <w:pPr>
              <w:spacing w:after="0"/>
              <w:rPr>
                <w:sz w:val="1"/>
                <w:szCs w:val="1"/>
                <w:color w:val="auto"/>
              </w:rPr>
            </w:pPr>
          </w:p>
        </w:tc>
      </w:tr>
      <w:tr>
        <w:trPr>
          <w:trHeight w:val="23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112,337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1,648,260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(810,439)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839,229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160"/>
        <w:spacing w:after="0" w:line="215"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vertAlign w:val="superscript"/>
        </w:rPr>
        <w:t>)</w:t>
      </w:r>
      <w:r>
        <w:rPr>
          <w:rFonts w:ascii="Arial" w:cs="Arial" w:eastAsia="Arial" w:hAnsi="Arial"/>
          <w:sz w:val="13"/>
          <w:szCs w:val="13"/>
          <w:color w:val="auto"/>
        </w:rPr>
        <w:t>Reflects the one-for-four reverse stock split that was effective June 30, 2026, which has been applied retrospectively to all prior periods presented. Refer to Note 1, “Business Overview and Basis of Presentation”, for further information.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3"/>
                <w:szCs w:val="13"/>
                <w:b w:val="1"/>
                <w:bCs w:val="1"/>
                <w:color w:val="auto"/>
              </w:rPr>
              <w:t>Nine Months Ended September 30,</w:t>
            </w:r>
          </w:p>
        </w:tc>
      </w:tr>
      <w:tr>
        <w:trPr>
          <w:trHeight w:val="183"/>
        </w:trPr>
        <w:tc>
          <w:tcPr>
            <w:tcW w:w="8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2025</w:t>
            </w:r>
          </w:p>
        </w:tc>
      </w:tr>
      <w:tr>
        <w:trPr>
          <w:trHeight w:val="200"/>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130,843</w:t>
            </w:r>
          </w:p>
        </w:tc>
        <w:tc>
          <w:tcPr>
            <w:tcW w:w="100" w:type="dxa"/>
            <w:vAlign w:val="bottom"/>
          </w:tcPr>
          <w:p>
            <w:pPr>
              <w:spacing w:after="0"/>
              <w:rPr>
                <w:sz w:val="18"/>
                <w:szCs w:val="18"/>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(12,531)</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Benefit of deferred income taxes, net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(104,289)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Share-based compensation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78,689</w:t>
            </w: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28,797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19,003</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Non-cash operating leases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1,727</w:t>
            </w: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Accretion of discount on short-term investments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(691)</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5,365</w:t>
            </w: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Accounts receivable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(3,834)</w:t>
            </w:r>
          </w:p>
        </w:tc>
      </w:tr>
      <w:tr>
        <w:trPr>
          <w:trHeight w:val="213"/>
        </w:trPr>
        <w:tc>
          <w:tcPr>
            <w:tcW w:w="8180" w:type="dxa"/>
            <w:vAlign w:val="bottom"/>
          </w:tcPr>
          <w:p>
            <w:pPr>
              <w:ind w:left="240"/>
              <w:spacing w:after="0"/>
              <w:rPr>
                <w:sz w:val="20"/>
                <w:szCs w:val="20"/>
                <w:color w:val="auto"/>
              </w:rPr>
            </w:pPr>
            <w:r>
              <w:rPr>
                <w:rFonts w:ascii="Arial" w:cs="Arial" w:eastAsia="Arial" w:hAnsi="Arial"/>
                <w:sz w:val="15"/>
                <w:szCs w:val="15"/>
                <w:color w:val="auto"/>
              </w:rPr>
              <w:t>Network incentives receivable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11,112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18,011</w:t>
            </w:r>
          </w:p>
        </w:tc>
      </w:tr>
      <w:tr>
        <w:trPr>
          <w:trHeight w:val="219"/>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Settlements receivable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w:t>
            </w:r>
          </w:p>
        </w:tc>
      </w:tr>
      <w:tr>
        <w:trPr>
          <w:trHeight w:val="213"/>
        </w:trPr>
        <w:tc>
          <w:tcPr>
            <w:tcW w:w="8180" w:type="dxa"/>
            <w:vAlign w:val="bottom"/>
          </w:tcPr>
          <w:p>
            <w:pPr>
              <w:ind w:left="240"/>
              <w:spacing w:after="0"/>
              <w:rPr>
                <w:sz w:val="20"/>
                <w:szCs w:val="20"/>
                <w:color w:val="auto"/>
              </w:rPr>
            </w:pPr>
            <w:r>
              <w:rPr>
                <w:rFonts w:ascii="Arial" w:cs="Arial" w:eastAsia="Arial" w:hAnsi="Arial"/>
                <w:sz w:val="15"/>
                <w:szCs w:val="15"/>
                <w:color w:val="auto"/>
              </w:rPr>
              <w:t>Prepaid expenses and other assets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5,155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(2,743)</w:t>
            </w:r>
          </w:p>
        </w:tc>
      </w:tr>
      <w:tr>
        <w:trPr>
          <w:trHeight w:val="219"/>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r>
      <w:tr>
        <w:trPr>
          <w:trHeight w:val="213"/>
        </w:trPr>
        <w:tc>
          <w:tcPr>
            <w:tcW w:w="8180" w:type="dxa"/>
            <w:vAlign w:val="bottom"/>
          </w:tcPr>
          <w:p>
            <w:pPr>
              <w:ind w:left="240"/>
              <w:spacing w:after="0"/>
              <w:rPr>
                <w:sz w:val="20"/>
                <w:szCs w:val="20"/>
                <w:color w:val="auto"/>
              </w:rPr>
            </w:pPr>
            <w:r>
              <w:rPr>
                <w:rFonts w:ascii="Arial" w:cs="Arial" w:eastAsia="Arial" w:hAnsi="Arial"/>
                <w:sz w:val="15"/>
                <w:szCs w:val="15"/>
                <w:color w:val="auto"/>
              </w:rPr>
              <w:t>Revenue share payable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(7,488)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11,575</w:t>
            </w:r>
          </w:p>
        </w:tc>
      </w:tr>
      <w:tr>
        <w:trPr>
          <w:trHeight w:val="219"/>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Accrued expenses and other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(2,358)</w:t>
            </w:r>
          </w:p>
        </w:tc>
      </w:tr>
      <w:tr>
        <w:trPr>
          <w:trHeight w:val="213"/>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Operating lease liabilities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(3,374)</w:t>
            </w: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86,156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109,301</w:t>
            </w:r>
          </w:p>
        </w:tc>
      </w:tr>
      <w:tr>
        <w:trPr>
          <w:trHeight w:val="196"/>
        </w:trPr>
        <w:tc>
          <w:tcPr>
            <w:tcW w:w="818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Maturities of short-term investments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100,160</w:t>
            </w: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Capitalization of internal-use software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(24,586)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(21,470)</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property and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(1,992)</w:t>
            </w: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Cash paid for business combination, net of cash acquired</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(44,608)</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 acquired in business combination</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229,650</w:t>
            </w: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Purchases of short-term investments</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(3,501)</w:t>
            </w:r>
          </w:p>
        </w:tc>
      </w:tr>
      <w:tr>
        <w:trPr>
          <w:trHeight w:val="21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35,258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258,239</w:t>
            </w:r>
          </w:p>
        </w:tc>
      </w:tr>
      <w:tr>
        <w:trPr>
          <w:trHeight w:val="196"/>
        </w:trPr>
        <w:tc>
          <w:tcPr>
            <w:tcW w:w="818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 of common stock</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(105,123)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(294,788)</w:t>
            </w: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Change in funds payable and amounts due to customers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(41,547)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4,263</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Taxes paid related to net share settlement of restricted stock units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(28,493)</w:t>
            </w: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Payment of acquisition-related contingent and holdback considerations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(4,972)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shares issued in connection with employee stock purchase plan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994</w:t>
            </w:r>
          </w:p>
        </w:tc>
      </w:tr>
      <w:tr>
        <w:trPr>
          <w:trHeight w:val="162"/>
        </w:trPr>
        <w:tc>
          <w:tcPr>
            <w:tcW w:w="8180" w:type="dxa"/>
            <w:vAlign w:val="bottom"/>
          </w:tcPr>
          <w:p>
            <w:pPr>
              <w:ind w:left="20"/>
              <w:spacing w:after="0" w:line="162" w:lineRule="exact"/>
              <w:rPr>
                <w:sz w:val="20"/>
                <w:szCs w:val="20"/>
                <w:color w:val="auto"/>
              </w:rPr>
            </w:pPr>
            <w:r>
              <w:rPr>
                <w:rFonts w:ascii="Arial" w:cs="Arial" w:eastAsia="Arial" w:hAnsi="Arial"/>
                <w:sz w:val="15"/>
                <w:szCs w:val="15"/>
                <w:color w:val="auto"/>
              </w:rPr>
              <w:t>Proceeds from exercise of stock options, including early exercised stock options, net of repurchase of early exercised</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unvested options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1,630</w:t>
            </w: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(174,341)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(316,394)</w:t>
            </w:r>
          </w:p>
        </w:tc>
      </w:tr>
      <w:tr>
        <w:trPr>
          <w:trHeight w:val="209"/>
        </w:trPr>
        <w:tc>
          <w:tcPr>
            <w:tcW w:w="8180" w:type="dxa"/>
            <w:vAlign w:val="bottom"/>
          </w:tcPr>
          <w:p>
            <w:pPr>
              <w:ind w:left="20"/>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(52,927)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51,146</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1,017,931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931,516</w:t>
            </w: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 End of period</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965,004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982,662</w:t>
            </w:r>
          </w:p>
        </w:tc>
      </w:tr>
      <w:tr>
        <w:trPr>
          <w:trHeight w:val="21"/>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00"/>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 of cash, cash equivalents, and restricted cash</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697,464</w:t>
            </w:r>
          </w:p>
        </w:tc>
        <w:tc>
          <w:tcPr>
            <w:tcW w:w="100" w:type="dxa"/>
            <w:vAlign w:val="bottom"/>
          </w:tcPr>
          <w:p>
            <w:pPr>
              <w:spacing w:after="0"/>
              <w:rPr>
                <w:sz w:val="18"/>
                <w:szCs w:val="18"/>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747,248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234,519</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Restricted cash, included in Other assets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895</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cash, cash equivalents, and restricted cash</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965,004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982,662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Supplemental disclosures of non-cash investing and financing activities: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Share-based compensation capitalized to internal-use software</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8,649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5"/>
                <w:szCs w:val="15"/>
                <w:color w:val="auto"/>
              </w:rPr>
              <w:t>Repurchase of common stock, including excise tax, accrued and not yet paid</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 of property and equipment accrued and not yet paid</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ind w:left="20"/>
              <w:spacing w:after="0" w:line="163" w:lineRule="exact"/>
              <w:rPr>
                <w:sz w:val="20"/>
                <w:szCs w:val="20"/>
                <w:color w:val="auto"/>
              </w:rPr>
            </w:pPr>
            <w:r>
              <w:rPr>
                <w:rFonts w:ascii="Arial" w:cs="Arial" w:eastAsia="Arial" w:hAnsi="Arial"/>
                <w:sz w:val="15"/>
                <w:szCs w:val="15"/>
                <w:color w:val="auto"/>
              </w:rPr>
              <w:t>Contingent and holdback consideration, not yet paid</w:t>
            </w:r>
          </w:p>
        </w:tc>
        <w:tc>
          <w:tcPr>
            <w:tcW w:w="300" w:type="dxa"/>
            <w:vAlign w:val="bottom"/>
          </w:tcPr>
          <w:p>
            <w:pPr>
              <w:jc w:val="right"/>
              <w:ind w:right="124"/>
              <w:spacing w:after="0" w:line="163" w:lineRule="exact"/>
              <w:rPr>
                <w:sz w:val="20"/>
                <w:szCs w:val="20"/>
                <w:color w:val="auto"/>
              </w:rPr>
            </w:pPr>
            <w:r>
              <w:rPr>
                <w:rFonts w:ascii="Arial" w:cs="Arial" w:eastAsia="Arial" w:hAnsi="Arial"/>
                <w:sz w:val="15"/>
                <w:szCs w:val="15"/>
                <w:color w:val="auto"/>
                <w:w w:val="95"/>
              </w:rPr>
              <w:t>$</w:t>
            </w:r>
          </w:p>
        </w:tc>
        <w:tc>
          <w:tcPr>
            <w:tcW w:w="1280" w:type="dxa"/>
            <w:vAlign w:val="bottom"/>
            <w:gridSpan w:val="2"/>
          </w:tcPr>
          <w:p>
            <w:pPr>
              <w:jc w:val="right"/>
              <w:ind w:right="160"/>
              <w:spacing w:after="0" w:line="163" w:lineRule="exact"/>
              <w:rPr>
                <w:sz w:val="20"/>
                <w:szCs w:val="20"/>
                <w:color w:val="auto"/>
              </w:rPr>
            </w:pPr>
            <w:r>
              <w:rPr>
                <w:rFonts w:ascii="Arial" w:cs="Arial" w:eastAsia="Arial" w:hAnsi="Arial"/>
                <w:sz w:val="15"/>
                <w:szCs w:val="15"/>
                <w:color w:val="auto"/>
              </w:rPr>
              <w:t>—</w:t>
            </w:r>
          </w:p>
        </w:tc>
        <w:tc>
          <w:tcPr>
            <w:tcW w:w="340" w:type="dxa"/>
            <w:vAlign w:val="bottom"/>
          </w:tcPr>
          <w:p>
            <w:pPr>
              <w:jc w:val="right"/>
              <w:ind w:right="164"/>
              <w:spacing w:after="0" w:line="163" w:lineRule="exact"/>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line="163" w:lineRule="exact"/>
              <w:rPr>
                <w:sz w:val="20"/>
                <w:szCs w:val="20"/>
                <w:color w:val="auto"/>
              </w:rPr>
            </w:pPr>
            <w:r>
              <w:rPr>
                <w:rFonts w:ascii="Arial" w:cs="Arial" w:eastAsia="Arial" w:hAnsi="Arial"/>
                <w:sz w:val="15"/>
                <w:szCs w:val="15"/>
                <w:color w:val="auto"/>
              </w:rPr>
              <w:t>7,047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 in exchange for lease liabilities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and Basis of Presentation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Marqeta, Inc. (“the Company”) was incorporated in the state of Delaware in 2010 and creates digital payment technology for innovation leaders. The Company's modern card issuing platform empowers its customers to create customized and innovative payment card programs, giving them the configurability and flexibility to build better payment experiences.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all of its customers issuer processor services and for most of its customers it also acts as a card program manager.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primarily earns revenue from processing card transactions for its customers.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generally accepted accounting principles in the United States of America (“GAAP”) and the applicable rules and regulations of the Securities and Exchange Commission, (“SEC”), for interim reporting. Certain information and note disclosures included in the Company’s annual financial statements prepared in accordance with GAAP have been condensed or omitted pursuant to such rules and regulations. The Condensed Consolidated Balance Sheet as of December 31, 2025 has been derived from the Company’s audited consolidated financial statements, which are included in the Company’s Annual Report on Form 10-K for the fiscal year ended December 31, 2025, which was filed with the SEC on February 24, 2026. The accompanying Condensed Consolidated Financial Statements should be read in conjunction with the Company’s consolidated financial statements and notes thereto included in the Annual Report on Form 10-K.</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All intercompany balances and transactions have been eliminated in consolidation. In the opinion of management, the accompanying Condensed Consolidated Financial Statements reflect all adjustments of a normal, recurring nature considered necessary for a fair presentation of the Company's consolidated financial position, results of operations, comprehensive income (loss), and cash flows for the interim periods presented. The interim results for the three and nine months ended September 30, 2026 are not necessarily indicative of the results that may be expected for the year ending December 31, 2026, or for any other future annual or interim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30, 2026, following approval by the Company’s stockholders at the 2026 Annual Meeting of Stockholders on June 10, 2026, the Company effected a one-for-four reverse stock split of its issued and outstanding shares of Class A common stock and Class B common stock, together with a proportional reduction in the number of authorized shares of Class A, Class B, and preferred stock (the “Reverse Stock Split”). The Reverse Stock Split was effected by filing a Certificate of Amendment to the Company’s Amended and Restated Certificate of Incorporation. As a result of the Reverse Stock Split, every four shares of the Company’s Class A common stock or Class B common stock were automatically combined and converted into one share of the respective class of stock. The Reverse Stock Split did not change the par value per share of the Company’s common or preferred stock, nor did it alter the relative rights, preferences, or privileges of the holders of such stock. As a result, the aggregate par value of outstanding common stock was reduced proportionately, with a corresponding increase to additional paid-in capital. Total stockholders’ equity remained unchanged. No fractional shares were issued in connection with the Reverse Stock Split, and stockholders who otherwise would have been entitled to a fractional share received cash in lieu thereof.</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share-related and per share information presented in the accompanying condensed consolidated financial statements and notes thereto has been retroactively adjusted to reflect the Reverse Stock Split for all prior periods presented, as if the split had occurred at the beginning of the earliest period presented.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the financial statements in conformity with GAAP requires management to make various estimates and assumptions relating to reported amounts of assets and liabilities, disclosure of contingent liabilities, and reported amounts of revenue and expenses. Significant estimates and assumptions include, but are not limited to, the fair value and useful lives of assets acquired and liabilities assumed through business combinations, the estimation of contingent liabilities, the fair value of equity awards and warrants, share-based compensation, the estimation of variable consideration in contracts with customers, the cumulative network incentive rate the Company expects to earn during the annual measurement period, and valuation of income taxes, including the realizability of deferred tax assets and the related valuation allowance. Actual results could differ materially from these estimates.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Risks and Uncertainties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quarter ended March 31, 2026, the Company incurred net losses in each quarter since its inception, with the exception of the quarter ended June 30, 2024, which was primarily due to the forfeiture of the Executive Chairman Long-Term Incentive Award. As of September 30, 2026, the Company had an accumulated deficit of $681.0 million. The Company believes that its cash and cash equivalents of $697.5 million and short-term investments of $0.7 million as of September 30, 2026 are sufficient to fund its operations through at least the next twelve months from the issuance of these financial statements.</w:t>
      </w:r>
    </w:p>
    <w:p>
      <w:pPr>
        <w:spacing w:after="0" w:line="34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have been no material changes to the Company’s significant accounting policies from the Annual Report on Form 10-K for the fiscal year ended December 31, 2025.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May 2025, the FASB issued Accounting Standards Update No. 2025-04, “Compensation — Stock Compensation (Topic 718) and Revenue from Contracts with Customers (Topic 606): Clarifications to Share-Based Consideration Payable to a Customer” (“ASU 2025-04”). ASU 2025-04 clarifies that share-based consideration granted to a customer is measured and classified in accordance with ASC Topic 718, and that the variable consideration constraint of ASC Topic 606 does not apply to such awards. The update also explicitly incorporates conditions based on customer purchases or contract execution into the definition of "performance conditions," requiring the Company to estimate vesting probability upfront under ASC Topic 718. Finally, the standard eliminates the accounting policy election to record forfeitures as they occur for customer share-based awards, requiring that forfeitures be estimated.</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early adopted ASU 2025-04 on a modified retrospective basis as of January 1, 2026. As of the adoption date, all previously issued customer common stock warrants had fully vested and none remained outstanding. Remaining capitalized warrant assets from previous vestings continue to be amortized as a reduction of net revenue over the remaining contract term. Because the previously issued warrants had already fully vested, the adoption of this standard did not have any impact on the Company’s condensed consolidated financial statements as of the adoption date. Warrants issued during the three and nine months ended September 30, 2026 were assessed and accounted for in accordance with the guidance in ASU 2025-04.</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2024, the FASB issued Accounting Standards Update No. 2024-03, “Income Statement—Reporting Comprehensive Income— Expense Disaggregation Disclosures” (“ASU 2024-03”). ASU 2024-03 is intended to improve disclosures about a public business entity's expenses and provide more detailed information to investors about the types of expenses in commonly presented expense captions. The amendments in this ASU are effective for fiscal years beginning after December 15, 2026, and interim periods within fiscal years beginning after December 15, 2027. The Company plans to adopt this pronouncement in line with these effective dates. While the Company is currently evaluating the operational and financial reporting implications of this standard, the Company expects the adoption of ASU 2024-03 to result in enhanced disclosures regarding the type and nature of expenses included within the financial statement line items or similarly disaggregated expense disclosures.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2025, the FASB issued Accounting Standards Update No. 2025-06, “Intangibles - Goodwill and Other - Internal-Use Software (Subtopic 350-40): Targeted Improvements to the Accounting for Internal-Use Software” ("ASU 2025-06"). ASU 2025-06 modernizes the accounting for internal-use software costs by increasing the operability of the recognition guidance considering different methods of software development. ASU 2025-06 can be applied prospectively, retrospectively, or with a modified transition approach, and is effective for the Company for annual reporting as well as interim period reporting beginning in fiscal year 2028 with early adoption permitted. The ASU changes the timing of when certain costs begin to be capitalized for internal-use software projects, while retaining the criteria for what costs are capitalized and when capitalization ceases. The Company is currently evaluating the impact of adopting ASU 2025-06 on its condensed consolidated financial statements and related disclosures.</w:t>
      </w:r>
    </w:p>
    <w:p>
      <w:pPr>
        <w:spacing w:after="0" w:line="34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disaggregated revenue from customers: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780" w:type="dxa"/>
            <w:vAlign w:val="bottom"/>
            <w:gridSpan w:val="4"/>
          </w:tcPr>
          <w:p>
            <w:pPr>
              <w:jc w:val="right"/>
              <w:ind w:right="376"/>
              <w:spacing w:after="0"/>
              <w:rPr>
                <w:sz w:val="20"/>
                <w:szCs w:val="20"/>
                <w:color w:val="auto"/>
              </w:rPr>
            </w:pPr>
            <w:r>
              <w:rPr>
                <w:rFonts w:ascii="Arial" w:cs="Arial" w:eastAsia="Arial" w:hAnsi="Arial"/>
                <w:sz w:val="13"/>
                <w:szCs w:val="13"/>
                <w:b w:val="1"/>
                <w:bCs w:val="1"/>
                <w:color w:val="auto"/>
              </w:rPr>
              <w:t>Nine Months Ended September 30,</w:t>
            </w:r>
          </w:p>
        </w:tc>
      </w:tr>
      <w:tr>
        <w:trPr>
          <w:trHeight w:val="196"/>
        </w:trPr>
        <w:tc>
          <w:tcPr>
            <w:tcW w:w="50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2025</w:t>
            </w:r>
          </w:p>
        </w:tc>
      </w:tr>
      <w:tr>
        <w:trPr>
          <w:trHeight w:val="23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services revenue,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165,737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155,774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430,778</w:t>
            </w:r>
          </w:p>
        </w:tc>
      </w:tr>
      <w:tr>
        <w:trPr>
          <w:trHeight w:val="24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 revenue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21,993</w:t>
            </w:r>
          </w:p>
        </w:tc>
      </w:tr>
      <w:tr>
        <w:trPr>
          <w:trHeight w:val="261"/>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452,771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deferred revenue: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Contract balance</w:t>
            </w:r>
          </w:p>
        </w:tc>
        <w:tc>
          <w:tcPr>
            <w:tcW w:w="454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Balance sheet line reference</w:t>
            </w:r>
          </w:p>
        </w:tc>
        <w:tc>
          <w:tcPr>
            <w:tcW w:w="20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38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0"/>
        </w:trPr>
        <w:tc>
          <w:tcPr>
            <w:tcW w:w="3440" w:type="dxa"/>
            <w:vAlign w:val="bottom"/>
            <w:gridSpan w:val="2"/>
            <w:vMerge w:val="continue"/>
          </w:tcPr>
          <w:p>
            <w:pPr>
              <w:spacing w:after="0"/>
              <w:rPr>
                <w:sz w:val="10"/>
                <w:szCs w:val="10"/>
                <w:color w:val="auto"/>
              </w:rPr>
            </w:pPr>
          </w:p>
        </w:tc>
        <w:tc>
          <w:tcPr>
            <w:tcW w:w="45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70"/>
        </w:trPr>
        <w:tc>
          <w:tcPr>
            <w:tcW w:w="3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 current</w:t>
            </w: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assets - non-current</w:t>
            </w:r>
          </w:p>
        </w:tc>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62"/>
        </w:trPr>
        <w:tc>
          <w:tcPr>
            <w:tcW w:w="34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contract assets</w:t>
            </w:r>
          </w:p>
        </w:tc>
        <w:tc>
          <w:tcPr>
            <w:tcW w:w="4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Deferred revenue - current</w:t>
            </w:r>
          </w:p>
        </w:tc>
        <w:tc>
          <w:tcPr>
            <w:tcW w:w="4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gridSpan w:val="2"/>
            <w:vMerge w:val="continue"/>
          </w:tcPr>
          <w:p>
            <w:pPr>
              <w:spacing w:after="0"/>
              <w:rPr>
                <w:sz w:val="18"/>
                <w:szCs w:val="18"/>
                <w:color w:val="auto"/>
              </w:rPr>
            </w:pPr>
          </w:p>
        </w:tc>
        <w:tc>
          <w:tcPr>
            <w:tcW w:w="4540" w:type="dxa"/>
            <w:vAlign w:val="bottom"/>
            <w:gridSpan w:val="2"/>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11,762</w:t>
            </w:r>
          </w:p>
        </w:tc>
        <w:tc>
          <w:tcPr>
            <w:tcW w:w="0" w:type="dxa"/>
            <w:vAlign w:val="bottom"/>
          </w:tcPr>
          <w:p>
            <w:pPr>
              <w:spacing w:after="0"/>
              <w:rPr>
                <w:sz w:val="1"/>
                <w:szCs w:val="1"/>
                <w:color w:val="auto"/>
              </w:rPr>
            </w:pPr>
          </w:p>
        </w:tc>
      </w:tr>
      <w:tr>
        <w:trPr>
          <w:trHeight w:val="24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 non-current</w:t>
            </w: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36"/>
        </w:trPr>
        <w:tc>
          <w:tcPr>
            <w:tcW w:w="3440" w:type="dxa"/>
            <w:vAlign w:val="bottom"/>
            <w:gridSpan w:val="2"/>
          </w:tcPr>
          <w:p>
            <w:pPr>
              <w:ind w:left="460"/>
              <w:spacing w:after="0"/>
              <w:rPr>
                <w:sz w:val="20"/>
                <w:szCs w:val="20"/>
                <w:color w:val="auto"/>
              </w:rPr>
            </w:pPr>
            <w:r>
              <w:rPr>
                <w:rFonts w:ascii="Arial" w:cs="Arial" w:eastAsia="Arial" w:hAnsi="Arial"/>
                <w:sz w:val="18"/>
                <w:szCs w:val="18"/>
                <w:color w:val="auto"/>
              </w:rPr>
              <w:t>Total deferred revenue</w:t>
            </w:r>
          </w:p>
        </w:tc>
        <w:tc>
          <w:tcPr>
            <w:tcW w:w="4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revenue recognized during the three months ended September 30, 2026 and 2025 that was included in the deferred revenue balances at the beginning of the respective periods was $3.2 million and $5.0 million, respectively. Net revenue recognized during the nine months ended September 30, 2026 and 2025 that was included in the deferred revenue balances at the beginning of the respective periods was $7.4 million and $12.0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performance obligations associated with commitments in customer contracts for future stand-ready obligations to process transactions throughout the contractual term. As of September 30, 2026, the aggregate transaction price allocated to our remaining performance obligations was $36.2 million. The Company expects to recognize approximately 79% within two years and the remaining 21% over the next three to five years.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840" w:firstLine="8"/>
        <w:spacing w:after="0" w:line="375" w:lineRule="auto"/>
        <w:tabs>
          <w:tab w:leader="none" w:pos="35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b w:val="1"/>
          <w:bCs w:val="1"/>
          <w:i w:val="1"/>
          <w:iCs w:val="1"/>
          <w:color w:val="auto"/>
        </w:rPr>
        <w:t>TransactPay</w:t>
      </w:r>
    </w:p>
    <w:p>
      <w:pPr>
        <w:spacing w:after="0" w:line="1" w:lineRule="exact"/>
        <w:rPr>
          <w:sz w:val="20"/>
          <w:szCs w:val="20"/>
          <w:color w:val="auto"/>
        </w:rPr>
      </w:pPr>
    </w:p>
    <w:p>
      <w:pPr>
        <w:jc w:val="both"/>
        <w:spacing w:after="0" w:line="255" w:lineRule="auto"/>
        <w:rPr>
          <w:rFonts w:ascii="Arial" w:cs="Arial" w:eastAsia="Arial" w:hAnsi="Arial"/>
          <w:sz w:val="18"/>
          <w:szCs w:val="18"/>
          <w:color w:val="0000FF"/>
        </w:rPr>
      </w:pPr>
      <w:hyperlink r:id="rId30">
        <w:r>
          <w:rPr>
            <w:rFonts w:ascii="Arial" w:cs="Arial" w:eastAsia="Arial" w:hAnsi="Arial"/>
            <w:sz w:val="18"/>
            <w:szCs w:val="18"/>
            <w:color w:val="auto"/>
          </w:rPr>
          <w:t xml:space="preserve">The Company completed its acquisition of TransactPay on July 31, 2025. Refer to Note 4, “Business Combinations,” to the </w:t>
        </w:r>
        <w:r>
          <w:rPr>
            <w:rFonts w:ascii="Arial" w:cs="Arial" w:eastAsia="Arial" w:hAnsi="Arial"/>
            <w:sz w:val="18"/>
            <w:szCs w:val="18"/>
            <w:u w:val="single" w:color="auto"/>
            <w:color w:val="0000FF"/>
          </w:rPr>
          <w:t>consolidated</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FF"/>
          </w:rPr>
          <w:t>financial statements included in the Company’s Annual Report on Form 10-K</w:t>
        </w:r>
        <w:r>
          <w:rPr>
            <w:rFonts w:ascii="Arial" w:cs="Arial" w:eastAsia="Arial" w:hAnsi="Arial"/>
            <w:sz w:val="18"/>
            <w:szCs w:val="18"/>
            <w:color w:val="0000FF"/>
          </w:rPr>
          <w:t xml:space="preserve"> </w:t>
        </w:r>
        <w:r>
          <w:rPr>
            <w:rFonts w:ascii="Arial" w:cs="Arial" w:eastAsia="Arial" w:hAnsi="Arial"/>
            <w:sz w:val="18"/>
            <w:szCs w:val="18"/>
            <w:color w:val="000000"/>
          </w:rPr>
          <w:t>for the year ended December 31, 2025 for additional</w:t>
        </w:r>
      </w:hyperlink>
      <w:r>
        <w:rPr>
          <w:rFonts w:ascii="Arial" w:cs="Arial" w:eastAsia="Arial" w:hAnsi="Arial"/>
          <w:sz w:val="18"/>
          <w:szCs w:val="18"/>
          <w:color w:val="0000FF"/>
        </w:rPr>
        <w:t xml:space="preserve"> </w:t>
      </w:r>
      <w:r>
        <w:rPr>
          <w:rFonts w:ascii="Arial" w:cs="Arial" w:eastAsia="Arial" w:hAnsi="Arial"/>
          <w:sz w:val="18"/>
          <w:szCs w:val="18"/>
          <w:color w:val="000000"/>
        </w:rPr>
        <w:t>information regarding this acquisition. The measurement period for the acquisition ended during the three months ended September 30, 2026. The Company finalized the purchase price and allocation of the purchase price during that period with no adjustments to the amounts reported as of December 31, 2025. As part of the acquisition agreement, the Company withheld a portion of the shareholder closing consideration to cover potential losses for indemnified events (the "Indemnification Holdback"). The Company released the Indemnification Holdback during the three months ended September 30, 2026 for $2.2 million. As a result, no Indemnification Holdback liability was outstanding as of September 30, 2026.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disclosed in the Company’s Annual Report on Form 10-K for the year ended December 31, 2025, the acquisition of TransactPay included two earn-out arrangements (the “Regulatory Improvement Earn-out” of $2.3 million and the “Digital Products Earn-out” of up to $3.4 million) payable upon satisfaction of specified post-closing performance conditions. The digital products relate to an emerging line of business that was not part of TransactPay’s core operations at the time of acquisition. The accruals for both earn-outs were included as part of accrued expenses and other current liabilities in the Condensed Consolidated Balance Sheet as of December 31, 2025.</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2025, the Company had accrued approximately $2.3 million for the Regulatory Improvement Earn-out and approximately $1.3 million for the Digital Products Earn-out, reflecting management’s best estimate of the amounts expected to be paid based on the facts and circumstances available at that time.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2026, the Company remeasured the Digital Products Earn-out liability based on updated gross profit information, reducing the accrual by $0.9 million. This reduction was recognized as a gain in Other income, net in the Condensed Consolidated Statement of Operations and Comprehensive Income (Loss) for the nine months ended September 30, 2026.</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April 2026, the Company settled both earn-out arrangements for an aggregate payment of approximately $ 2.7 million, consisting of $2.3 million for the Regulatory Improvement Earn-out and $0.4 million for the Digital Products Earn-out. As a result, no contingent consideration liability was outstanding as of September 30, 2026.</w:t>
      </w:r>
    </w:p>
    <w:p>
      <w:pPr>
        <w:spacing w:after="0" w:line="333"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5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4160" w:type="dxa"/>
            <w:vAlign w:val="bottom"/>
          </w:tcPr>
          <w:p>
            <w:pPr>
              <w:spacing w:after="0"/>
              <w:rPr>
                <w:sz w:val="20"/>
                <w:szCs w:val="20"/>
                <w:color w:val="auto"/>
              </w:rPr>
            </w:pPr>
            <w:r>
              <w:rPr>
                <w:rFonts w:ascii="Arial" w:cs="Arial" w:eastAsia="Arial" w:hAnsi="Arial"/>
                <w:sz w:val="18"/>
                <w:szCs w:val="18"/>
                <w:color w:val="auto"/>
              </w:rPr>
              <w:t>Goodwill consisted of the following:</w:t>
            </w:r>
          </w:p>
        </w:tc>
        <w:tc>
          <w:tcPr>
            <w:tcW w:w="5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2025</w:t>
            </w:r>
          </w:p>
        </w:tc>
        <w:tc>
          <w:tcPr>
            <w:tcW w:w="5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154,706</w:t>
            </w: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adjustment</w:t>
            </w:r>
          </w:p>
        </w:tc>
        <w:tc>
          <w:tcPr>
            <w:tcW w:w="536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September 30, 2026</w:t>
            </w:r>
          </w:p>
        </w:tc>
        <w:tc>
          <w:tcPr>
            <w:tcW w:w="5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jc w:val="right"/>
              <w:ind w:right="3710"/>
              <w:spacing w:after="0"/>
              <w:rPr>
                <w:sz w:val="20"/>
                <w:szCs w:val="20"/>
                <w:color w:val="auto"/>
              </w:rPr>
            </w:pPr>
            <w:r>
              <w:rPr>
                <w:rFonts w:ascii="Arial" w:cs="Arial" w:eastAsia="Arial" w:hAnsi="Arial"/>
                <w:sz w:val="18"/>
                <w:szCs w:val="18"/>
                <w:color w:val="auto"/>
              </w:rPr>
              <w:t>14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416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16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Intangible assets resulting from the Company’s business combinations as of the dates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Developed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23"/>
          <w:szCs w:val="23"/>
          <w:color w:val="auto"/>
          <w:vertAlign w:val="superscript"/>
        </w:rPr>
        <w:t>(1)</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finite-lived intangible assets,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Accumulated amortization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Total finite-lived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Indefinite-lived intangible assets: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EMI licenses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intangible assets, net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2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51"/>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24"/>
                <w:szCs w:val="24"/>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79"/>
        </w:trPr>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68"/>
        </w:trPr>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47,809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48,059</w:t>
            </w:r>
          </w:p>
        </w:tc>
        <w:tc>
          <w:tcPr>
            <w:tcW w:w="0" w:type="dxa"/>
            <w:vAlign w:val="bottom"/>
          </w:tcPr>
          <w:p>
            <w:pPr>
              <w:spacing w:after="0"/>
              <w:rPr>
                <w:sz w:val="1"/>
                <w:szCs w:val="1"/>
                <w:color w:val="auto"/>
              </w:rPr>
            </w:pPr>
          </w:p>
        </w:tc>
      </w:tr>
      <w:tr>
        <w:trPr>
          <w:trHeight w:val="279"/>
        </w:trPr>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(25,448)</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(18,554)</w:t>
            </w:r>
          </w:p>
        </w:tc>
        <w:tc>
          <w:tcPr>
            <w:tcW w:w="0" w:type="dxa"/>
            <w:vAlign w:val="bottom"/>
          </w:tcPr>
          <w:p>
            <w:pPr>
              <w:spacing w:after="0"/>
              <w:rPr>
                <w:sz w:val="1"/>
                <w:szCs w:val="1"/>
                <w:color w:val="auto"/>
              </w:rPr>
            </w:pPr>
          </w:p>
        </w:tc>
      </w:tr>
      <w:tr>
        <w:trPr>
          <w:trHeight w:val="268"/>
        </w:trPr>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22,361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29,505</w:t>
            </w:r>
          </w:p>
        </w:tc>
        <w:tc>
          <w:tcPr>
            <w:tcW w:w="0" w:type="dxa"/>
            <w:vAlign w:val="bottom"/>
          </w:tcPr>
          <w:p>
            <w:pPr>
              <w:spacing w:after="0"/>
              <w:rPr>
                <w:sz w:val="1"/>
                <w:szCs w:val="1"/>
                <w:color w:val="auto"/>
              </w:rPr>
            </w:pPr>
          </w:p>
        </w:tc>
      </w:tr>
      <w:tr>
        <w:trPr>
          <w:trHeight w:val="563"/>
        </w:trPr>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21,107</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43,468</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51,388</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2960"/>
          </w:cols>
          <w:pgMar w:left="320" w:top="125" w:right="339" w:bottom="1440" w:gutter="0" w:footer="0" w:header="0"/>
          <w:type w:val="continuous"/>
        </w:sectPr>
      </w:pPr>
    </w:p>
    <w:p>
      <w:pPr>
        <w:spacing w:after="0" w:line="42" w:lineRule="exact"/>
        <w:rPr>
          <w:sz w:val="20"/>
          <w:szCs w:val="20"/>
          <w:color w:val="auto"/>
        </w:rPr>
      </w:pPr>
    </w:p>
    <w:p>
      <w:pPr>
        <w:jc w:val="both"/>
        <w:ind w:firstLine="8"/>
        <w:spacing w:after="0" w:line="266"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customer relationships and EMI licenses acquired in the TransactPay acquisition are denominated in Euros. The changes in the carrying amounts reported for these assets since the acquisition date as of September 30, 2026 and December 31, 2025 are attributable to fluctuations in foreign currency exchange rates.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amortization period for developed technology and customer relationships intangible assets is 7 years and 2 years, respectively. Amortization expense for intangible assets was $2.3 million and $2.0 million for the three months ended September 30, 2026 and 2025, respectively. Amortization expense for intangible assets was $7.0 million and $5.0 million for the nine months ended September 30, 2026 and 2025, respectively.</w:t>
      </w:r>
    </w:p>
    <w:p>
      <w:pPr>
        <w:spacing w:after="0" w:line="338"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 and estimated fair value of the Company's short-term investments consisted of the following:</w:t>
      </w:r>
    </w:p>
    <w:p>
      <w:pPr>
        <w:spacing w:after="0" w:line="181"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23495</wp:posOffset>
            </wp:positionV>
            <wp:extent cx="29914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Unrealized Gain</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24"/>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43"/>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Asset-backed securities</w:t>
            </w: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61"/>
        </w:trPr>
        <w:tc>
          <w:tcPr>
            <w:tcW w:w="6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short-term investments</w:t>
            </w: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513"/>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2025</w:t>
            </w: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09"/>
        </w:trPr>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Unrealized Gain</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24"/>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55,955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56,087</w:t>
            </w:r>
          </w:p>
        </w:tc>
      </w:tr>
      <w:tr>
        <w:trPr>
          <w:trHeight w:val="243"/>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w:t>
            </w:r>
          </w:p>
        </w:tc>
      </w:tr>
      <w:tr>
        <w:trPr>
          <w:trHeight w:val="236"/>
        </w:trPr>
        <w:tc>
          <w:tcPr>
            <w:tcW w:w="6520" w:type="dxa"/>
            <w:vAlign w:val="bottom"/>
          </w:tcPr>
          <w:p>
            <w:pPr>
              <w:ind w:left="560"/>
              <w:spacing w:after="0"/>
              <w:rPr>
                <w:sz w:val="20"/>
                <w:szCs w:val="20"/>
                <w:color w:val="auto"/>
              </w:rPr>
            </w:pPr>
            <w:r>
              <w:rPr>
                <w:rFonts w:ascii="Arial" w:cs="Arial" w:eastAsia="Arial" w:hAnsi="Arial"/>
                <w:sz w:val="18"/>
                <w:szCs w:val="18"/>
                <w:color w:val="auto"/>
              </w:rPr>
              <w:t>Total short-term investments</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62,319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62,483</w:t>
            </w:r>
          </w:p>
        </w:tc>
      </w:tr>
      <w:tr>
        <w:trPr>
          <w:trHeight w:val="21"/>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did not have any short-term investments in unrealized loss positions as of September 30, 2026 and December 31, 2025. Generally, the Company does not intend to sell short-term investments that have unrealized losses, and does not anticipate that it is more-likely-than-not that it will be required to sell such securities before any anticipated recovery of the entire amortized cost basis.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realized gains or losses from short-term investments that were reclassified out of accumulated other comprehensive income (loss) for both the three and nine months ended September 30, 2026 and 2025. The Company determined there were no material credit or non-credit related impairments as of September 30, 2026 and December 31,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stated maturities of the Company’s short-term investments: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September 30, 2026</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December 31, 2025</w:t>
            </w:r>
          </w:p>
        </w:tc>
        <w:tc>
          <w:tcPr>
            <w:tcW w:w="760" w:type="dxa"/>
            <w:vAlign w:val="bottom"/>
            <w:tcBorders>
              <w:bottom w:val="single" w:sz="8" w:color="auto"/>
            </w:tcBorders>
          </w:tcPr>
          <w:p>
            <w:pPr>
              <w:spacing w:after="0"/>
              <w:rPr>
                <w:sz w:val="17"/>
                <w:szCs w:val="17"/>
                <w:color w:val="auto"/>
              </w:rPr>
            </w:pPr>
          </w:p>
        </w:tc>
      </w:tr>
      <w:tr>
        <w:trPr>
          <w:trHeight w:val="209"/>
        </w:trPr>
        <w:tc>
          <w:tcPr>
            <w:tcW w:w="5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 Fair Value</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24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56,087</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6,396</w:t>
            </w:r>
          </w:p>
        </w:tc>
      </w:tr>
      <w:tr>
        <w:trPr>
          <w:trHeight w:val="262"/>
        </w:trPr>
        <w:tc>
          <w:tcPr>
            <w:tcW w:w="50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62,483</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hierarchy for assets and liabilities measured at fair value: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 2026</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10"/>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 Fair Value</w:t>
            </w:r>
          </w:p>
        </w:tc>
      </w:tr>
      <w:tr>
        <w:trPr>
          <w:trHeight w:val="224"/>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43"/>
        </w:trPr>
        <w:tc>
          <w:tcPr>
            <w:tcW w:w="5280" w:type="dxa"/>
            <w:vAlign w:val="bottom"/>
          </w:tcPr>
          <w:p>
            <w:pPr>
              <w:ind w:left="360"/>
              <w:spacing w:after="0"/>
              <w:rPr>
                <w:sz w:val="20"/>
                <w:szCs w:val="20"/>
                <w:color w:val="auto"/>
              </w:rPr>
            </w:pPr>
            <w:r>
              <w:rPr>
                <w:rFonts w:ascii="Arial" w:cs="Arial" w:eastAsia="Arial" w:hAnsi="Arial"/>
                <w:sz w:val="18"/>
                <w:szCs w:val="18"/>
                <w:color w:val="auto"/>
              </w:rPr>
              <w:t>U.S. treasury bills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258,552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258,552</w:t>
            </w:r>
          </w:p>
        </w:tc>
      </w:tr>
      <w:tr>
        <w:trPr>
          <w:trHeight w:val="24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104,279</w:t>
            </w:r>
          </w:p>
        </w:tc>
      </w:tr>
      <w:tr>
        <w:trPr>
          <w:trHeight w:val="243"/>
        </w:trPr>
        <w:tc>
          <w:tcPr>
            <w:tcW w:w="528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76,148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76,148</w:t>
            </w:r>
          </w:p>
        </w:tc>
      </w:tr>
      <w:tr>
        <w:trPr>
          <w:trHeight w:val="24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w:t>
            </w:r>
          </w:p>
        </w:tc>
      </w:tr>
      <w:tr>
        <w:trPr>
          <w:trHeight w:val="243"/>
        </w:trPr>
        <w:tc>
          <w:tcPr>
            <w:tcW w:w="528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3,011</w:t>
            </w: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52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cash</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5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58,759</w:t>
            </w:r>
          </w:p>
        </w:tc>
      </w:tr>
      <w:tr>
        <w:trPr>
          <w:trHeight w:val="256"/>
        </w:trPr>
        <w:tc>
          <w:tcPr>
            <w:tcW w:w="52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99,370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520,960</w:t>
            </w: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86"/>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December 31, 2025</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10"/>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 Fair Value</w:t>
            </w:r>
          </w:p>
        </w:tc>
      </w:tr>
      <w:tr>
        <w:trPr>
          <w:trHeight w:val="224"/>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43"/>
        </w:trPr>
        <w:tc>
          <w:tcPr>
            <w:tcW w:w="5280" w:type="dxa"/>
            <w:vAlign w:val="bottom"/>
          </w:tcPr>
          <w:p>
            <w:pPr>
              <w:ind w:left="360"/>
              <w:spacing w:after="0"/>
              <w:rPr>
                <w:sz w:val="20"/>
                <w:szCs w:val="20"/>
                <w:color w:val="auto"/>
              </w:rPr>
            </w:pPr>
            <w:r>
              <w:rPr>
                <w:rFonts w:ascii="Arial" w:cs="Arial" w:eastAsia="Arial" w:hAnsi="Arial"/>
                <w:sz w:val="18"/>
                <w:szCs w:val="18"/>
                <w:color w:val="auto"/>
              </w:rPr>
              <w:t>U.S. treasury bills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292,381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292,381</w:t>
            </w:r>
          </w:p>
        </w:tc>
      </w:tr>
      <w:tr>
        <w:trPr>
          <w:trHeight w:val="24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96,042</w:t>
            </w:r>
          </w:p>
        </w:tc>
      </w:tr>
      <w:tr>
        <w:trPr>
          <w:trHeight w:val="243"/>
        </w:trPr>
        <w:tc>
          <w:tcPr>
            <w:tcW w:w="528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41,450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41,450</w:t>
            </w:r>
          </w:p>
        </w:tc>
      </w:tr>
      <w:tr>
        <w:trPr>
          <w:trHeight w:val="24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35,213</w:t>
            </w:r>
          </w:p>
        </w:tc>
      </w:tr>
      <w:tr>
        <w:trPr>
          <w:trHeight w:val="243"/>
        </w:trPr>
        <w:tc>
          <w:tcPr>
            <w:tcW w:w="528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16,059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16,059</w:t>
            </w: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528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56,087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56,087</w:t>
            </w:r>
          </w:p>
        </w:tc>
      </w:tr>
      <w:tr>
        <w:trPr>
          <w:trHeight w:val="24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Restricted cash</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45,786</w:t>
            </w:r>
          </w:p>
        </w:tc>
      </w:tr>
      <w:tr>
        <w:trPr>
          <w:trHeight w:val="236"/>
        </w:trPr>
        <w:tc>
          <w:tcPr>
            <w:tcW w:w="5280" w:type="dxa"/>
            <w:vAlign w:val="bottom"/>
          </w:tcPr>
          <w:p>
            <w:pPr>
              <w:ind w:left="560"/>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490,296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99,118</w:t>
            </w:r>
          </w:p>
        </w:tc>
        <w:tc>
          <w:tcPr>
            <w:tcW w:w="100" w:type="dxa"/>
            <w:vAlign w:val="bottom"/>
          </w:tcPr>
          <w:p>
            <w:pPr>
              <w:spacing w:after="0"/>
              <w:rPr>
                <w:sz w:val="20"/>
                <w:szCs w:val="20"/>
                <w:color w:val="auto"/>
              </w:rPr>
            </w:pP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589,414</w:t>
            </w:r>
          </w:p>
        </w:tc>
      </w:tr>
      <w:tr>
        <w:trPr>
          <w:trHeight w:val="21"/>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59"/>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89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4"/>
        </w:trPr>
        <w:tc>
          <w:tcPr>
            <w:tcW w:w="5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classifies money market funds, U.S. treasury bills, commercial paper, certificates of deposit, U.S. treasury securities, asset-backed securities, and corporate debt securities within Level 1 or Level 2 of the fair value hierarchy because the Company values these investments using quoted market prices or alternative pricing sources and models utilizing market observable inputs.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transfers of financial instruments between the fair value hierarchy levels during the three and nine months ended September 30, 2026, or the year ended December 31, 2025.</w:t>
      </w:r>
    </w:p>
    <w:p>
      <w:pPr>
        <w:spacing w:after="0" w:line="31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Certain Balance Sheet Components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0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2025</w:t>
            </w:r>
          </w:p>
        </w:tc>
      </w:tr>
      <w:tr>
        <w:trPr>
          <w:trHeight w:val="26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and purchased software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115,528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86,435</w:t>
            </w:r>
          </w:p>
        </w:tc>
      </w:tr>
      <w:tr>
        <w:trPr>
          <w:trHeight w:val="283"/>
        </w:trPr>
        <w:tc>
          <w:tcPr>
            <w:tcW w:w="81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9,311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9,678</w:t>
            </w:r>
          </w:p>
        </w:tc>
      </w:tr>
      <w:tr>
        <w:trPr>
          <w:trHeight w:val="28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w:t>
            </w:r>
          </w:p>
        </w:tc>
      </w:tr>
      <w:tr>
        <w:trPr>
          <w:trHeight w:val="283"/>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r>
      <w:tr>
        <w:trPr>
          <w:trHeight w:val="237"/>
        </w:trPr>
        <w:tc>
          <w:tcPr>
            <w:tcW w:w="8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and equipment, gross</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131,948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108,221</w:t>
            </w:r>
          </w:p>
        </w:tc>
      </w:tr>
      <w:tr>
        <w:trPr>
          <w:trHeight w:val="283"/>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(62,332)</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(48,311)</w:t>
            </w:r>
          </w:p>
        </w:tc>
      </w:tr>
      <w:tr>
        <w:trPr>
          <w:trHeight w:val="262"/>
        </w:trPr>
        <w:tc>
          <w:tcPr>
            <w:tcW w:w="8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$7.9 million and $5.6 million for the three months ended September 30, 2026 and 2025, respectively, and $21.8 million and $14.6 million for the nine months ended September 30, 2026 and 2025, respectively.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capitalized $10.4 million and $11.0 million as internal-use software development costs during the three months ended September 30, 2026 and 2025, respectively, and $32.0 million and $30.5 million during the nine months ended September 30, 2026 and 2025,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consisted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0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84"/>
        </w:trPr>
        <w:tc>
          <w:tcPr>
            <w:tcW w:w="8140" w:type="dxa"/>
            <w:vAlign w:val="bottom"/>
          </w:tcPr>
          <w:p>
            <w:pPr>
              <w:ind w:left="20"/>
              <w:spacing w:after="0"/>
              <w:rPr>
                <w:sz w:val="20"/>
                <w:szCs w:val="20"/>
                <w:color w:val="auto"/>
              </w:rPr>
            </w:pPr>
            <w:r>
              <w:rPr>
                <w:rFonts w:ascii="Arial" w:cs="Arial" w:eastAsia="Arial" w:hAnsi="Arial"/>
                <w:sz w:val="18"/>
                <w:szCs w:val="18"/>
                <w:color w:val="auto"/>
              </w:rPr>
              <w:t>Contract assets, noncurrent</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6,688</w:t>
            </w:r>
          </w:p>
        </w:tc>
      </w:tr>
      <w:tr>
        <w:trPr>
          <w:trHeight w:val="28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w:t>
            </w:r>
          </w:p>
        </w:tc>
      </w:tr>
      <w:tr>
        <w:trPr>
          <w:trHeight w:val="236"/>
        </w:trPr>
        <w:tc>
          <w:tcPr>
            <w:tcW w:w="814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15,439</w:t>
            </w:r>
          </w:p>
        </w:tc>
      </w:tr>
      <w:tr>
        <w:trPr>
          <w:trHeight w:val="21"/>
        </w:trPr>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increase in deferred tax assets, net as of September 30, 2026 primarily reflects the recognition of deferred tax assets related to U.S. net operating losses, federal tax credits carryforwards, and capitalized research and development expenditures following the release of a significant portion of the related valuation allowances during the three and nine months ended September 30, 2026. See Note 13 for additional information.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costs of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103,882</w:t>
            </w:r>
          </w:p>
        </w:tc>
        <w:tc>
          <w:tcPr>
            <w:tcW w:w="100" w:type="dxa"/>
            <w:vAlign w:val="bottom"/>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47,702</w:t>
            </w:r>
          </w:p>
        </w:tc>
        <w:tc>
          <w:tcPr>
            <w:tcW w:w="100" w:type="dxa"/>
            <w:vAlign w:val="bottom"/>
          </w:tcPr>
          <w:p>
            <w:pPr>
              <w:spacing w:after="0"/>
              <w:rPr>
                <w:sz w:val="21"/>
                <w:szCs w:val="2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100" w:type="dxa"/>
            <w:vAlign w:val="bottom"/>
            <w:shd w:val="clear" w:color="auto" w:fill="CCEEFF"/>
          </w:tcPr>
          <w:p>
            <w:pPr>
              <w:spacing w:after="0"/>
              <w:rPr>
                <w:sz w:val="21"/>
                <w:szCs w:val="2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Due to Issuing Banks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21"/>
                <w:szCs w:val="2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21"/>
                <w:szCs w:val="2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1"/>
                <w:szCs w:val="2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 liabilities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100" w:type="dxa"/>
            <w:vAlign w:val="bottom"/>
            <w:shd w:val="clear" w:color="auto" w:fill="CCEEFF"/>
          </w:tcPr>
          <w:p>
            <w:pPr>
              <w:spacing w:after="0"/>
              <w:rPr>
                <w:sz w:val="21"/>
                <w:szCs w:val="2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Holdback consideration liability (see Note 4)</w:t>
            </w: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1"/>
                <w:szCs w:val="2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liability (see Note 4)</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21"/>
                <w:szCs w:val="21"/>
                <w:color w:val="auto"/>
              </w:rPr>
            </w:pPr>
          </w:p>
        </w:tc>
      </w:tr>
      <w:tr>
        <w:trPr>
          <w:trHeight w:val="24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Borders>
              <w:bottom w:val="single" w:sz="8" w:color="CCEEFF"/>
            </w:tcBorders>
          </w:tcPr>
          <w:p>
            <w:pPr>
              <w:spacing w:after="0"/>
              <w:rPr>
                <w:sz w:val="21"/>
                <w:szCs w:val="21"/>
                <w:color w:val="auto"/>
              </w:rPr>
            </w:pPr>
          </w:p>
        </w:tc>
      </w:tr>
      <w:tr>
        <w:trPr>
          <w:trHeight w:val="302"/>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167,669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215,793</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8020" w:firstLine="8"/>
        <w:spacing w:after="0" w:line="375" w:lineRule="auto"/>
        <w:tabs>
          <w:tab w:leader="none" w:pos="35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Letter of Credit and Restricted Cash</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Oakland lease, the Company is required to provide the landlord a $0.9 million letter of credit. The Company has secured this letter of credit by depositing $0.9 million with the issuing financial institution. During the second quarter of 2026, the Company established a $ 1.2 million deposit held at an Issuing Bank, which serves as collateral to ensure settlement of cardholder transactions with the Card Networks in the event that cardholder funds are not deposited in time. Both amounts are classified as long-term restricted cash and recorded in other assets on the Condensed Consolidated Balance Sheets.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2026, the balance of restricted cash associated with customer funds was $265.3 million, of which $58.8 million is invested in money market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in the normal course of business, the Company may be subject to various legal matters such as threatened or pending claims or proceedings. Given the unpredictable nature of legal proceedings, the Company bases its assessment on the information available at the time the financials are available to be issued. As additional information becomes available, the Company reassesses the probability of the loss contingency and the potential liability, and may revise the estimate. The Company is currently involved in the following matters: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December 9, 2024, a putative securities class action lawsuit, captioned </w:t>
      </w:r>
      <w:r>
        <w:rPr>
          <w:rFonts w:ascii="Arial" w:cs="Arial" w:eastAsia="Arial" w:hAnsi="Arial"/>
          <w:sz w:val="18"/>
          <w:szCs w:val="18"/>
          <w:i w:val="1"/>
          <w:iCs w:val="1"/>
          <w:color w:val="auto"/>
        </w:rPr>
        <w:t>Wai v. Marqeta, Inc., et al.</w:t>
      </w:r>
      <w:r>
        <w:rPr>
          <w:rFonts w:ascii="Arial" w:cs="Arial" w:eastAsia="Arial" w:hAnsi="Arial"/>
          <w:sz w:val="18"/>
          <w:szCs w:val="18"/>
          <w:color w:val="auto"/>
        </w:rPr>
        <w:t xml:space="preserve">, Case No. 24-cv-08874 (N.D. Cal.), was filed in federal court in the Northern District of California (“Court”) against </w:t>
      </w:r>
      <w:r>
        <w:rPr>
          <w:rFonts w:ascii="Arial" w:cs="Arial" w:eastAsia="Arial" w:hAnsi="Arial"/>
          <w:sz w:val="18"/>
          <w:szCs w:val="18"/>
          <w:color w:val="231F20"/>
        </w:rPr>
        <w:t>the Company and certain of its current and former officers</w:t>
      </w:r>
      <w:r>
        <w:rPr>
          <w:rFonts w:ascii="Arial" w:cs="Arial" w:eastAsia="Arial" w:hAnsi="Arial"/>
          <w:sz w:val="18"/>
          <w:szCs w:val="18"/>
          <w:color w:val="auto"/>
        </w:rPr>
        <w:t xml:space="preserve"> (“Defendants”) alleging violations of federal securities laws. The lawsuit asserted that Defendants made false or misleading statements relating to the Company’s performance or revenue and gross profit expectations in violation of Sections 10(b) and 20(a) of the Securities Exchange Act of 1934 and Rule 10b-5 promulgated thereunder.</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December 10, 2024, a second putative securities class action lawsuit, captioned </w:t>
      </w:r>
      <w:r>
        <w:rPr>
          <w:rFonts w:ascii="Arial" w:cs="Arial" w:eastAsia="Arial" w:hAnsi="Arial"/>
          <w:sz w:val="18"/>
          <w:szCs w:val="18"/>
          <w:i w:val="1"/>
          <w:iCs w:val="1"/>
          <w:color w:val="auto"/>
        </w:rPr>
        <w:t>Ford v. Marqeta, Inc.</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xml:space="preserve">, Case No. 24-cv-08892 (N.D. Cal.), was filed in the same Court against the same Defendants alleging violations of the same federal securities laws. The second lawsuit asserted similar theories of liability as the first lawsuit </w:t>
      </w:r>
      <w:r>
        <w:rPr>
          <w:rFonts w:ascii="Arial" w:cs="Arial" w:eastAsia="Arial" w:hAnsi="Arial"/>
          <w:sz w:val="18"/>
          <w:szCs w:val="18"/>
          <w:color w:val="231F20"/>
        </w:rPr>
        <w:t>but alleges a broader putative class period of between May 7, 2024 and November 4,</w:t>
      </w:r>
      <w:r>
        <w:rPr>
          <w:rFonts w:ascii="Arial" w:cs="Arial" w:eastAsia="Arial" w:hAnsi="Arial"/>
          <w:sz w:val="18"/>
          <w:szCs w:val="18"/>
          <w:color w:val="auto"/>
        </w:rPr>
        <w:t xml:space="preserve"> </w:t>
      </w:r>
      <w:r>
        <w:rPr>
          <w:rFonts w:ascii="Arial" w:cs="Arial" w:eastAsia="Arial" w:hAnsi="Arial"/>
          <w:sz w:val="18"/>
          <w:szCs w:val="18"/>
          <w:color w:val="231F20"/>
        </w:rPr>
        <w:t>2024 and some additional and/or different allegations on which the claims are based</w:t>
      </w:r>
      <w:r>
        <w:rPr>
          <w:rFonts w:ascii="Arial" w:cs="Arial" w:eastAsia="Arial" w:hAnsi="Arial"/>
          <w:sz w:val="18"/>
          <w:szCs w:val="18"/>
          <w:color w:val="000000"/>
        </w:rPr>
        <w:t>. Both lawsuits (collectively, the “Securities Actions”)</w:t>
      </w:r>
      <w:r>
        <w:rPr>
          <w:rFonts w:ascii="Arial" w:cs="Arial" w:eastAsia="Arial" w:hAnsi="Arial"/>
          <w:sz w:val="18"/>
          <w:szCs w:val="18"/>
          <w:color w:val="231F20"/>
        </w:rPr>
        <w:t xml:space="preserve"> </w:t>
      </w:r>
      <w:r>
        <w:rPr>
          <w:rFonts w:ascii="Arial" w:cs="Arial" w:eastAsia="Arial" w:hAnsi="Arial"/>
          <w:sz w:val="18"/>
          <w:szCs w:val="18"/>
          <w:color w:val="000000"/>
        </w:rPr>
        <w:t xml:space="preserve">seek to recover damages on behalf of shareholders who acquired shares of the Company’s common stock during their respective putative class periods. The Securities Actions have been consolidated into one consolidated securities litigation captioned </w:t>
      </w:r>
      <w:r>
        <w:rPr>
          <w:rFonts w:ascii="Arial" w:cs="Arial" w:eastAsia="Arial" w:hAnsi="Arial"/>
          <w:sz w:val="18"/>
          <w:szCs w:val="18"/>
          <w:i w:val="1"/>
          <w:iCs w:val="1"/>
          <w:color w:val="000000"/>
        </w:rPr>
        <w:t>In re Marqeta, Inc.</w:t>
      </w:r>
      <w:r>
        <w:rPr>
          <w:rFonts w:ascii="Arial" w:cs="Arial" w:eastAsia="Arial" w:hAnsi="Arial"/>
          <w:sz w:val="18"/>
          <w:szCs w:val="18"/>
          <w:color w:val="000000"/>
        </w:rPr>
        <w:t xml:space="preserve"> </w:t>
      </w:r>
      <w:r>
        <w:rPr>
          <w:rFonts w:ascii="Arial" w:cs="Arial" w:eastAsia="Arial" w:hAnsi="Arial"/>
          <w:sz w:val="18"/>
          <w:szCs w:val="18"/>
          <w:i w:val="1"/>
          <w:iCs w:val="1"/>
          <w:color w:val="000000"/>
        </w:rPr>
        <w:t>Securities Litigation</w:t>
      </w:r>
      <w:r>
        <w:rPr>
          <w:rFonts w:ascii="Arial" w:cs="Arial" w:eastAsia="Arial" w:hAnsi="Arial"/>
          <w:sz w:val="18"/>
          <w:szCs w:val="18"/>
          <w:color w:val="000000"/>
        </w:rPr>
        <w: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Case No. 24-08874-YGR (N.D. Cal.) and the Court has appointed a lead plaintiff and lead plaintiff’s counsel in the matter. On April 10, 2025, the lead plaintiff filed a consolidated amended complaint, which alleges a putative class period of between February 28, 2024 and November 4, 2024. The Company and the other Defendants filed a motion to dismiss the consolidated amended complaint on May 15, 2025.</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3, 2025, a settlement was reached, in principle, with the lead plaintiff’s counsel to resolve the Securities Actions for payments totaling $ 13.0 million, subject to judicial approvals. The Company’s Directors &amp; Officers insurance policy includes a $5.0 million self-insured retention that applies to covered losses related to the Securities Actions, including legal defense fees and settlement payments. In September 2026, the Court granted preliminary approval of the settlement. The Company and insurers have funded their respective portions of the settlement fund. The fairness and final approval hearing for the settlement is scheduled for January 2027.</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funding, the $13.0 million settlement liability previously recorded in accrued expenses and other current liabilities on the Condensed Consolidated Balance Sheet as of December 31, 2025 was released during the three months ended September 30, 2026, and the corresponding insurance recovery receivable previously recorded in prepaid expenses and other current assets on the Condensed Consolidated Balance Sheet as of December 31, 2025 was reduced to an immaterial balance as of September 30, 2026. The Company expects to continue to incur legal fees in connection with this matter through final approval. Such fees are expected to be recoverable under the Company’s insurance policy and are not expected to be material.</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February 4, 2025, a putative shareholder derivative lawsuit, captioned </w:t>
      </w:r>
      <w:r>
        <w:rPr>
          <w:rFonts w:ascii="Arial" w:cs="Arial" w:eastAsia="Arial" w:hAnsi="Arial"/>
          <w:sz w:val="18"/>
          <w:szCs w:val="18"/>
          <w:i w:val="1"/>
          <w:iCs w:val="1"/>
          <w:color w:val="auto"/>
        </w:rPr>
        <w:t>Smith v. Khalaf, et al.</w:t>
      </w:r>
      <w:r>
        <w:rPr>
          <w:rFonts w:ascii="Arial" w:cs="Arial" w:eastAsia="Arial" w:hAnsi="Arial"/>
          <w:sz w:val="18"/>
          <w:szCs w:val="18"/>
          <w:color w:val="auto"/>
        </w:rPr>
        <w:t>, Case No. 25-cv-01174 (N.D. Cal.), was filed in the same Court against certain of the Company’s current and former officers and its Board of Directors (as then constituted), and names the Company as a nominal defendant. This lawsuit asserts claims for breach of fiduciary duties and violations of federal securities laws, among other claims, between the time period of May 7, 2024 and November 4, 2024 under similar theories as the Securities Actions. Two other substantially similar putative shareholder derivative lawsuits, captioned O</w:t>
      </w:r>
      <w:r>
        <w:rPr>
          <w:rFonts w:ascii="Arial" w:cs="Arial" w:eastAsia="Arial" w:hAnsi="Arial"/>
          <w:sz w:val="18"/>
          <w:szCs w:val="18"/>
          <w:i w:val="1"/>
          <w:iCs w:val="1"/>
          <w:color w:val="auto"/>
        </w:rPr>
        <w:t>jserkis v. Khalaf, et al.</w:t>
      </w:r>
      <w:r>
        <w:rPr>
          <w:rFonts w:ascii="Arial" w:cs="Arial" w:eastAsia="Arial" w:hAnsi="Arial"/>
          <w:sz w:val="18"/>
          <w:szCs w:val="18"/>
          <w:color w:val="auto"/>
        </w:rPr>
        <w:t xml:space="preserve">, Case No. 25-cv-01883 (N.D. Cal.) and </w:t>
      </w:r>
      <w:r>
        <w:rPr>
          <w:rFonts w:ascii="Arial" w:cs="Arial" w:eastAsia="Arial" w:hAnsi="Arial"/>
          <w:sz w:val="18"/>
          <w:szCs w:val="18"/>
          <w:i w:val="1"/>
          <w:iCs w:val="1"/>
          <w:color w:val="auto"/>
        </w:rPr>
        <w:t>Preciado v. Khalaf, et al.</w:t>
      </w:r>
      <w:r>
        <w:rPr>
          <w:rFonts w:ascii="Arial" w:cs="Arial" w:eastAsia="Arial" w:hAnsi="Arial"/>
          <w:sz w:val="18"/>
          <w:szCs w:val="18"/>
          <w:color w:val="auto"/>
        </w:rPr>
        <w:t>, Case No. 3:25-cv-02100 (N.D. Cal.), were filed on February 21, 2025 and February 27, 2025, respectively.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putative shareholder derivative suits have been consolidated into one lawsuit captioned </w:t>
      </w:r>
      <w:r>
        <w:rPr>
          <w:rFonts w:ascii="Arial" w:cs="Arial" w:eastAsia="Arial" w:hAnsi="Arial"/>
          <w:sz w:val="18"/>
          <w:szCs w:val="18"/>
          <w:i w:val="1"/>
          <w:iCs w:val="1"/>
          <w:color w:val="auto"/>
        </w:rPr>
        <w:t>In re Marqeta, Inc. Derivative Litigation</w:t>
      </w:r>
      <w:r>
        <w:rPr>
          <w:rFonts w:ascii="Arial" w:cs="Arial" w:eastAsia="Arial" w:hAnsi="Arial"/>
          <w:sz w:val="18"/>
          <w:szCs w:val="18"/>
          <w:color w:val="auto"/>
        </w:rPr>
        <w:t xml:space="preserve">, Case No. 4:25-cv-01174-YGR (N.D. Cal.) (the “N.D. Cal. Derivative Actions”). A fourth substantially similar putative shareholder derivative lawsuit, captioned </w:t>
      </w:r>
      <w:r>
        <w:rPr>
          <w:rFonts w:ascii="Arial" w:cs="Arial" w:eastAsia="Arial" w:hAnsi="Arial"/>
          <w:sz w:val="18"/>
          <w:szCs w:val="18"/>
          <w:i w:val="1"/>
          <w:iCs w:val="1"/>
          <w:color w:val="auto"/>
        </w:rPr>
        <w:t>Prasad Murthy v. Simon Khalaf, et al.</w:t>
      </w:r>
      <w:r>
        <w:rPr>
          <w:rFonts w:ascii="Arial" w:cs="Arial" w:eastAsia="Arial" w:hAnsi="Arial"/>
          <w:sz w:val="18"/>
          <w:szCs w:val="18"/>
          <w:color w:val="auto"/>
        </w:rPr>
        <w:t>, Case No: 2026-0670-KSJM (Del. Ch.) was filed on May 27, 2026 in the Delaware Court of Chancery. The defendants, including the Company as nominal defendant, have not been served with the complaint. On October 9, 2026, the parties to the N.D. Cal. Derivative Actions entered into a term sheet providing for the implementation of certain corporate governance reforms as part of the settlement of the derivative actions, which settlement is subject to court approval.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Payment Transactions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Pre-funding amounts deposited by program management customers into accounts maintained at Issuing Banks may only be used to settle customers’ payment transactions, and are not subject to the same safeguarding regulations as TransactPay’s customer funds, and as such, are not considered assets of the Company. Accordingly, the funds held in customers’ accounts at Issuing Banks are not reflected on the Company’s Condensed Consolidated Balance Sheets. If a customer does not have sufficient funds to settle a transaction, the Company is liable to the Issuing Bank to settle the transaction and would therefore incur losses if such amounts cannot be subsequently recovered from the customer. The Company did not incur material losses of this nature during the three and nine months ended September 30, 2026 and 2025,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the Company enters into agreements of varying scope and terms pursuant to which it agrees to indemnify customers, Card Networks, Issuing Banks, vendors, lessors, and other parties with respect to certain matters, including, but not limited to, losses arising out of the breach of such agreements, services to be provided by the Company or from intellectual property infringement claims made by third parties. With respect to Issuing Banks, the Company has received requests for indemnification from time to time and may indemnify an Issuing Bank for losses such Issuing Bank may incur for non-compliance with applicable laws and regulations, if those losses resulted from the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Company’s failure to perform under its program agreement. No significant claims have been incurred during the three and nine months ended September 30, 2026 and 2025.</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As of September 30, 2026 and December 31, 2025, no demands have been made upon the Company to provide indemnification under such agreements, and the Company is not aware of any claims that could have a material effect on its Condensed Consolidated Financial Statements.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also includes service level commitments to its customers, warranting certain levels of performance and permitting these customers to receive credits in the event the Company fails to meet the levels outlined in their respective agreements. No material credits were issued during the three and nine months ended September 30, 2026 and 2025.</w:t>
      </w:r>
    </w:p>
    <w:p>
      <w:pPr>
        <w:spacing w:after="0" w:line="33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As disclosed above in Note 1, </w:t>
      </w:r>
      <w:r>
        <w:rPr>
          <w:rFonts w:ascii="Arial" w:cs="Arial" w:eastAsia="Arial" w:hAnsi="Arial"/>
          <w:sz w:val="18"/>
          <w:szCs w:val="18"/>
          <w:i w:val="1"/>
          <w:iCs w:val="1"/>
          <w:color w:val="auto"/>
        </w:rPr>
        <w:t>“Business Overview and Basis of Presentation”,</w:t>
      </w:r>
      <w:r>
        <w:rPr>
          <w:rFonts w:ascii="Arial" w:cs="Arial" w:eastAsia="Arial" w:hAnsi="Arial"/>
          <w:sz w:val="18"/>
          <w:szCs w:val="18"/>
          <w:color w:val="auto"/>
        </w:rPr>
        <w:t xml:space="preserve"> all share and per share amounts have been adjusted to reflect the Reverse Stock Split for all periods presented.</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presents the share-based compensation expense by award type recognized within the following line items in the Condensed Consolidated Statements of Operations and Comprehensive Income (Loss) and Condensed Consolidated Balance Sheet in the periods presented: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3780" w:type="dxa"/>
            <w:vAlign w:val="bottom"/>
            <w:gridSpan w:val="6"/>
          </w:tcPr>
          <w:p>
            <w:pPr>
              <w:ind w:left="6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1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8"/>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71,041</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restricted stock units</w:t>
            </w:r>
          </w:p>
        </w:tc>
        <w:tc>
          <w:tcPr>
            <w:tcW w:w="1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169"/>
        </w:trPr>
        <w:tc>
          <w:tcPr>
            <w:tcW w:w="39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Share-based compensation recorded within</w:t>
            </w:r>
          </w:p>
        </w:tc>
        <w:tc>
          <w:tcPr>
            <w:tcW w:w="1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21,465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25,704</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63,839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78,689</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14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line="189" w:lineRule="exact"/>
              <w:rPr>
                <w:sz w:val="20"/>
                <w:szCs w:val="20"/>
                <w:color w:val="auto"/>
              </w:rPr>
            </w:pPr>
            <w:r>
              <w:rPr>
                <w:rFonts w:ascii="Arial" w:cs="Arial" w:eastAsia="Arial" w:hAnsi="Arial"/>
                <w:sz w:val="18"/>
                <w:szCs w:val="18"/>
                <w:color w:val="auto"/>
              </w:rPr>
              <w:t>Property and equipment (capitalized internal-use</w:t>
            </w:r>
          </w:p>
        </w:tc>
        <w:tc>
          <w:tcPr>
            <w:tcW w:w="1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2,941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8,649</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1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share-based compensation expense</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Performance Share Units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summary of the Company's restricted stock units (RSUs) and performance-based restricted stock units (PSUs) activity under the Plans was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 average grant</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date fair value per share</w:t>
            </w:r>
          </w:p>
        </w:tc>
        <w:tc>
          <w:tcPr>
            <w:tcW w:w="0" w:type="dxa"/>
            <w:vAlign w:val="bottom"/>
          </w:tcPr>
          <w:p>
            <w:pPr>
              <w:spacing w:after="0"/>
              <w:rPr>
                <w:sz w:val="1"/>
                <w:szCs w:val="1"/>
                <w:color w:val="auto"/>
              </w:rPr>
            </w:pPr>
          </w:p>
        </w:tc>
      </w:tr>
      <w:tr>
        <w:trPr>
          <w:trHeight w:val="237"/>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2025</w:t>
            </w:r>
          </w:p>
        </w:tc>
        <w:tc>
          <w:tcPr>
            <w:tcW w:w="1820" w:type="dxa"/>
            <w:vAlign w:val="bottom"/>
            <w:shd w:val="clear" w:color="auto" w:fill="CCEEFF"/>
          </w:tcPr>
          <w:p>
            <w:pPr>
              <w:jc w:val="center"/>
              <w:ind w:left="1113"/>
              <w:spacing w:after="0"/>
              <w:rPr>
                <w:sz w:val="20"/>
                <w:szCs w:val="20"/>
                <w:color w:val="auto"/>
              </w:rPr>
            </w:pPr>
            <w:r>
              <w:rPr>
                <w:rFonts w:ascii="Arial" w:cs="Arial" w:eastAsia="Arial" w:hAnsi="Arial"/>
                <w:sz w:val="18"/>
                <w:szCs w:val="18"/>
                <w:color w:val="auto"/>
              </w:rPr>
              <w:t>7,271</w:t>
            </w:r>
          </w:p>
        </w:tc>
        <w:tc>
          <w:tcPr>
            <w:tcW w:w="8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jc w:val="center"/>
              <w:ind w:left="1113"/>
              <w:spacing w:after="0"/>
              <w:rPr>
                <w:sz w:val="20"/>
                <w:szCs w:val="20"/>
                <w:color w:val="auto"/>
              </w:rPr>
            </w:pPr>
            <w:r>
              <w:rPr>
                <w:rFonts w:ascii="Arial" w:cs="Arial" w:eastAsia="Arial" w:hAnsi="Arial"/>
                <w:sz w:val="18"/>
                <w:szCs w:val="18"/>
                <w:color w:val="auto"/>
              </w:rPr>
              <w:t>7,467</w:t>
            </w:r>
          </w:p>
        </w:tc>
        <w:tc>
          <w:tcPr>
            <w:tcW w:w="82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4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jc w:val="center"/>
              <w:ind w:left="1093"/>
              <w:spacing w:after="0"/>
              <w:rPr>
                <w:sz w:val="20"/>
                <w:szCs w:val="20"/>
                <w:color w:val="auto"/>
              </w:rPr>
            </w:pPr>
            <w:r>
              <w:rPr>
                <w:rFonts w:ascii="Arial" w:cs="Arial" w:eastAsia="Arial" w:hAnsi="Arial"/>
                <w:sz w:val="18"/>
                <w:szCs w:val="18"/>
                <w:color w:val="auto"/>
                <w:w w:val="98"/>
              </w:rPr>
              <w:t>(3,675)</w:t>
            </w:r>
          </w:p>
        </w:tc>
        <w:tc>
          <w:tcPr>
            <w:tcW w:w="8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4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center"/>
              <w:ind w:left="1093"/>
              <w:spacing w:after="0"/>
              <w:rPr>
                <w:sz w:val="20"/>
                <w:szCs w:val="20"/>
                <w:color w:val="auto"/>
              </w:rPr>
            </w:pPr>
            <w:r>
              <w:rPr>
                <w:rFonts w:ascii="Arial" w:cs="Arial" w:eastAsia="Arial" w:hAnsi="Arial"/>
                <w:sz w:val="18"/>
                <w:szCs w:val="18"/>
                <w:color w:val="auto"/>
                <w:w w:val="98"/>
              </w:rPr>
              <w:t>(1,921)</w:t>
            </w:r>
          </w:p>
        </w:tc>
        <w:tc>
          <w:tcPr>
            <w:tcW w:w="820" w:type="dxa"/>
            <w:vAlign w:val="bottom"/>
            <w:tcBorders>
              <w:bottom w:val="single" w:sz="8" w:color="CCEEFF"/>
            </w:tcBorders>
            <w:gridSpan w:val="2"/>
          </w:tcPr>
          <w:p>
            <w:pPr>
              <w:jc w:val="right"/>
              <w:ind w:right="52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62"/>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2026</w:t>
            </w:r>
          </w:p>
        </w:tc>
        <w:tc>
          <w:tcPr>
            <w:tcW w:w="1820" w:type="dxa"/>
            <w:vAlign w:val="bottom"/>
            <w:tcBorders>
              <w:bottom w:val="single" w:sz="8" w:color="auto"/>
            </w:tcBorders>
            <w:shd w:val="clear" w:color="auto" w:fill="CCEEFF"/>
          </w:tcPr>
          <w:p>
            <w:pPr>
              <w:jc w:val="center"/>
              <w:ind w:left="1113"/>
              <w:spacing w:after="0"/>
              <w:rPr>
                <w:sz w:val="20"/>
                <w:szCs w:val="20"/>
                <w:color w:val="auto"/>
              </w:rPr>
            </w:pPr>
            <w:r>
              <w:rPr>
                <w:rFonts w:ascii="Arial" w:cs="Arial" w:eastAsia="Arial" w:hAnsi="Arial"/>
                <w:sz w:val="18"/>
                <w:szCs w:val="18"/>
                <w:color w:val="auto"/>
              </w:rPr>
              <w:t>9,142</w:t>
            </w:r>
          </w:p>
        </w:tc>
        <w:tc>
          <w:tcPr>
            <w:tcW w:w="820" w:type="dxa"/>
            <w:vAlign w:val="bottom"/>
            <w:tcBorders>
              <w:bottom w:val="single" w:sz="8" w:color="CCEEFF"/>
            </w:tcBorders>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2026, unrecognized compensation expense related to unvested RSUs and PSUs was $139.1 million. These costs are expected to be recognized over a weighted-average period of 2.0 years.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under the Plans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 Average</w:t>
            </w: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5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Exercise Price per</w:t>
            </w:r>
          </w:p>
        </w:tc>
        <w:tc>
          <w:tcPr>
            <w:tcW w:w="17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 Contractual</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4"/>
              <w:spacing w:after="0" w:line="189"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43"/>
        </w:trPr>
        <w:tc>
          <w:tcPr>
            <w:tcW w:w="46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September 30, 2026</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Exercisable as of September 30, 2026</w:t>
            </w:r>
          </w:p>
        </w:tc>
        <w:tc>
          <w:tcPr>
            <w:tcW w:w="158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as of September 30, 2026</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8"/>
        <w:spacing w:after="0" w:line="285" w:lineRule="auto"/>
        <w:tabs>
          <w:tab w:leader="none" w:pos="226"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Intrinsic value is calculated based on the difference between the exercise price of in-the-money-stock options and the fair value of the common stock as of the respective balance sheet dates.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aggregate unrecognized compensation expense related to unvested outstanding stock options was $0.5 million.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expected to be recognized over a weighted-average period of 0.3 years.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Transactions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As disclosed above in Note 1, </w:t>
      </w:r>
      <w:r>
        <w:rPr>
          <w:rFonts w:ascii="Arial" w:cs="Arial" w:eastAsia="Arial" w:hAnsi="Arial"/>
          <w:sz w:val="18"/>
          <w:szCs w:val="18"/>
          <w:i w:val="1"/>
          <w:iCs w:val="1"/>
          <w:color w:val="auto"/>
        </w:rPr>
        <w:t>“Business Overview and Basis of Presentation”,</w:t>
      </w:r>
      <w:r>
        <w:rPr>
          <w:rFonts w:ascii="Arial" w:cs="Arial" w:eastAsia="Arial" w:hAnsi="Arial"/>
          <w:sz w:val="18"/>
          <w:szCs w:val="18"/>
          <w:color w:val="auto"/>
        </w:rPr>
        <w:t xml:space="preserve"> all share and per share amounts have been adjusted to reflect the Reverse Stock Split for all periods presented.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to Purchase Common Stock</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2, 2026, in connection with the renewal of a commercial agreement, the Company issued a warrant to a certain customer to purchase up to 550,000 shares of the Company's Class A common stock (the “2026 Warrant”). Upon exercise of the earned portion of the 2026 Warrant, the customer will be entitled to purchase shares of the Company’s Class A common stock at a price of $0.01 per share. A warrant was previously issued to the same customer under the original agreement executed in September 2020. No warrant previously issued to the customer remained outstanding prior to the issuance of the 2026 Warrant. The 2026 Warrant is classified as an equity instrument and treated as consideration payable to a customer. The Company determined the grant-date fair value of the 2026 Warrant to be $16.81 per share underlying the warrant based on the Black-Scholes valuation model.</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Upon execution of the agreement in the third quarter of 2026, the portion of the 2026 Warrant representing the right to purchase 25,000 shares was earned. The $ 0.4 million total grant-date fair value of this earned portion of the 2026 Warrant was capitalized, with an offsetting credit to additional paid-in capital, and is being recognized on a straight-line basis as a reduction of net revenue over the five-year contract term. The remaining portion of the 2026 Warrant, representing the right to purchase up to 525,000 shares, could be earned and become exercisable in tranches, subject to the terms of the 2026 Warrant, upon the achievement of specific milestones related to transaction volume over the five-year term. The grant-date fair value of any portion of the 2026 Warrant that is earned is recognized as a reduction of net revenue in the period the related volume tier is achieved, with a corresponding credit to additional paid-in capital.</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Portions of the 2026 Warrant that are earned between July 1 of any year and June 30 of the following year will become vested and exercisable at any time on or after August 1 of the following year. For example, portions that are earned between July 1, 2026 and June 30, 2027 vest and become exercisable on August 1, 2027.</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2026, the portion of the 2026 Warrant representing the right to purchase 36,250 shares has been earned, but is not exercisable until August 1, 2027. The Company recorded a $0.2 million reduction in net revenue related to the earned portion of the 2026 Warrant for both the three and nine months ended September 30, 2026.</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6, 2024, the Company’s Board of Directors authorized a share repurchase program of up to $200 million of the Company’s Class A common stock (the “2024 Share Repurchase Program”). Under the 2024 Share Repurchase Program, the Company was authorized to repurchase shares through open market purchases, in privately negotiated transactions or by other methods, in accordance with applicable federal securities laws, including through trading plans under Rule 10b5-1 of the Exchange Act. The number of shares repurchased and the timing of purchases were based on general business and market conditions, and other factors, including legal requirements.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2025, the Company repurchased approximately 4.8 million shares under the 2024 Share Repurchase Program for a total cost of $80.5 million, at an average price of $16.80 per share. The aggregate cost of the shares repurchased and the related transaction costs and excise taxes of $1.1 million during the nine months ended September 30, 2025 were reflected as a reduction to common stock and Additional paid-in capital on the Company’s Condensed Consolidated Balance Sheet. Repurchases under the 2024 Share Repurchase Program were completed as of March 31, 2025.</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25, 2025, the Company’s Board of Directors authorized an additional share repurchase program for up to $300 million of the Company’s Class A common stock (the “February 2025 Share Repurchase Program”). Under the February 2025 Share Repurchase Program, the Company was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were based on general business and market conditions, and other factors, including legal requirements.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and nine months ended September 30, 2025, the Company repurchased approximately 0.8 million and 11.4 million shares under the February 2025 Share Repurchase Program for $19.3 million and $212.4 million, at an average price of $24.48 and $18.68 per share, respectively. The aggregate cost of the shares repurchased and the related transaction costs and excise taxes of $0.1 million and $2.7 million during the three and nine months ended September 30, 2025, respectively, were reflected as a reduction to common stock and Additional paid-in capital on the Company’s Condensed Consolidated Balance Sheet. Repurchases under the February 2025 Share Repurchase Program were completed as of December 31, 2025.</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4, 2025, the Company’s Board of Directors authorized an additional share repurchase program of up to $100 million of the Company’s Class A common stock (the “December 2025 Share Repurchase Program”). Under the December 2025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were based on general business and market conditions, and other factors, including legal requirements. The December 2025 Share Repurchase Program had no set expiration date.</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revised its previously reported remaining authorization as of the date of filing of its Quarterly Report on Form 10-Q filed with the SEC on August 4, 2026, as well as the Current Report on Form 8-K filed with the SEC on August 4, 2026, which was understated by $1.3 million due to clerical errors identified by the Company and a vendor. After giving effect to the correction, the available amount remaining under authorization as of June 30, 2026 was $2.1 million. There was no material change to stockholders' equity as a result of the revision. The Company has assessed the materiality of the errors and determined they were not material to the condensed consolidated financial statements as of and for the three and six months ended June 30, 2026.</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and nine months ended September 30, 2026, the Company repurchased approximately 0.1 million and 5.7 million shares under the December 2025 Share Repurchase Program for $2.1 million and $92.2 million, at an average price of $16.40 and $16.21 per share, respectively. The aggregate cost of the shares repurchased and the related transaction costs and excise taxes of an immaterial amount and $1.1 million during the three and nine months ended September 30, 2026, respectively, are reflected as a reduction to Common stock and Additional paid-in capital on the Company’s Condensed Consolidated Balance Sheet. Repurchases under the December 2025 Share Repurchase Program were completed as of September 30, 2026.</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3, 2026, the Company’s Board of Directors unanimously approved an additional share repurchase program authorizing the Company to purchase up to an aggregate of $150 million of the Company’s Class A common stock (the “August 2026 Share Repurchase Program”).</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making the determination that the August 2026 Share Repurchase Program is in the best interest of the Company and its stockholders, the Board of Directors considered a number of factors including, but not limited to, the Company's liquidity and capital allocation strategy, legal and regulatory compliance, the effect of any repurchases on concentration of ownership and voting power, and the effect of any repurchases on any of our periodically reported financial metrics. For the avoidance of doubt, the Board of Directors does not expect that the repurchases contemplated under the August 2026 Share Repurchase Program would result in any stockholder having a majority of voting power.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August 2026 Share Repurchase Program, the Company may repurchase shares from time to time through open market purchases, in privately negotiated transactions or by other means, including through the use of trading plans intended to qualify under Rule 10b5-1 under the Exchange Act, in accordance with applicable securities laws and other restrictions, including Rule 10b-18 under the Exchange Act. The timing and total amount of any stock repurchases will be determined at management's discretion and depend upon business, economic and market conditions, corporate and regulatory requirements, prevailing stock prices and other considerations. The execution of the repurchase program will be consistent with the Company's capital allocation strategy, which prioritizes investments to grow the business. The share repurchase program has no termination date, and does not obligate Marqeta to acquire a specific number of shares of Class A common stock and may be canceled or suspended at any time without notice.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September 30, 2026, the Company repurchased approximately 0.6 million shares under the August 2026 Share Repurchase Program for $9.7 million, at an average price of $16.21 per share. The aggregate cost of the shares repurchased and the related transaction costs and excise taxes, which were immaterial, during the three and nine months ended September 30, 2026, are reflected as a reduction to Common stock and Additional paid-in capital on the Company’s Condensed Consolidated Balance Sheet. As of September 30, 2026, $140.3 million remained available for future share repurchases under the August 2026 Share Repurchase Program.</w:t>
      </w:r>
    </w:p>
    <w:p>
      <w:pPr>
        <w:spacing w:after="0" w:line="34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 Attributable to Common Stockholders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As disclosed above in Note 1, </w:t>
      </w:r>
      <w:r>
        <w:rPr>
          <w:rFonts w:ascii="Arial" w:cs="Arial" w:eastAsia="Arial" w:hAnsi="Arial"/>
          <w:sz w:val="18"/>
          <w:szCs w:val="18"/>
          <w:i w:val="1"/>
          <w:iCs w:val="1"/>
          <w:color w:val="auto"/>
        </w:rPr>
        <w:t>“Business Overview and Basis of Presentation”,</w:t>
      </w:r>
      <w:r>
        <w:rPr>
          <w:rFonts w:ascii="Arial" w:cs="Arial" w:eastAsia="Arial" w:hAnsi="Arial"/>
          <w:sz w:val="18"/>
          <w:szCs w:val="18"/>
          <w:color w:val="auto"/>
        </w:rPr>
        <w:t xml:space="preserve"> all share and per share amounts have been adjusted to reflect the Reverse Stock Split for all periods presented.</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share is computed by dividing the net income (loss) by the weighted-average number of shares of common stock outstanding during the period. Diluted net income (loss) per share is computed by dividing net income (loss) by the weighted-average number of shares of common stock outstanding, adjusted for the dilutive effect of all potential shares of common stock. In periods when the Company reported a net loss, diluted net loss per share is the same as basic net loss per share because the effects of potentially dilutive items are anti-dilutive.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The Company calculated basic and diluted net income (loss) per share attributable to common stockholders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9"/>
          </w:tcPr>
          <w:p>
            <w:pPr>
              <w:ind w:left="620"/>
              <w:spacing w:after="0"/>
              <w:rPr>
                <w:sz w:val="20"/>
                <w:szCs w:val="20"/>
                <w:color w:val="auto"/>
              </w:rPr>
            </w:pPr>
            <w:r>
              <w:rPr>
                <w:rFonts w:ascii="Arial" w:cs="Arial" w:eastAsia="Arial" w:hAnsi="Arial"/>
                <w:sz w:val="14"/>
                <w:szCs w:val="14"/>
                <w:b w:val="1"/>
                <w:bCs w:val="1"/>
                <w:color w:val="auto"/>
              </w:rPr>
              <w:t>Nine Months Ended September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2026</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Class 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Class B</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Class A</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Class B</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Class A</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Class B</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Class A</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95"/>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Numerator</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106,461</w:t>
            </w:r>
          </w:p>
        </w:tc>
        <w:tc>
          <w:tcPr>
            <w:tcW w:w="3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8,981</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(3,355)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120,716</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10,127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(11,644)</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185"/>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stockholders, basic</w:t>
            </w:r>
          </w:p>
        </w:tc>
        <w:tc>
          <w:tcPr>
            <w:tcW w:w="20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340" w:type="dxa"/>
            <w:vAlign w:val="bottom"/>
            <w:gridSpan w:val="3"/>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20"/>
              <w:spacing w:after="0"/>
              <w:rPr>
                <w:sz w:val="20"/>
                <w:szCs w:val="20"/>
                <w:color w:val="auto"/>
              </w:rPr>
            </w:pPr>
            <w:r>
              <w:rPr>
                <w:rFonts w:ascii="Arial" w:cs="Arial" w:eastAsia="Arial" w:hAnsi="Arial"/>
                <w:sz w:val="14"/>
                <w:szCs w:val="14"/>
                <w:color w:val="auto"/>
              </w:rPr>
              <w:t>Net income (loss) attributable to</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106,256</w:t>
            </w:r>
          </w:p>
        </w:tc>
        <w:tc>
          <w:tcPr>
            <w:tcW w:w="3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9,186</w:t>
            </w:r>
          </w:p>
        </w:tc>
        <w:tc>
          <w:tcPr>
            <w:tcW w:w="8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(3,355)</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120,469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10,374</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(11,644)</w:t>
            </w:r>
          </w:p>
        </w:tc>
        <w:tc>
          <w:tcPr>
            <w:tcW w:w="8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185"/>
        </w:trPr>
        <w:tc>
          <w:tcPr>
            <w:tcW w:w="2600" w:type="dxa"/>
            <w:vAlign w:val="bottom"/>
          </w:tcPr>
          <w:p>
            <w:pPr>
              <w:ind w:left="20"/>
              <w:spacing w:after="0"/>
              <w:rPr>
                <w:sz w:val="20"/>
                <w:szCs w:val="20"/>
                <w:color w:val="auto"/>
              </w:rPr>
            </w:pPr>
            <w:r>
              <w:rPr>
                <w:rFonts w:ascii="Arial" w:cs="Arial" w:eastAsia="Arial" w:hAnsi="Arial"/>
                <w:sz w:val="14"/>
                <w:szCs w:val="14"/>
                <w:color w:val="auto"/>
              </w:rPr>
              <w:t>common stockholders, diluted</w:t>
            </w: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20"/>
              <w:spacing w:after="0"/>
              <w:rPr>
                <w:sz w:val="20"/>
                <w:szCs w:val="20"/>
                <w:color w:val="auto"/>
              </w:rPr>
            </w:pPr>
            <w:r>
              <w:rPr>
                <w:rFonts w:ascii="Arial" w:cs="Arial" w:eastAsia="Arial" w:hAnsi="Arial"/>
                <w:sz w:val="14"/>
                <w:szCs w:val="14"/>
                <w:color w:val="auto"/>
              </w:rPr>
              <w:t>Weighted-average shares used in</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line="145" w:lineRule="exact"/>
              <w:rPr>
                <w:sz w:val="20"/>
                <w:szCs w:val="20"/>
                <w:color w:val="auto"/>
              </w:rPr>
            </w:pPr>
            <w:r>
              <w:rPr>
                <w:rFonts w:ascii="Arial" w:cs="Arial" w:eastAsia="Arial" w:hAnsi="Arial"/>
                <w:sz w:val="14"/>
                <w:szCs w:val="14"/>
                <w:color w:val="auto"/>
              </w:rPr>
              <w:t>computing basic net income (loss) per</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0" w:type="dxa"/>
            <w:vAlign w:val="bottom"/>
          </w:tcPr>
          <w:p>
            <w:pPr>
              <w:ind w:left="20"/>
              <w:spacing w:after="0" w:line="139" w:lineRule="exact"/>
              <w:rPr>
                <w:sz w:val="20"/>
                <w:szCs w:val="20"/>
                <w:color w:val="auto"/>
              </w:rPr>
            </w:pPr>
            <w:r>
              <w:rPr>
                <w:rFonts w:ascii="Arial" w:cs="Arial" w:eastAsia="Arial" w:hAnsi="Arial"/>
                <w:sz w:val="14"/>
                <w:szCs w:val="14"/>
                <w:color w:val="auto"/>
              </w:rPr>
              <w:t>share attributable to common</w:t>
            </w: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96,130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8,110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103,865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8,314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97,434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8,174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109,253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8,320</w:t>
            </w:r>
          </w:p>
        </w:tc>
        <w:tc>
          <w:tcPr>
            <w:tcW w:w="0" w:type="dxa"/>
            <w:vAlign w:val="bottom"/>
          </w:tcPr>
          <w:p>
            <w:pPr>
              <w:spacing w:after="0"/>
              <w:rPr>
                <w:sz w:val="1"/>
                <w:szCs w:val="1"/>
                <w:color w:val="auto"/>
              </w:rPr>
            </w:pPr>
          </w:p>
        </w:tc>
      </w:tr>
      <w:tr>
        <w:trPr>
          <w:trHeight w:val="194"/>
        </w:trPr>
        <w:tc>
          <w:tcPr>
            <w:tcW w:w="260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Effect of dilutive potential shares of</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600" w:type="dxa"/>
            <w:vAlign w:val="bottom"/>
          </w:tcPr>
          <w:p>
            <w:pPr>
              <w:ind w:left="20"/>
              <w:spacing w:after="0" w:line="147" w:lineRule="exact"/>
              <w:rPr>
                <w:sz w:val="20"/>
                <w:szCs w:val="20"/>
                <w:color w:val="auto"/>
              </w:rPr>
            </w:pPr>
            <w:r>
              <w:rPr>
                <w:rFonts w:ascii="Arial" w:cs="Arial" w:eastAsia="Arial" w:hAnsi="Arial"/>
                <w:sz w:val="14"/>
                <w:szCs w:val="14"/>
                <w:color w:val="auto"/>
              </w:rPr>
              <w:t>Weighted-average shares used in</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line="145" w:lineRule="exact"/>
              <w:rPr>
                <w:sz w:val="20"/>
                <w:szCs w:val="20"/>
                <w:color w:val="auto"/>
              </w:rPr>
            </w:pPr>
            <w:r>
              <w:rPr>
                <w:rFonts w:ascii="Arial" w:cs="Arial" w:eastAsia="Arial" w:hAnsi="Arial"/>
                <w:sz w:val="14"/>
                <w:szCs w:val="14"/>
                <w:color w:val="auto"/>
              </w:rPr>
              <w:t>computing diluted net income (loss) per</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0" w:type="dxa"/>
            <w:vAlign w:val="bottom"/>
          </w:tcPr>
          <w:p>
            <w:pPr>
              <w:ind w:left="20"/>
              <w:spacing w:after="0" w:line="139" w:lineRule="exact"/>
              <w:rPr>
                <w:sz w:val="20"/>
                <w:szCs w:val="20"/>
                <w:color w:val="auto"/>
              </w:rPr>
            </w:pPr>
            <w:r>
              <w:rPr>
                <w:rFonts w:ascii="Arial" w:cs="Arial" w:eastAsia="Arial" w:hAnsi="Arial"/>
                <w:sz w:val="14"/>
                <w:szCs w:val="14"/>
                <w:color w:val="auto"/>
              </w:rPr>
              <w:t>share attributable to common</w:t>
            </w: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97,360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8,417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103,865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8,314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98,496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8,482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109,253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8,320</w:t>
            </w:r>
          </w:p>
        </w:tc>
        <w:tc>
          <w:tcPr>
            <w:tcW w:w="0" w:type="dxa"/>
            <w:vAlign w:val="bottom"/>
          </w:tcPr>
          <w:p>
            <w:pPr>
              <w:spacing w:after="0"/>
              <w:rPr>
                <w:sz w:val="1"/>
                <w:szCs w:val="1"/>
                <w:color w:val="auto"/>
              </w:rPr>
            </w:pPr>
          </w:p>
        </w:tc>
      </w:tr>
      <w:tr>
        <w:trPr>
          <w:trHeight w:val="171"/>
        </w:trPr>
        <w:tc>
          <w:tcPr>
            <w:tcW w:w="260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Arial" w:cs="Arial" w:eastAsia="Arial" w:hAnsi="Arial"/>
                <w:sz w:val="14"/>
                <w:szCs w:val="14"/>
                <w:color w:val="auto"/>
              </w:rPr>
              <w:t>Net income (loss) per share</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0" w:type="dxa"/>
            <w:vAlign w:val="bottom"/>
          </w:tcPr>
          <w:p>
            <w:pPr>
              <w:ind w:left="180"/>
              <w:spacing w:after="0" w:line="145" w:lineRule="exact"/>
              <w:rPr>
                <w:sz w:val="20"/>
                <w:szCs w:val="20"/>
                <w:color w:val="auto"/>
              </w:rPr>
            </w:pPr>
            <w:r>
              <w:rPr>
                <w:rFonts w:ascii="Arial" w:cs="Arial" w:eastAsia="Arial" w:hAnsi="Arial"/>
                <w:sz w:val="14"/>
                <w:szCs w:val="14"/>
                <w:color w:val="auto"/>
              </w:rPr>
              <w:t>attributable to common stockholders,</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3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89"/>
        </w:trPr>
        <w:tc>
          <w:tcPr>
            <w:tcW w:w="2600" w:type="dxa"/>
            <w:vAlign w:val="bottom"/>
          </w:tcPr>
          <w:p>
            <w:pPr>
              <w:ind w:left="180"/>
              <w:spacing w:after="0"/>
              <w:rPr>
                <w:sz w:val="20"/>
                <w:szCs w:val="20"/>
                <w:color w:val="auto"/>
              </w:rPr>
            </w:pPr>
            <w:r>
              <w:rPr>
                <w:rFonts w:ascii="Arial" w:cs="Arial" w:eastAsia="Arial" w:hAnsi="Arial"/>
                <w:sz w:val="14"/>
                <w:szCs w:val="14"/>
                <w:color w:val="auto"/>
              </w:rPr>
              <w:t>basic</w:t>
            </w: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per share</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attributable to common stockholders,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3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0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340" w:type="dxa"/>
            <w:vAlign w:val="bottom"/>
            <w:gridSpan w:val="3"/>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the liquidation and dividend rights are identical for Class A common stock and Class B common stock, the undistributed earnings are allocated on a proportionate basis and the resulting income or loss per share will, therefore, be the same for both Class A common stock and Class B common stock on an individual or combined basis.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during the three and nine months ended September 30, 2025 because including them would have had an anti-dilutive effect as the Company was in a loss position during the period: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9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Class A</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Class B</w:t>
            </w:r>
          </w:p>
        </w:tc>
      </w:tr>
      <w:tr>
        <w:trPr>
          <w:trHeight w:val="266"/>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Warrants to purchase Class B common stock</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8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 restricted stock, and employee stock purchase plan</w:t>
            </w: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9,544</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r>
      <w:tr>
        <w:trPr>
          <w:trHeight w:val="257"/>
        </w:trPr>
        <w:tc>
          <w:tcPr>
            <w:tcW w:w="8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9,544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Potentially dilutive securities that were excluded from the computation of diluted net income per share during the three and nine months ended September 30, 2026 because including them would have had an anti-dilutive effect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sz w:val="15"/>
                <w:szCs w:val="15"/>
                <w:color w:val="auto"/>
              </w:rPr>
            </w:pPr>
          </w:p>
        </w:tc>
        <w:tc>
          <w:tcPr>
            <w:tcW w:w="332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3"/>
                <w:szCs w:val="13"/>
                <w:b w:val="1"/>
                <w:bCs w:val="1"/>
                <w:color w:val="auto"/>
              </w:rPr>
              <w:t>Three Months Ended September 30, 2026</w:t>
            </w:r>
          </w:p>
        </w:tc>
        <w:tc>
          <w:tcPr>
            <w:tcW w:w="140" w:type="dxa"/>
            <w:vAlign w:val="bottom"/>
          </w:tcPr>
          <w:p>
            <w:pPr>
              <w:spacing w:after="0"/>
              <w:rPr>
                <w:sz w:val="15"/>
                <w:szCs w:val="15"/>
                <w:color w:val="auto"/>
              </w:rPr>
            </w:pPr>
          </w:p>
        </w:tc>
        <w:tc>
          <w:tcPr>
            <w:tcW w:w="328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3"/>
                <w:szCs w:val="13"/>
                <w:b w:val="1"/>
                <w:bCs w:val="1"/>
                <w:color w:val="auto"/>
              </w:rPr>
              <w:t>Nine Months Ended September 30, 2026</w:t>
            </w:r>
          </w:p>
        </w:tc>
      </w:tr>
      <w:tr>
        <w:trPr>
          <w:trHeight w:val="196"/>
        </w:trPr>
        <w:tc>
          <w:tcPr>
            <w:tcW w:w="4500" w:type="dxa"/>
            <w:vAlign w:val="bottom"/>
          </w:tcPr>
          <w:p>
            <w:pPr>
              <w:spacing w:after="0"/>
              <w:rPr>
                <w:sz w:val="17"/>
                <w:szCs w:val="17"/>
                <w:color w:val="auto"/>
              </w:rPr>
            </w:pPr>
          </w:p>
        </w:tc>
        <w:tc>
          <w:tcPr>
            <w:tcW w:w="1740" w:type="dxa"/>
            <w:vAlign w:val="bottom"/>
            <w:gridSpan w:val="2"/>
          </w:tcPr>
          <w:p>
            <w:pPr>
              <w:ind w:left="560"/>
              <w:spacing w:after="0"/>
              <w:rPr>
                <w:sz w:val="20"/>
                <w:szCs w:val="20"/>
                <w:color w:val="auto"/>
              </w:rPr>
            </w:pPr>
            <w:r>
              <w:rPr>
                <w:rFonts w:ascii="Arial" w:cs="Arial" w:eastAsia="Arial" w:hAnsi="Arial"/>
                <w:sz w:val="13"/>
                <w:szCs w:val="13"/>
                <w:b w:val="1"/>
                <w:bCs w:val="1"/>
                <w:color w:val="auto"/>
              </w:rPr>
              <w:t>Class A</w:t>
            </w:r>
          </w:p>
        </w:tc>
        <w:tc>
          <w:tcPr>
            <w:tcW w:w="1720" w:type="dxa"/>
            <w:vAlign w:val="bottom"/>
            <w:gridSpan w:val="2"/>
          </w:tcPr>
          <w:p>
            <w:pPr>
              <w:ind w:left="540"/>
              <w:spacing w:after="0"/>
              <w:rPr>
                <w:sz w:val="20"/>
                <w:szCs w:val="20"/>
                <w:color w:val="auto"/>
              </w:rPr>
            </w:pPr>
            <w:r>
              <w:rPr>
                <w:rFonts w:ascii="Arial" w:cs="Arial" w:eastAsia="Arial" w:hAnsi="Arial"/>
                <w:sz w:val="13"/>
                <w:szCs w:val="13"/>
                <w:b w:val="1"/>
                <w:bCs w:val="1"/>
                <w:color w:val="auto"/>
              </w:rPr>
              <w:t>Class B</w:t>
            </w:r>
          </w:p>
        </w:tc>
        <w:tc>
          <w:tcPr>
            <w:tcW w:w="1680" w:type="dxa"/>
            <w:vAlign w:val="bottom"/>
            <w:gridSpan w:val="2"/>
          </w:tcPr>
          <w:p>
            <w:pPr>
              <w:ind w:left="560"/>
              <w:spacing w:after="0"/>
              <w:rPr>
                <w:sz w:val="20"/>
                <w:szCs w:val="20"/>
                <w:color w:val="auto"/>
              </w:rPr>
            </w:pPr>
            <w:r>
              <w:rPr>
                <w:rFonts w:ascii="Arial" w:cs="Arial" w:eastAsia="Arial" w:hAnsi="Arial"/>
                <w:sz w:val="13"/>
                <w:szCs w:val="13"/>
                <w:b w:val="1"/>
                <w:bCs w:val="1"/>
                <w:color w:val="auto"/>
              </w:rPr>
              <w:t>Class A</w:t>
            </w:r>
          </w:p>
        </w:tc>
        <w:tc>
          <w:tcPr>
            <w:tcW w:w="1600" w:type="dxa"/>
            <w:vAlign w:val="bottom"/>
          </w:tcPr>
          <w:p>
            <w:pPr>
              <w:jc w:val="right"/>
              <w:ind w:right="482"/>
              <w:spacing w:after="0"/>
              <w:rPr>
                <w:sz w:val="20"/>
                <w:szCs w:val="20"/>
                <w:color w:val="auto"/>
              </w:rPr>
            </w:pPr>
            <w:r>
              <w:rPr>
                <w:rFonts w:ascii="Arial" w:cs="Arial" w:eastAsia="Arial" w:hAnsi="Arial"/>
                <w:sz w:val="13"/>
                <w:szCs w:val="13"/>
                <w:b w:val="1"/>
                <w:bCs w:val="1"/>
                <w:color w:val="auto"/>
              </w:rPr>
              <w:t>Class B</w:t>
            </w:r>
          </w:p>
        </w:tc>
      </w:tr>
      <w:tr>
        <w:trPr>
          <w:trHeight w:val="221"/>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and employee stock</w:t>
            </w:r>
          </w:p>
        </w:tc>
        <w:tc>
          <w:tcPr>
            <w:tcW w:w="1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62"/>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plan</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2,173</w:t>
            </w: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473</w:t>
            </w:r>
          </w:p>
        </w:tc>
      </w:tr>
      <w:tr>
        <w:trPr>
          <w:trHeight w:val="665"/>
        </w:trPr>
        <w:tc>
          <w:tcPr>
            <w:tcW w:w="4500" w:type="dxa"/>
            <w:vAlign w:val="bottom"/>
          </w:tcPr>
          <w:p>
            <w:pPr>
              <w:spacing w:after="0"/>
              <w:rPr>
                <w:sz w:val="24"/>
                <w:szCs w:val="24"/>
                <w:color w:val="auto"/>
              </w:rPr>
            </w:pPr>
          </w:p>
        </w:tc>
        <w:tc>
          <w:tcPr>
            <w:tcW w:w="1580" w:type="dxa"/>
            <w:vAlign w:val="bottom"/>
          </w:tcPr>
          <w:p>
            <w:pPr>
              <w:jc w:val="right"/>
              <w:ind w:right="282"/>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54"/>
        </w:trPr>
        <w:tc>
          <w:tcPr>
            <w:tcW w:w="45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recorded income tax benefit of $104.4 million and income tax expense of $0.5 million for the three months ended September 30, 2026 and 2025, respectively, and an income tax benefit of $103.7 million and income tax expense of $0.9 million for the nine months ended September 30, 2026 and 2025, respectively.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benefit for income taxes for the three and nine months ended September 30, 2026 was mainly attributable to the release of a significant portion of the valuation allowance on the Company’s U.S. federal and certain states’ deferred tax assets, which resulted in a $106.6 million income tax benefit, partially offset by income tax expense from current period activity.</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provision for income taxes recorded in the three and nine months ended September 30, 2025 consists of state and foreign income taxes in foreign jurisdictions in which the Company conducts business.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regularly assesses the need for a valuation allowance on its deferred tax assets. In performing that assessment, the Company considers both positive and negative evidence related to the likelihood of realization of the deferred tax assets to determine, based on the weight of all available evidence, whether it is more-likely-than-not that some or all of the deferred tax assets will be realized. The determination of the realizability of deferred tax assets involves significant judgment and relies on management's estimates of future taxable income.</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had cumulative U.S. pre-tax book income, adjusted for permanent book-tax differences, over the twelve-quarter period ended September 30, 2026 and expects to continue to sustain this profitability position for the foreseeable future. This cumulative profitability represents objective and verifiable positive evidence that carries significant weight. After evaluating all available positive and negative evidence, including this cumulative profitability and anticipated future earnings, the Company concluded that it is more-likely-than-not that the U.S. federal and certain states’ deferred tax assets are realizable. As a result of this change in judgment, the Company released a significant portion of the valuation allowance previously recorded against its U.S. deferred tax assets during the three and nine months ended September 30, 2026. The majority of the released valuation allowance related to U.S. federal and state net operating losses, federal tax credit carryforwards and capitalized research and development (“R&amp;D”) expenditures. Because the change in estimate occurred during an interim period, the portion of the valuation allowance release attributable to current year income was included in the estimated annual effective tax rate, while the release supported by projections of future taxable income is recorded as a discrete benefit. The Company released $106.6 million of valuation allowance as a discrete tax benefit during the three and nine months ended September 30, 2026.</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judgment regarding the need for a valuation allowance may reasonably change in future reporting periods due to many factors, including changes in expectations of future profitability in the U.S. and changes in tax laws or regulations. The Company will continue to maintain a valuation allowance against deferred tax assets where the Company believes that it is more-likely-than-not that some or all the deferred tax assets will not be realized. The remaining valuation allowance as of September 30, 2026 was $11.0 million, maintained against deferred tax assets related to California R&amp;D credits.</w:t>
      </w:r>
    </w:p>
    <w:p>
      <w:pPr>
        <w:spacing w:after="0" w:line="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is subject to income tax examination in the United States and foreign jurisdictions. Because the Company has net operating loss and R&amp;D tax credits carryforwards for U.S. federal and state jurisdictions, the statute of limitations is open for all tax years. The Company believes it has provided adequate reserves for uncertain tax positions in all open tax years.</w:t>
      </w:r>
    </w:p>
    <w:p>
      <w:pPr>
        <w:spacing w:after="0" w:line="33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Risks and Significant Customers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Financial instruments that potentially expose the Company to concentration of credit risk consist of cash and cash equivalents, short-term investments, and accounts receivable. Cash and cash equivalents held with financial institutions may exceed federally insured limits, posing potential credit risk.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short-term investments were insignificant. As of December 31, 2025, short-term investments were $62.5 million.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was no concentration of securities of the same issuer with an aggregate fair value greater than 5% of the total balance, except for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treasury securities, which amounted to $56.1 million, or 90%, at December 31, 2025.</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the Company's payment transactions are settled through one Issuing Bank, Sutton Bank. For the three months ended September 30, 2026 and 2025, 55% and 63%, respectively, of Total Processing Volume, which is the total dollar amount of payments processed through the Company’s platform, net of returns and chargebacks, was settled through Sutton Bank. For the nine months ended September 30, 2026 and 2025, 58% and 65%, respectively, of Total Processing Volume, which is the total dollar amount of payments processed through the Company’s platform, net of returns and chargebacks, was settled through Sutton Bank.</w:t>
      </w:r>
    </w:p>
    <w:p>
      <w:pPr>
        <w:spacing w:after="0" w:line="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derives a significant portion of its revenue from one customer. This customer accounted for 41% and 44% of net revenue for the three months ended September 30, 2026 and 2025, respectively, and 42% and 45% of net revenue for the nine months ended September 30, 2026 and 2025, respectively. As of September 30, 2026, two separate customers accounted for 16% and 14% of the Company’s accounts receivable balance. As of December 31, 2025, two separate customers accounted for 12% and 12% of the Company’s accounts receivable balance.</w:t>
      </w:r>
    </w:p>
    <w:p>
      <w:pPr>
        <w:spacing w:after="0" w:line="28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chief operating decision maker (“CODM”) is its Chief Executive Officer, who regularly reviews financial information presented on a consolidated basis for purposes of allocating resources and evaluating financial performance. The Company provides a single, global, cloud-based, open API platform for modern card issuing and transaction processing, and primarily earns revenue from processing card transactions for its customers. As such, the Company operates as a single operating segment and reporting unit.</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CODM assesses performance and decides how to allocate resources based on consolidated net income or loss as the measure of profit and loss and consolidated total assets. The measure of segment assets is reported on the balance sheet as total assets. The CODM uses net income or loss in the annual budgeting process and subsequent monitoring of budget versus actual results as well as in assessing the return on consolidated total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information used by the CODM in assessing segment performance: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44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517,972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452,771</w:t>
            </w:r>
          </w:p>
        </w:tc>
      </w:tr>
      <w:tr>
        <w:trPr>
          <w:trHeight w:val="228"/>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Costs of revenue</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48,749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156,407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135,474</w:t>
            </w: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114,557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361,565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317,297</w:t>
            </w:r>
          </w:p>
        </w:tc>
      </w:tr>
      <w:tr>
        <w:trPr>
          <w:trHeight w:val="208"/>
        </w:trPr>
        <w:tc>
          <w:tcPr>
            <w:tcW w:w="4400" w:type="dxa"/>
            <w:vAlign w:val="bottom"/>
          </w:tcPr>
          <w:p>
            <w:pPr>
              <w:ind w:left="20"/>
              <w:spacing w:after="0"/>
              <w:rPr>
                <w:sz w:val="20"/>
                <w:szCs w:val="20"/>
                <w:color w:val="auto"/>
              </w:rPr>
            </w:pPr>
            <w:r>
              <w:rPr>
                <w:rFonts w:ascii="Arial" w:cs="Arial" w:eastAsia="Arial" w:hAnsi="Arial"/>
                <w:sz w:val="16"/>
                <w:szCs w:val="16"/>
                <w:color w:val="auto"/>
              </w:rPr>
              <w:t>Significant expenses: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compensation and benefits</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55,851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59,167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169,757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173,641</w:t>
            </w:r>
          </w:p>
        </w:tc>
      </w:tr>
      <w:tr>
        <w:trPr>
          <w:trHeight w:val="229"/>
        </w:trPr>
        <w:tc>
          <w:tcPr>
            <w:tcW w:w="4400" w:type="dxa"/>
            <w:vAlign w:val="bottom"/>
          </w:tcPr>
          <w:p>
            <w:pPr>
              <w:ind w:left="140"/>
              <w:spacing w:after="0"/>
              <w:rPr>
                <w:sz w:val="20"/>
                <w:szCs w:val="20"/>
                <w:color w:val="auto"/>
              </w:rPr>
            </w:pPr>
            <w:r>
              <w:rPr>
                <w:rFonts w:ascii="Arial" w:cs="Arial" w:eastAsia="Arial" w:hAnsi="Arial"/>
                <w:sz w:val="16"/>
                <w:szCs w:val="16"/>
                <w:color w:val="auto"/>
              </w:rPr>
              <w:t>Share based compensation</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21,465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63,839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78,689</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Technology</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54,511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47,855</w:t>
            </w:r>
          </w:p>
        </w:tc>
      </w:tr>
      <w:tr>
        <w:trPr>
          <w:trHeight w:val="228"/>
        </w:trPr>
        <w:tc>
          <w:tcPr>
            <w:tcW w:w="44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28,797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19,003</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services</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15,432</w:t>
            </w:r>
          </w:p>
        </w:tc>
      </w:tr>
      <w:tr>
        <w:trPr>
          <w:trHeight w:val="228"/>
        </w:trPr>
        <w:tc>
          <w:tcPr>
            <w:tcW w:w="4400" w:type="dxa"/>
            <w:vAlign w:val="bottom"/>
          </w:tcPr>
          <w:p>
            <w:pPr>
              <w:ind w:left="140"/>
              <w:spacing w:after="0"/>
              <w:rPr>
                <w:sz w:val="20"/>
                <w:szCs w:val="20"/>
                <w:color w:val="auto"/>
              </w:rPr>
            </w:pPr>
            <w:r>
              <w:rPr>
                <w:rFonts w:ascii="Arial" w:cs="Arial" w:eastAsia="Arial" w:hAnsi="Arial"/>
                <w:sz w:val="16"/>
                <w:szCs w:val="16"/>
                <w:color w:val="auto"/>
              </w:rPr>
              <w:t>Occupancy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2,818</w:t>
            </w:r>
          </w:p>
        </w:tc>
      </w:tr>
      <w:tr>
        <w:trPr>
          <w:trHeight w:val="231"/>
        </w:trPr>
        <w:tc>
          <w:tcPr>
            <w:tcW w:w="4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Marketing and advertising</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w:t>
            </w:r>
          </w:p>
        </w:tc>
      </w:tr>
      <w:tr>
        <w:trPr>
          <w:trHeight w:val="228"/>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operating expenses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15,920</w:t>
            </w: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(38,136)</w:t>
            </w:r>
          </w:p>
        </w:tc>
      </w:tr>
      <w:tr>
        <w:trPr>
          <w:trHeight w:val="228"/>
        </w:trPr>
        <w:tc>
          <w:tcPr>
            <w:tcW w:w="440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15,296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26,564</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(103,695)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r>
      <w:tr>
        <w:trPr>
          <w:trHeight w:val="249"/>
        </w:trPr>
        <w:tc>
          <w:tcPr>
            <w:tcW w:w="4400" w:type="dxa"/>
            <w:vAlign w:val="bottom"/>
            <w:tcBorders>
              <w:bottom w:val="single" w:sz="8" w:color="CCEEFF"/>
            </w:tcBorders>
            <w:shd w:val="clear" w:color="auto" w:fill="CCEEFF"/>
          </w:tcPr>
          <w:p>
            <w:pPr>
              <w:ind w:left="20"/>
              <w:spacing w:after="0" w:line="224" w:lineRule="exact"/>
              <w:rPr>
                <w:sz w:val="20"/>
                <w:szCs w:val="20"/>
                <w:color w:val="auto"/>
              </w:rPr>
            </w:pPr>
            <w:r>
              <w:rPr>
                <w:rFonts w:ascii="Arial" w:cs="Arial" w:eastAsia="Arial" w:hAnsi="Arial"/>
                <w:sz w:val="16"/>
                <w:szCs w:val="16"/>
                <w:color w:val="auto"/>
              </w:rPr>
              <w:t>Segment and consolidated net income (loss)</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130,843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firstLine="8"/>
        <w:spacing w:after="0" w:line="285" w:lineRule="auto"/>
        <w:tabs>
          <w:tab w:leader="none" w:pos="2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 operates as a single reportable segment that is managed on a consolidated basis, therefore the Company’s segment net income (loss) is the same as the Company’s consolidated net income (loss).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revenue outside of the United States, based on the billing address of the customer, was 15% and 14%, for the three months ended September 30, 2026 and 2025, respectively, and was 15% and 13%, for the nine months ended September 30, 2026 and 2025, respectively.</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September 30, 2026 and December 31, 2025, tangible long lived assets outside of the US were not material and not used by the CODM in assessing and evaluating financial performance and allocating resources.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in our 2025 Annual Report. This discussion contains forward-looking statements based upon current expectations that involve risks and uncertainties. As discussed in the section titled “Note About Forward-Looking Statements”, our actual results may differ materially from those discussed in these forward-looking statements as a result of various factors, including those set forth or incorporated by reference under the section titled “Risk Factors” in this Quarterly Report on Form 10-Q and in our 2025 Annual Report.</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Marqeta’s mission is modernizing financial services by making the entire payment experience native and delightful. Marqeta’s modern platform empowers our customers to create customized and innovative payment card programs with configurability and flexibility. Marqeta’s open APIs provide instant access to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 We also deliver robust bank, network, and card program management and value added services, allowing our customers to embed Marqeta in their offering without having to build certain complex compliance elements or customer support services.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Marqeta’s innovative products are developed with deep domain expertise and a customer-first mindset to launch, scale, and manage card programs. Marqeta provides the following offerings based on a customer’s desired level of control and responsibility:</w:t>
      </w:r>
    </w:p>
    <w:p>
      <w:pPr>
        <w:spacing w:after="0" w:line="45" w:lineRule="exact"/>
        <w:rPr>
          <w:sz w:val="20"/>
          <w:szCs w:val="20"/>
          <w:color w:val="auto"/>
        </w:rPr>
      </w:pPr>
    </w:p>
    <w:p>
      <w:pPr>
        <w:jc w:val="both"/>
        <w:ind w:left="66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Processing: Marqeta provides all of its customers with issuer processor services as our core offering. Payment processing provides customers with access to the Marqeta dashboard via our APIs and webhooks, our JIT Funding feature, and assists with certain configuration elements that enable customers to use the platform independently.</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Bank and Network Management: Marqeta provides a service option to connect customers to an Issuing Bank partner to act as the BIN sponsor for the customer’s card program, define and manage a number of the primary tasks related to launching a card program, and can provide a full range of services including configuring many of the critical resources required by a customer’s production environment and managing the applicable regulations and the Issuing Bank. In addition, Marqeta provides another service offering to manage compliance with applicable Card Network rules.</w:t>
      </w:r>
    </w:p>
    <w:p>
      <w:pPr>
        <w:spacing w:after="0" w:line="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Program Management: Marqeta provides additional program management services that are required as part of a card program, including chargebacks and dispute resolution, reconciliation, and card fulfillment.</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Value Added Services: Marqeta provides value added services that offer a more seamless experience for our customers, which include tokenization, real-time decisioning and fraud management, digital banking, and other customer experience services.</w:t>
      </w:r>
    </w:p>
    <w:p>
      <w:pPr>
        <w:spacing w:after="0" w:line="4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Impact of Macroeconomic Factors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unable to predict the impact macroeconomic factors, including various geopolitical conflicts, uncertainty related to global elections, changes in inflation and interest rates, and uncertainty in global regulatory and economic conditions, including as a result of uncertainty in global trade from potential tariffs and counter tariffs, will have on our processing volumes, and on our future results of operations. A deterioration in macroeconomic conditions could increase the risk of lower consumer spending, including discretionary spending, consumer and merchant bankruptcy, insolvency, business failure, higher credit losses, foreign currency fluctuations, or other business interruption, which may adversely impact our business. We continue to monitor these situations and may take actions that alter our operations and business practices as may be required by federal, state, or local authorities or that we determine are in the best interests of our customers, vendors, and employees. See the section titled “Risk Factors” in this Quarterly Report on Form 10-Q and in our 2025 Annual Report for further discussion or incorporation by reference of the possible impact of these macroeconomic factors on our business.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80" w:type="dxa"/>
            <w:vAlign w:val="bottom"/>
            <w:gridSpan w:val="5"/>
          </w:tcPr>
          <w:p>
            <w:pPr>
              <w:ind w:left="240"/>
              <w:spacing w:after="0"/>
              <w:rPr>
                <w:sz w:val="20"/>
                <w:szCs w:val="20"/>
                <w:color w:val="auto"/>
              </w:rPr>
            </w:pPr>
            <w:r>
              <w:rPr>
                <w:rFonts w:ascii="Arial" w:cs="Arial" w:eastAsia="Arial" w:hAnsi="Arial"/>
                <w:sz w:val="13"/>
                <w:szCs w:val="13"/>
                <w:b w:val="1"/>
                <w:bCs w:val="1"/>
                <w:color w:val="auto"/>
              </w:rPr>
              <w:t>Three Months Ended September 30,</w:t>
            </w:r>
          </w:p>
        </w:tc>
        <w:tc>
          <w:tcPr>
            <w:tcW w:w="340" w:type="dxa"/>
            <w:vAlign w:val="bottom"/>
          </w:tcPr>
          <w:p>
            <w:pPr>
              <w:spacing w:after="0"/>
              <w:rPr>
                <w:sz w:val="15"/>
                <w:szCs w:val="15"/>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3"/>
                <w:szCs w:val="13"/>
                <w:b w:val="1"/>
                <w:bCs w:val="1"/>
                <w:color w:val="auto"/>
              </w:rPr>
              <w:t>Nine Months Ended September 30,</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 unless otherwise noted)</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3"/>
                <w:szCs w:val="13"/>
                <w:b w:val="1"/>
                <w:bCs w:val="1"/>
                <w:color w:val="auto"/>
              </w:rPr>
              <w:t>2025</w:t>
            </w:r>
          </w:p>
        </w:tc>
      </w:tr>
      <w:tr>
        <w:trPr>
          <w:trHeight w:val="23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126,493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97,962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359,276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273,819</w:t>
            </w:r>
          </w:p>
        </w:tc>
      </w:tr>
      <w:tr>
        <w:trPr>
          <w:trHeight w:val="270"/>
        </w:trPr>
        <w:tc>
          <w:tcPr>
            <w:tcW w:w="4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176,179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163,306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517,972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452,771</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122,100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114,557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361,565</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317,297</w:t>
            </w: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115,442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130,843</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(12,531)</w:t>
            </w: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margin</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115,825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124,927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349,560</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355,433</w:t>
            </w:r>
          </w:p>
        </w:tc>
      </w:tr>
      <w:tr>
        <w:trPr>
          <w:trHeight w:val="270"/>
        </w:trPr>
        <w:tc>
          <w:tcPr>
            <w:tcW w:w="44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Non-GAAP Measures: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38,772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30,312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109,531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78,900</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expenses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83,328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84,245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252,034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238,397</w:t>
            </w: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Total Processing Volume (“TPV”)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TPV represents the total dollar amount of payments processed through our platform, net of returns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chargebacks. We believe that TPV is a key operating metric and a principal indicator of the market adoption of our platform, growth of our brand, growth of our customers' businesses and scale of our business.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is a non-GAAP financial measure that is calculated as Net income (loss) adjusted, as applicable,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exclude depreciation and amortization; share-based compensation expense; payroll tax related to share-based compensation; restructuring and other one-time costs; acquisition related expenses which consist of due diligence costs, transaction costs and integration costs related to potential or successful acquisitions and cash and non-cash postcombination compensation expenses; non-recurring litigation expense; income tax (benefit) expense; and other income, net, which consists primarily of interest income from our short-term investments and cash deposits, impairment of financial instruments and realized foreign currency gains and losses.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and performance-based restricted stock units. See the section below titled “Use of Non-GAAP Financial Measures” for a discussion of the use of non-GAAP measures, and a reconciliation of Net income (loss) to Adjusted EBITDA.</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Adjusted EBITDA Margi</w:t>
      </w:r>
      <w:r>
        <w:rPr>
          <w:rFonts w:ascii="Arial" w:cs="Arial" w:eastAsia="Arial" w:hAnsi="Arial"/>
          <w:sz w:val="18"/>
          <w:szCs w:val="18"/>
          <w:b w:val="1"/>
          <w:bCs w:val="1"/>
          <w:color w:val="auto"/>
        </w:rPr>
        <w:t>n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Margin is a non-GAAP financial measure that is calculated as Adjusted EBITDA divided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 This measure is used by management and our Board of Directors to evaluate our operating efficiency. See the section below titled “Use of Non-GAAP Financial Measures” for a discussion of the use of non-GAAP measures and a reconciliation of Net income (loss) to Adjusted EBITDA Margin.</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Adjusted Operating Expenses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operating expenses is a non-GAAP financial measure that is calculated as Total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adjusted, as applicable, to exclude depreciation and amortization; share-based compensation expense; payroll tax related to share-based compensation; restructuring and other one-time costs; non-recurring litigation expense; and acquisition-related expenses which consists of due diligence costs, transaction costs and integration costs related to potential or successful acquisitions, and cash and non-cash postcombination compensation expenses. We believe that adjusted operating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expenses is an important measure of operating performance because it allows management and our Board of Directors to evaluate and compare our core operating results, including our operating efficiencies, from period to period. See the section below titled “Use of Non-GAAP Financial Measures” for a discussion of the use of non-GAAP measures, a change in presentation, and a reconciliation of total operating expenses to adjusted operating expenses.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have two components of net revenue: platform services revenue, net and other services revenue.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Platform services revenue, net</w:t>
      </w:r>
      <w:r>
        <w:rPr>
          <w:rFonts w:ascii="Arial" w:cs="Arial" w:eastAsia="Arial" w:hAnsi="Arial"/>
          <w:sz w:val="18"/>
          <w:szCs w:val="18"/>
          <w:color w:val="auto"/>
        </w:rPr>
        <w:t>. Platform services revenue includes Interchange Fees, net of Revenue Share and other service-level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to customers, and Card Network and Issuing Bank costs for certain customer arrangements where the Company is an agent in the delivery of services to the customer. Platform services revenue also includes processing and other fees, including value added services. “Interchange Fees” are transaction-based and volume-based fees set by a Card Network and paid by a merchant bank to the Issuing Bank that issued the payment card used to purchase goods or services from a merchant. We earn Interchange Fees on card transactions we process for our customers and the fees are based on a percentage of the transaction amount plus a fixed amount per transaction. Interchange Fees are recognized when the associated transactions are settled.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Share payments are incentives to our customers to increase their processing volumes on our platform. Revenue Share is generally computed as a percentage of the Interchange Fees earned or processing volume and is paid to our customers monthly. Revenue Share payments are recorded as a reduction to net revenue. Generally, as customers' processing volumes increase, the rates at which we share revenue increase.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Processing and other fees are priced as either a percentage of processing volume or on a fee per transaction basis and are earned, for example, when payment cards are used at automated teller machines or to make cross-border purchases. Minimum processing fees, where customers' processing volumes fall below certain thresholds, as well as transaction fees for utilizing other value-added services and program management features, are also included in processing and other fees.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recognize revenue when the promised services are complete, and our performance obligations are satisfied. Platform services are considered complete when we have authorized the transaction, validated that the transaction has no errors, and accepted and posted the data to our records.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Other services revenue. </w:t>
      </w:r>
      <w:r>
        <w:rPr>
          <w:rFonts w:ascii="Arial" w:cs="Arial" w:eastAsia="Arial" w:hAnsi="Arial"/>
          <w:sz w:val="18"/>
          <w:szCs w:val="18"/>
          <w:color w:val="auto"/>
        </w:rPr>
        <w:t>Other services revenue primarily consists of revenue earned for card fulfillment services. Card fulfillment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billed to customers upon ordering card inventory and recognized as revenue when the cards are shipped to the customers.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Costs of revenue consist of Card Network fees, Issuing Bank fees, and card fulfillment costs for customer arrangements where we are the principal in providing services to the customer and excludes depreciation and amortization, which is reported separately within the Condensed Consolidated Statements of Operations and Comprehensive Income (Loss). Card Network fees are equal to a specified percentage of processing volume or a fixed amount per transaction routed through the respective Card Network. Issuing Bank fees compensate our Issuing Banks for issuing cards to our customers and sponsoring our card programs with the Card Networks and are typically equal to a specified percentage of processing volume or a fixed amount per transaction. Card fulfillment costs include physical cards, packaging, and other fulfillment costs.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marketing and incentive arrangements with Card Networks, that provide us with monetary incentives for establishing customer card programs with and routing transaction volume through the respective Card Networks. These incentives are typically calculated as a percentage of the processed transaction volume or the number of transactions routed through the Card Network. We account for these incentives as a reduction of Card Network fees within Costs of Revenue in customer arrangements where we act as the principal. As processing volumes increase, we earn a higher cumulative incentive rate,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subject to achieving specific cumulative volume thresholds within an annual measurement period. For certain incentive arrangements, the annual measurement period may not align with our fiscal year.</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and recognize network incentives based on the cumulative incentive rate we expect to earn over the annual measurement period. We estimate the cumulative incentive rates based on our forecasts for the annual measurement periods, which incorporates both historical experience and our expectations of future events, in addition to other qualitative considerations. The estimated cumulative incentive rates are applied to the volume and/or number of transactions processed during the reporting period to calculate the quarterly network incentives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Compensation and benefits consist primarily of salaries, employee benefits, severance and other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incentive compensation, contractors’ cost, and share-based compensation.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Technology consists primarily of third-party hosting fees, software licenses, and hardware purchases below our 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threshold, and support and maintenance costs.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consist primarily of consulting, legal, audit, and recruiting fees.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Occupancy. </w:t>
      </w:r>
      <w:r>
        <w:rPr>
          <w:rFonts w:ascii="Arial" w:cs="Arial" w:eastAsia="Arial" w:hAnsi="Arial"/>
          <w:sz w:val="18"/>
          <w:szCs w:val="18"/>
          <w:color w:val="auto"/>
        </w:rPr>
        <w:t>Occupancy consists primarily of rent expense, repairs, maintenance, and other building related costs.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primarily of depreciation of our fixed assets and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internal-use software and developed technology intangible assets.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Marketing and Advertising. </w:t>
      </w:r>
      <w:r>
        <w:rPr>
          <w:rFonts w:ascii="Arial" w:cs="Arial" w:eastAsia="Arial" w:hAnsi="Arial"/>
          <w:sz w:val="18"/>
          <w:szCs w:val="18"/>
          <w:color w:val="auto"/>
        </w:rPr>
        <w:t>Marketing and advertising consist primarily of costs of general marketing and promotional activities.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consist primarily of insurance costs, indemnification costs, travel-related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state and local taxes, and other general office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income, net consists primarily of interest income from our short-term investments and cash deposits, and realized foreign currency gains and losses.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 expense generally consists of U.S. federal and state income taxes, and income taxes related to certain foreign jurisdictions. We regularly assess the need for a valuation allowance on our deferred tax assets. We had cumulative U.S. pre-tax book income, adjusted for permanent book-tax differences, over the twelve-quarter period ended September 30, 2026, and expect to continue to sustain this profitability position for the foreseeable future. This cumulative profitability represents objective and verifiable positive evidence that carries significant weight that supported the realization of the U.S. federal and certain states’ deferred tax assets as of September 30, 2026. After evaluating all available positive and negative evidence, including this cumulative profitability and anticipated future earnings, we concluded that it is more-likely-than-not that the U.S. federal and certain states’ deferred tax assets are realizable as of September 30, 2026. As a result, we released a significant portion of our valuation allowance on the deferred tax assets in the U.S., resulting in the recognition of deferred tax assets and income tax benefit of $106.6 million during the three and nine months ended September 30, 2026, which was partially offset by income tax expense from current period activity. The release resulted in a discrete, non-cash increase in GAAP income tax benefit, and a corresponding increase in GAAP net income and GAAP earnings per share for the three and nine months ended September 30, 2026.</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expect cash taxes to remain below book income tax expense as we utilize net operating loss and tax credit carryforwards, subject to applicable limitations. We will continue to assess all available evidence each reporting period. Our judgment regarding the need for a valuation allowance may change due to the level of tax profitability we achieve, changes in enacted tax law, or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3"/>
                <w:szCs w:val="13"/>
                <w:b w:val="1"/>
                <w:bCs w:val="1"/>
                <w:color w:val="auto"/>
              </w:rPr>
              <w:t>Nine Months Ended September 30,</w:t>
            </w:r>
          </w:p>
        </w:tc>
      </w:tr>
      <w:tr>
        <w:trPr>
          <w:trHeight w:val="19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3"/>
                <w:szCs w:val="13"/>
                <w:b w:val="1"/>
                <w:bCs w:val="1"/>
                <w:color w:val="auto"/>
              </w:rPr>
              <w:t>2025</w:t>
            </w:r>
          </w:p>
        </w:tc>
      </w:tr>
      <w:tr>
        <w:trPr>
          <w:trHeight w:val="24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517,972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452,771</w:t>
            </w:r>
          </w:p>
        </w:tc>
      </w:tr>
      <w:tr>
        <w:trPr>
          <w:trHeight w:val="243"/>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Costs of revenue</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54,079</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48,749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156,407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135,474</w:t>
            </w:r>
          </w:p>
        </w:tc>
      </w:tr>
      <w:tr>
        <w:trPr>
          <w:trHeight w:val="237"/>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122,100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361,565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317,297</w:t>
            </w: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252,330</w:t>
            </w:r>
          </w:p>
        </w:tc>
      </w:tr>
      <w:tr>
        <w:trPr>
          <w:trHeight w:val="243"/>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18,028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47,855</w:t>
            </w:r>
          </w:p>
        </w:tc>
      </w:tr>
      <w:tr>
        <w:trPr>
          <w:trHeight w:val="243"/>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19,003</w:t>
            </w:r>
          </w:p>
        </w:tc>
      </w:tr>
      <w:tr>
        <w:trPr>
          <w:trHeight w:val="243"/>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4,124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15,432</w:t>
            </w:r>
          </w:p>
        </w:tc>
      </w:tr>
      <w:tr>
        <w:trPr>
          <w:trHeight w:val="243"/>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Occupancy</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r>
      <w:tr>
        <w:trPr>
          <w:trHeight w:val="243"/>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2,075</w:t>
            </w:r>
          </w:p>
        </w:tc>
      </w:tr>
      <w:tr>
        <w:trPr>
          <w:trHeight w:val="243"/>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15,920</w:t>
            </w:r>
          </w:p>
        </w:tc>
      </w:tr>
      <w:tr>
        <w:trPr>
          <w:trHeight w:val="237"/>
        </w:trPr>
        <w:tc>
          <w:tcPr>
            <w:tcW w:w="48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115,825</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124,927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349,560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355,433</w:t>
            </w:r>
          </w:p>
        </w:tc>
      </w:tr>
      <w:tr>
        <w:trPr>
          <w:trHeight w:val="236"/>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(38,136)</w:t>
            </w:r>
          </w:p>
        </w:tc>
      </w:tr>
      <w:tr>
        <w:trPr>
          <w:trHeight w:val="243"/>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26,544</w:t>
            </w:r>
          </w:p>
        </w:tc>
      </w:tr>
      <w:tr>
        <w:trPr>
          <w:trHeight w:val="236"/>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 (benefit) expense</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w:t>
            </w:r>
          </w:p>
        </w:tc>
      </w:tr>
      <w:tr>
        <w:trPr>
          <w:trHeight w:val="243"/>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(104,393)</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(103,695)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r>
      <w:tr>
        <w:trPr>
          <w:trHeight w:val="261"/>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115,442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Months Ended September 30, 2026 and 2025</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99"/>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 Change</w:t>
            </w:r>
          </w:p>
        </w:tc>
      </w:tr>
      <w:tr>
        <w:trPr>
          <w:trHeight w:val="24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4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Total platform services,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165,737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155,774</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9,963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services</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10,442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7,532</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37"/>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Total net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176,179</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163,306</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47"/>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126,493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97,962</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28,531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29 %</w:t>
            </w:r>
          </w:p>
        </w:tc>
      </w:tr>
    </w:tbl>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platform services, net revenue increased by $10.0 million, or 6%, for the three months ended September 30, 2026, compared to the same period in 2025. The overall increase in platform services revenue was primarily driven by a 29% increase in TPV, partially offset by unfavorable shifts in our card program mix, particularly the expansion of programs where we provide processing services with minimal or no program management.</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services revenue increased by $2.9 million, or 39%, for the three months ended September 30, 2026, compared to the same period in 2025, primarily driven by higher card-related fulfillment, including card replacements and increased customer card shipments.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TPV was driven by strong performance across all our major use cases, particularly financial services, lending including buy-now-pay later, and expense management. TPV for our top five customers, based on their individual processing volumes in each respective period, increased 24%, in the three months ended September 30, 2026, compared to the same period in 2025 while TPV from all other customers, as a group, grew 43%, over the same period. Note that the composition of the top five customers may differ between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 and Gross Margin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September 30,</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 Change</w:t>
            </w:r>
          </w:p>
        </w:tc>
      </w:tr>
      <w:tr>
        <w:trPr>
          <w:trHeight w:val="24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of revenue:</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43"/>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Card Network fees,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41,292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38,822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2,470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Issuing Bank fees</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5,230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4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5,427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39 %</w:t>
            </w:r>
          </w:p>
        </w:tc>
      </w:tr>
      <w:tr>
        <w:trPr>
          <w:trHeight w:val="261"/>
        </w:trPr>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costs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54,079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48,749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122,100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114,557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7"/>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bl>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Costs of revenue increased by $5.3 million, or 11%, for the three months ended September 30, 2026, compared to the same period in 2025. This increase was primarily driven by higher Card Network and Issuing Bank fees associated with the increase in TPV. In addition, we recognized higher costs related to card-related fulfillment, including card replacements and increased customer card shipments.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the increase in costs of revenue was outpaced by the net revenue growth discussed above, gross profit increased by $7.5 million, or 7%, while gross margin remained relatively stable, declining by only 1 percentage point year over year.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4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3"/>
                <w:szCs w:val="13"/>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 Change</w:t>
            </w:r>
          </w:p>
        </w:tc>
      </w:tr>
      <w:tr>
        <w:trPr>
          <w:trHeight w:val="23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43"/>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Salaries, bonus, benefits and payroll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55,851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59,167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(3,316)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21,465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25,704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6"/>
        </w:trPr>
        <w:tc>
          <w:tcPr>
            <w:tcW w:w="4800" w:type="dxa"/>
            <w:vAlign w:val="bottom"/>
            <w:gridSpan w:val="2"/>
          </w:tcPr>
          <w:p>
            <w:pPr>
              <w:ind w:left="240"/>
              <w:spacing w:after="0"/>
              <w:rPr>
                <w:sz w:val="20"/>
                <w:szCs w:val="20"/>
                <w:color w:val="auto"/>
              </w:rPr>
            </w:pPr>
            <w:r>
              <w:rPr>
                <w:rFonts w:ascii="Arial" w:cs="Arial" w:eastAsia="Arial" w:hAnsi="Arial"/>
                <w:sz w:val="18"/>
                <w:szCs w:val="18"/>
                <w:color w:val="auto"/>
              </w:rPr>
              <w:t>Total compensation and benefits</w:t>
            </w:r>
          </w:p>
        </w:tc>
        <w:tc>
          <w:tcPr>
            <w:tcW w:w="320" w:type="dxa"/>
            <w:vAlign w:val="bottom"/>
          </w:tcPr>
          <w:p>
            <w:pPr>
              <w:spacing w:after="0"/>
              <w:rPr>
                <w:sz w:val="20"/>
                <w:szCs w:val="20"/>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77,316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84,871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(7,555)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44 %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52 %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18,028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16,942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10,247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8,624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5 %</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37"/>
        </w:trPr>
        <w:tc>
          <w:tcPr>
            <w:tcW w:w="4800" w:type="dxa"/>
            <w:vAlign w:val="bottom"/>
            <w:gridSpan w:val="2"/>
          </w:tcPr>
          <w:p>
            <w:pPr>
              <w:ind w:left="5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115,825</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124,927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(9,102)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237"/>
        </w:trPr>
        <w:tc>
          <w:tcPr>
            <w:tcW w:w="480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Percentage of net revenue</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Salaries, bonus, benefits, and payroll taxes decreased by $3.3 million, or 6%, for the three months ended September 30, 2026, compared to the same period in 2025. This decrease was primarily driven by lower postcombination compensation expenses for former Power Finance employees and lower year-over-year severance and one-time retention bonuses awarded to certain key employees during the three months ended September 30, 2026, compared to the same period in 2025. The decrease was partially offset by higher wages as a result of higher headcount.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Share-based compensation decreased by $4.2 million, or 16%, for the three months ended September 30, 2026, compared to the same period in 2025. This decrease was primarily driven by the full vesting of higher grant-date fair value awards issued in prior years. These older awards are being replaced by new awards granted in more recent periods that carry lower grant-date fair values.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Technology expenses increased by $1.1 million, or 6%, for the three months ended September 30, 2026, compared to the same period in 2025. This increase was mainly driven by higher software licenses to support system and tool implementations amid ongoing business growth.</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Depreciation and amortization expense increased by $3.2 million, or 46%, for the three months ended September 30, 2026, compared to the same period in 2025. This increase was primarily driven by higher amortization of internally developed software as additional projects were capitalized and placed into service.</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Professional services expenses decreased by $1.4 million, or 25%, for the three months ended September 30, 2026, compared to the same period in 2025 primarily driven by lower legal and professional fees.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 remained relatively flat for the three months ended September 30, 2026, compared to the same period in 2025.</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Marketing and advertising expenses remained relatively flat for the three months ended September 30, 2026, compared to the same period in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operating expenses decreased by $4.6 million, or 53%, for the three months ended September 30, 2026 compared to the same period in 2025. This decrease was primarily due to $4.3 million of legal contingency expense recognized in the three months ended September 30, 2025 associated with the securities class action lawsuit.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September 30,</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 Change</w:t>
            </w:r>
          </w:p>
        </w:tc>
      </w:tr>
      <w:tr>
        <w:trPr>
          <w:trHeight w:val="23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4,774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7,244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7"/>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Percentage of net revenue</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income, net decreased by $ 2.5 million, or 34%, for the three months ended September 30, 2026, compared to the same period in 2025. This decrease was primarily driven by lower interest income from our short-term investment portfolio and cash balances, as average balances were lower due to share repurchases completed in 2025 and through the nine months ended September 30, 2026. We also realized lower average yields during the third quarter of 2026 compared to the same period in 2025.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7"/>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 Change</w:t>
            </w:r>
          </w:p>
        </w:tc>
      </w:tr>
      <w:tr>
        <w:trPr>
          <w:trHeight w:val="24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(104,393)</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(104,891)</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nm</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benefit was $104.4 million for the three months ended September 30, 2026, compared to an income tax expense of $0.5 million for the three months ended September 30, 2025. The year-over-year change was mainly attributable to a $106.6 million benefit from the release of a significant portion of the valuation allowance on our U.S. federal and certain states’ deferred tax assets during the three months ended September 30, 2026, partially offset by income tax expense from current period activity. The release of the valuation allowance was recorded as a discrete tax benefit and resulted in the recognition of certain deferred tax assets and a corresponding increase to net income for the three months ended September 30, 2026.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generated 41% and 44% of our net revenue from our largest customer, Block, during the three months ended September 30, 2026 and 2025, respectively.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Nine Months Ended September 30, 2026 and 2025</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5"/>
          </w:tcPr>
          <w:p>
            <w:pPr>
              <w:ind w:left="160"/>
              <w:spacing w:after="0"/>
              <w:rPr>
                <w:sz w:val="20"/>
                <w:szCs w:val="20"/>
                <w:color w:val="auto"/>
              </w:rPr>
            </w:pPr>
            <w:r>
              <w:rPr>
                <w:rFonts w:ascii="Arial" w:cs="Arial" w:eastAsia="Arial" w:hAnsi="Arial"/>
                <w:sz w:val="13"/>
                <w:szCs w:val="13"/>
                <w:b w:val="1"/>
                <w:bCs w:val="1"/>
                <w:color w:val="auto"/>
              </w:rPr>
              <w:t>Nine Months Ended September 30,</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9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 Change</w:t>
            </w:r>
          </w:p>
        </w:tc>
      </w:tr>
      <w:tr>
        <w:trPr>
          <w:trHeight w:val="23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4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Total platform services,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485,646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430,778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54,868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services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32,326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21,993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7"/>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517,972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452,771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37"/>
        </w:trPr>
        <w:tc>
          <w:tcPr>
            <w:tcW w:w="4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47"/>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359,276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273,819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85,457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31 %</w:t>
            </w:r>
          </w:p>
        </w:tc>
      </w:tr>
    </w:tbl>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platform services, net revenue increased by $54.9 million, or 13%, for the nine months ended September 30, 2026, compared to the same period in 2025. The overall increase in platform services revenue was primarily driven by a 31% increase in TPV, partially offset by unfavorable shifts in our card program mix, particularly the expansion of programs where we provide processing services with minimal or no program management.</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services revenue increased by $10.3 million, or 47% in the nine months ended September 30, 2026, compared to the same period in 2025, driven by higher card-related fulfillment, including card replacements and increased customer card shipments and professional services rendered for a certain network integration project that was completed in the first quarter of 2026.</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TPV increase was driven by robust growth across all major use cases, particularly financial services, lending including buy-now-pay later, and expense management. TPV for our top five customers, based on their individual processing volumes in each respective period, grew by 25% for the nine months ended September 30, 2026, compared to the same period in 2025. TPV from all other customers, as a group, increased by 50% in the nine months ended September 30, 2026, compared to the same period in 2025. Note that the composition of the top five customers may differ between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 and Gross Margin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gridSpan w:val="5"/>
          </w:tcPr>
          <w:p>
            <w:pPr>
              <w:ind w:left="220"/>
              <w:spacing w:after="0"/>
              <w:rPr>
                <w:sz w:val="20"/>
                <w:szCs w:val="20"/>
                <w:color w:val="auto"/>
              </w:rPr>
            </w:pPr>
            <w:r>
              <w:rPr>
                <w:rFonts w:ascii="Arial" w:cs="Arial" w:eastAsia="Arial" w:hAnsi="Arial"/>
                <w:sz w:val="13"/>
                <w:szCs w:val="13"/>
                <w:b w:val="1"/>
                <w:bCs w:val="1"/>
                <w:color w:val="auto"/>
              </w:rPr>
              <w:t>Nine Months Ended September 30,</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 Change</w:t>
            </w:r>
          </w:p>
        </w:tc>
      </w:tr>
      <w:tr>
        <w:trPr>
          <w:trHeight w:val="24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of revenue:</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43"/>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Card Network fees,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6"/>
              <w:spacing w:after="0"/>
              <w:rPr>
                <w:sz w:val="20"/>
                <w:szCs w:val="20"/>
                <w:color w:val="auto"/>
              </w:rPr>
            </w:pPr>
            <w:r>
              <w:rPr>
                <w:rFonts w:ascii="Arial" w:cs="Arial" w:eastAsia="Arial" w:hAnsi="Arial"/>
                <w:sz w:val="18"/>
                <w:szCs w:val="18"/>
                <w:color w:val="auto"/>
              </w:rPr>
              <w:t>120,188</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105,737</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14,451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Issuing Bank fees</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14,813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12,997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4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21,406</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16,740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28 %</w:t>
            </w:r>
          </w:p>
        </w:tc>
      </w:tr>
      <w:tr>
        <w:trPr>
          <w:trHeight w:val="262"/>
        </w:trPr>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costs of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156,407</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135,474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361,565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317,297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7"/>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Costs of revenue increased by $20.9 million, or 15%, for the nine months ended September 30, 2026, compared to the same period in 2025. This increase was primarily driven by higher Card Network and Issuing Bank fees associated with the increase in TPV. The remaining increase was driven by costs related to higher card-related fulfillment, including card replacements and increased customer card shipments.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the increase in costs of revenue was outpaced by the net revenue growth discussed above, gross profit increased by $44.3 million, or 14%, while gross margin remained flat for the nine months ended September 30, 2026, compared to the same period in 2025.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40" w:type="dxa"/>
            <w:vAlign w:val="bottom"/>
            <w:gridSpan w:val="5"/>
          </w:tcPr>
          <w:p>
            <w:pPr>
              <w:ind w:left="240"/>
              <w:spacing w:after="0"/>
              <w:rPr>
                <w:sz w:val="20"/>
                <w:szCs w:val="20"/>
                <w:color w:val="auto"/>
              </w:rPr>
            </w:pPr>
            <w:r>
              <w:rPr>
                <w:rFonts w:ascii="Arial" w:cs="Arial" w:eastAsia="Arial" w:hAnsi="Arial"/>
                <w:sz w:val="13"/>
                <w:szCs w:val="13"/>
                <w:b w:val="1"/>
                <w:bCs w:val="1"/>
                <w:color w:val="auto"/>
              </w:rPr>
              <w:t>Nine Months Ended September 30,</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 Change</w:t>
            </w:r>
          </w:p>
        </w:tc>
      </w:tr>
      <w:tr>
        <w:trPr>
          <w:trHeight w:val="23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43"/>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Salaries, bonus, benefits and payroll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169,757</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173,641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(3,884)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63,839</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78,689</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6"/>
        </w:trPr>
        <w:tc>
          <w:tcPr>
            <w:tcW w:w="4760" w:type="dxa"/>
            <w:vAlign w:val="bottom"/>
            <w:gridSpan w:val="2"/>
          </w:tcPr>
          <w:p>
            <w:pPr>
              <w:ind w:left="240"/>
              <w:spacing w:after="0"/>
              <w:rPr>
                <w:sz w:val="20"/>
                <w:szCs w:val="20"/>
                <w:color w:val="auto"/>
              </w:rPr>
            </w:pPr>
            <w:r>
              <w:rPr>
                <w:rFonts w:ascii="Arial" w:cs="Arial" w:eastAsia="Arial" w:hAnsi="Arial"/>
                <w:sz w:val="18"/>
                <w:szCs w:val="18"/>
                <w:color w:val="auto"/>
              </w:rPr>
              <w:t>Total compensation and benefits</w:t>
            </w:r>
          </w:p>
        </w:tc>
        <w:tc>
          <w:tcPr>
            <w:tcW w:w="340" w:type="dxa"/>
            <w:vAlign w:val="bottom"/>
          </w:tcPr>
          <w:p>
            <w:pPr>
              <w:spacing w:after="0"/>
              <w:rPr>
                <w:sz w:val="20"/>
                <w:szCs w:val="20"/>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233,596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252,330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(18,734)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56 %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54,511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47,855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6,656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28,797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19,003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9,794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14,375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15,432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3,364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2,075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43"/>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i w:val="1"/>
                <w:iCs w:val="1"/>
                <w:color w:val="auto"/>
              </w:rPr>
              <w:t>— %</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2,815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2,818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12,102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15,920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37"/>
        </w:trPr>
        <w:tc>
          <w:tcPr>
            <w:tcW w:w="4760" w:type="dxa"/>
            <w:vAlign w:val="bottom"/>
            <w:gridSpan w:val="2"/>
          </w:tcPr>
          <w:p>
            <w:pPr>
              <w:ind w:left="5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349,560</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355,433</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(5,873)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237"/>
        </w:trPr>
        <w:tc>
          <w:tcPr>
            <w:tcW w:w="476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Percentage of net revenue</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Salaries, bonus, benefits, and payroll taxes decreased by $3.9 million, or 2%, for the nine months ended September 30, 2026, compared to the same period in 2025. This decrease was primarily driven by lower postcombination compensation expenses for former Power Finance employees, higher capitalized salaries, bonuses, and benefits costs related to internal-use software development and lower year-over-year severance and one-time retention bonuses awarded to certain key employees. These savings were mostly offset by higher salaries and contractor expenses due to an increase in headcount.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Share-based compensation decreased by $14.9 million, or 19%, for the nine months ended September 30, 2026, compared to the same period in 2025. This decrease was primarily driven by the full vesting of higher grant-date fair value awards issued in prior years. These older awards are being replaced by new awards granted in more recent periods that carry lower grant-date fair values.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Technology expenses increased by $6.7 million, or 14%, for the nine months ended September 30, 2026, compared to the same period in 2025, mainly driven by higher licensing and hosting costs to support system and tool implementations amid ongoing business growth.</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Depreciation and amortization increased by $9.8 million, or 52%, for the nine months ended September 30, 2026, compared to the same period in 2025. This increase was primarily driven by higher amortization of internally developed software as additional projects were capitalized and placed into service, as well as amortization of the customer relationships intangible asset acquired from TransactPay in the third quarter of 2025.</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Professional services expenses decreased by $1.1 million, or 7%, for the nine months ended September 30, 2026, compared to the same period in 2025 primarily driven by lower legal and professional fees.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Marketing and advertising expenses increased by $1.3 million, or 62%, for the nine months ended September 30, 2026, compared to the same period in 2025, primarily due to increased spending on brand campaigns and continued investment in marketing and advertising initiatives.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 remained relatively flat for the nine months ended September 30, 2026, compared to the same period in 2025.</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operating expenses decreased by $3.8 million, or 24%, for the nine months ended September 30, 2026, compared to the same period in 2025 primarily due to $4.3 million of legal contingency expense recognized in the nine months ended September 30, 2025 associated with the securities class action lawsuit, partially offset by $0.9 million non-cash impairment charges related to certain internally developed software recorded during the nine months ended September 30, 2026.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40" w:type="dxa"/>
            <w:vAlign w:val="bottom"/>
            <w:gridSpan w:val="5"/>
          </w:tcPr>
          <w:p>
            <w:pPr>
              <w:ind w:left="220"/>
              <w:spacing w:after="0"/>
              <w:rPr>
                <w:sz w:val="20"/>
                <w:szCs w:val="20"/>
                <w:color w:val="auto"/>
              </w:rPr>
            </w:pPr>
            <w:r>
              <w:rPr>
                <w:rFonts w:ascii="Arial" w:cs="Arial" w:eastAsia="Arial" w:hAnsi="Arial"/>
                <w:sz w:val="13"/>
                <w:szCs w:val="13"/>
                <w:b w:val="1"/>
                <w:bCs w:val="1"/>
                <w:color w:val="auto"/>
              </w:rPr>
              <w:t>Nine Months Ended September 30,</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 Change</w:t>
            </w:r>
          </w:p>
        </w:tc>
      </w:tr>
      <w:tr>
        <w:trPr>
          <w:trHeight w:val="23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15,143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26,544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7"/>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Percentage of net revenue</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income, net decreased by $ 11.4 million, or 43%, for the nine months ended September 30, 2026, compared to the same period in 2025. This decrease was primarily driven by lower interest income from our short-term investment portfolio and cash balances, as average balances were lower due to share repurchases completed during 2025 and the nine months ended September 30, 2026. We also realized lower average yields during the nine months ended September 30, 2026 compared to the same period in 2025.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7"/>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 Change</w:t>
            </w:r>
          </w:p>
        </w:tc>
      </w:tr>
      <w:tr>
        <w:trPr>
          <w:trHeight w:val="24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(103,695)</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(104,634)</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nm</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benefit was $103.7 million for the nine months ended September 30, 2026, compared to an income tax expense of $0.9 million for the nine months ended September 30, 2025. The year-over-year change was mainly attributable to a $106.6 million benefit from the release of a significant portion of the valuation allowance on our U.S. federal and certain states’ deferred tax assets during the nine months ended September 30, 2026, partially offset by income tax expense from current period activity. The release of the valuation allowance was recorded as a discrete tax benefit and resulted in the recognition of certain deferred tax assets and a corresponding increase to net income for the nine months ended September 30, 2026.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generated 42% and 45% of our net revenue from our largest customer, Block, during the nine months ended September 30, 2026 and 2025, respectively.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note that we will likely incur expenses in the future similar to the adjustments in the presentation of our non-GAAP measures set forth under “Key Operating Metric and Non-GAAP Financial Measures”. There are a number of key limitations related to the use of these non-GAAP measures compared to their most directly comparable GAAP measures including the following:</w:t>
      </w:r>
    </w:p>
    <w:p>
      <w:pPr>
        <w:spacing w:after="0" w:line="71" w:lineRule="exact"/>
        <w:rPr>
          <w:sz w:val="20"/>
          <w:szCs w:val="20"/>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Adjusted operating expenses differently or not at all, limiting their usefulness as comparative measures;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or amortized may require future replacement, and adjusted EBITDA does not reflect cash requirements for such replacements or new capital expenditures;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reconciliation of Net income (loss) to adjusted EBITDA and GAAP operating expenses to Adjusted operating expenses for the periods presented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0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September 30,</w:t>
            </w:r>
          </w:p>
        </w:tc>
        <w:tc>
          <w:tcPr>
            <w:tcW w:w="320" w:type="dxa"/>
            <w:vAlign w:val="bottom"/>
          </w:tcPr>
          <w:p>
            <w:pPr>
              <w:spacing w:after="0"/>
              <w:rPr>
                <w:sz w:val="15"/>
                <w:szCs w:val="15"/>
                <w:color w:val="auto"/>
              </w:rPr>
            </w:pPr>
          </w:p>
        </w:tc>
        <w:tc>
          <w:tcPr>
            <w:tcW w:w="2900" w:type="dxa"/>
            <w:vAlign w:val="bottom"/>
            <w:gridSpan w:val="4"/>
          </w:tcPr>
          <w:p>
            <w:pPr>
              <w:jc w:val="right"/>
              <w:ind w:right="451"/>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99"/>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4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176,179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163,306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517,972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452,771</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115,442</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130,843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(12,531)</w:t>
            </w: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margin</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115,825</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124,927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349,560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355,433</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115,442</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130,843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(12,531)</w:t>
            </w: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21,465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25,704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63,839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78,689</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10,247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28,797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19,003</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8"/>
                <w:szCs w:val="18"/>
                <w:color w:val="auto"/>
              </w:rPr>
              <w:t>Payroll tax expense related to share-based</w:t>
            </w:r>
          </w:p>
        </w:tc>
        <w:tc>
          <w:tcPr>
            <w:tcW w:w="34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compensation</w:t>
            </w:r>
          </w:p>
        </w:tc>
        <w:tc>
          <w:tcPr>
            <w:tcW w:w="34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40"/>
              <w:spacing w:after="0" w:line="243" w:lineRule="exact"/>
              <w:rPr>
                <w:sz w:val="20"/>
                <w:szCs w:val="20"/>
                <w:color w:val="auto"/>
              </w:rPr>
            </w:pPr>
            <w:r>
              <w:rPr>
                <w:rFonts w:ascii="Arial" w:cs="Arial" w:eastAsia="Arial" w:hAnsi="Arial"/>
                <w:sz w:val="18"/>
                <w:szCs w:val="18"/>
                <w:color w:val="auto"/>
              </w:rPr>
              <w:t xml:space="preserve">Acquisition-related expenses </w:t>
            </w:r>
            <w:r>
              <w:rPr>
                <w:rFonts w:ascii="Arial" w:cs="Arial" w:eastAsia="Arial" w:hAnsi="Arial"/>
                <w:sz w:val="23"/>
                <w:szCs w:val="23"/>
                <w:color w:val="auto"/>
                <w:vertAlign w:val="superscript"/>
              </w:rPr>
              <w:t>(1)</w:t>
            </w:r>
          </w:p>
        </w:tc>
        <w:tc>
          <w:tcPr>
            <w:tcW w:w="34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ind w:left="240"/>
              <w:spacing w:after="0" w:line="243" w:lineRule="exact"/>
              <w:rPr>
                <w:sz w:val="20"/>
                <w:szCs w:val="20"/>
                <w:color w:val="auto"/>
              </w:rPr>
            </w:pPr>
            <w:r>
              <w:rPr>
                <w:rFonts w:ascii="Arial" w:cs="Arial" w:eastAsia="Arial" w:hAnsi="Arial"/>
                <w:sz w:val="18"/>
                <w:szCs w:val="18"/>
                <w:color w:val="auto"/>
              </w:rPr>
              <w:t xml:space="preserve">Restructuring and other one-time costs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40"/>
              <w:spacing w:after="0" w:line="243" w:lineRule="exact"/>
              <w:rPr>
                <w:sz w:val="20"/>
                <w:szCs w:val="20"/>
                <w:color w:val="auto"/>
              </w:rPr>
            </w:pPr>
            <w:r>
              <w:rPr>
                <w:rFonts w:ascii="Arial" w:cs="Arial" w:eastAsia="Arial" w:hAnsi="Arial"/>
                <w:sz w:val="18"/>
                <w:szCs w:val="18"/>
                <w:color w:val="auto"/>
              </w:rPr>
              <w:t xml:space="preserve">Non-recurring litigation expense </w:t>
            </w:r>
            <w:r>
              <w:rPr>
                <w:rFonts w:ascii="Arial" w:cs="Arial" w:eastAsia="Arial" w:hAnsi="Arial"/>
                <w:sz w:val="23"/>
                <w:szCs w:val="23"/>
                <w:color w:val="auto"/>
                <w:vertAlign w:val="superscript"/>
              </w:rPr>
              <w:t>(3)</w:t>
            </w:r>
          </w:p>
        </w:tc>
        <w:tc>
          <w:tcPr>
            <w:tcW w:w="34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(4,774)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(7,244)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(15,143)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(26,544)</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gridSpan w:val="2"/>
          </w:tcPr>
          <w:p>
            <w:pPr>
              <w:ind w:left="240"/>
              <w:spacing w:after="0" w:line="243" w:lineRule="exact"/>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(104,393)</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(103,695)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62"/>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38,772</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30,312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109,531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78,900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Adjusted EBITDA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115,825</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124,927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349,560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355,433</w:t>
            </w: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(21,465)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(25,704)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(63,839)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(78,689)</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(10,247)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(28,797)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(19,003)</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8"/>
                <w:szCs w:val="18"/>
                <w:color w:val="auto"/>
              </w:rPr>
              <w:t>Payroll tax expense related to share-based</w:t>
            </w:r>
          </w:p>
        </w:tc>
        <w:tc>
          <w:tcPr>
            <w:tcW w:w="34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compensation</w:t>
            </w:r>
          </w:p>
        </w:tc>
        <w:tc>
          <w:tcPr>
            <w:tcW w:w="34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40"/>
              <w:spacing w:after="0" w:line="243" w:lineRule="exact"/>
              <w:rPr>
                <w:sz w:val="20"/>
                <w:szCs w:val="20"/>
                <w:color w:val="auto"/>
              </w:rPr>
            </w:pPr>
            <w:r>
              <w:rPr>
                <w:rFonts w:ascii="Arial" w:cs="Arial" w:eastAsia="Arial" w:hAnsi="Arial"/>
                <w:sz w:val="18"/>
                <w:szCs w:val="18"/>
                <w:color w:val="auto"/>
              </w:rPr>
              <w:t xml:space="preserve">Acquisition-related expenses </w:t>
            </w:r>
            <w:r>
              <w:rPr>
                <w:rFonts w:ascii="Arial" w:cs="Arial" w:eastAsia="Arial" w:hAnsi="Arial"/>
                <w:sz w:val="23"/>
                <w:szCs w:val="23"/>
                <w:color w:val="auto"/>
                <w:vertAlign w:val="superscript"/>
              </w:rPr>
              <w:t>(1)</w:t>
            </w:r>
          </w:p>
        </w:tc>
        <w:tc>
          <w:tcPr>
            <w:tcW w:w="34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ind w:left="240"/>
              <w:spacing w:after="0" w:line="243" w:lineRule="exact"/>
              <w:rPr>
                <w:sz w:val="20"/>
                <w:szCs w:val="20"/>
                <w:color w:val="auto"/>
              </w:rPr>
            </w:pPr>
            <w:r>
              <w:rPr>
                <w:rFonts w:ascii="Arial" w:cs="Arial" w:eastAsia="Arial" w:hAnsi="Arial"/>
                <w:sz w:val="18"/>
                <w:szCs w:val="18"/>
                <w:color w:val="auto"/>
              </w:rPr>
              <w:t xml:space="preserve">Restructuring and other one-time costs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40"/>
              <w:spacing w:after="0" w:line="243" w:lineRule="exact"/>
              <w:rPr>
                <w:sz w:val="20"/>
                <w:szCs w:val="20"/>
                <w:color w:val="auto"/>
              </w:rPr>
            </w:pPr>
            <w:r>
              <w:rPr>
                <w:rFonts w:ascii="Arial" w:cs="Arial" w:eastAsia="Arial" w:hAnsi="Arial"/>
                <w:sz w:val="18"/>
                <w:szCs w:val="18"/>
                <w:color w:val="auto"/>
              </w:rPr>
              <w:t xml:space="preserve">Non-recurring litigation expense </w:t>
            </w:r>
            <w:r>
              <w:rPr>
                <w:rFonts w:ascii="Arial" w:cs="Arial" w:eastAsia="Arial" w:hAnsi="Arial"/>
                <w:sz w:val="23"/>
                <w:szCs w:val="23"/>
                <w:color w:val="auto"/>
                <w:vertAlign w:val="superscript"/>
              </w:rPr>
              <w:t>(3)</w:t>
            </w:r>
          </w:p>
        </w:tc>
        <w:tc>
          <w:tcPr>
            <w:tcW w:w="34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62"/>
        </w:trPr>
        <w:tc>
          <w:tcPr>
            <w:tcW w:w="4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operating expenses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83,328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84,245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252,034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238,397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8"/>
        <w:spacing w:after="0" w:line="273" w:lineRule="auto"/>
        <w:tabs>
          <w:tab w:leader="none" w:pos="2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Acquisition-related expenses, which include transaction costs, integration costs and cash and non-cash postcombination compensation expense, have been excluded from adjusted EBITDA as such expenses are not reflective of our ongoing core operations and are not representative of the ongoing costs necessary to operate our business; instead, these are costs specifically associated with a discrete transaction.</w:t>
      </w:r>
    </w:p>
    <w:p>
      <w:pPr>
        <w:spacing w:after="0" w:line="17" w:lineRule="exact"/>
        <w:rPr>
          <w:rFonts w:ascii="Arial" w:cs="Arial" w:eastAsia="Arial" w:hAnsi="Arial"/>
          <w:sz w:val="14"/>
          <w:szCs w:val="14"/>
          <w:color w:val="auto"/>
        </w:rPr>
      </w:pPr>
    </w:p>
    <w:p>
      <w:pPr>
        <w:ind w:firstLine="8"/>
        <w:spacing w:after="0" w:line="301"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Restructuring and other one-time costs include the costs associated with the transition of our former CEO and other one-time costs related to retention bonuses provided to other key employees. These bonuses have service requirements and are expensed over the requisite service period.</w:t>
      </w:r>
    </w:p>
    <w:p>
      <w:pPr>
        <w:spacing w:after="0" w:line="1" w:lineRule="exact"/>
        <w:rPr>
          <w:rFonts w:ascii="Arial" w:cs="Arial" w:eastAsia="Arial" w:hAnsi="Arial"/>
          <w:sz w:val="14"/>
          <w:szCs w:val="14"/>
          <w:color w:val="auto"/>
        </w:rPr>
      </w:pPr>
    </w:p>
    <w:p>
      <w:pPr>
        <w:ind w:firstLine="8"/>
        <w:spacing w:after="0" w:line="262" w:lineRule="auto"/>
        <w:tabs>
          <w:tab w:leader="none" w:pos="229"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Non-recurring litigation expense includes a legal contingency expense related to the Securities Actions recorded during the three and nine months ended September 30, 2025.</w:t>
      </w:r>
    </w:p>
    <w:p>
      <w:pPr>
        <w:spacing w:after="0" w:line="215" w:lineRule="exact"/>
        <w:rPr>
          <w:rFonts w:ascii="Arial" w:cs="Arial" w:eastAsia="Arial" w:hAnsi="Arial"/>
          <w:sz w:val="14"/>
          <w:szCs w:val="14"/>
          <w:color w:val="auto"/>
        </w:rPr>
      </w:pPr>
    </w:p>
    <w:p>
      <w:pPr>
        <w:ind w:firstLine="8"/>
        <w:spacing w:after="0" w:line="305" w:lineRule="auto"/>
        <w:tabs>
          <w:tab w:leader="none" w:pos="233"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income tax benefit recorded during the three and nine months ended September 30, 2026 was primarily due to the release of valuation allowances related to U.S. federal and certain states’ deferred tax assets, partially offset by the income tax expense from current period activity.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2026, our primary sources of liquidity consisted of cash, cash equivalents, and short-term investments totaling $698.2 million, held primarily for working capital purposes. Our cash equivalents and short-term investments consisted primarily of bank deposits, money market funds, U.S. treasury bills, U.S. treasury securities, asset-backed securities, commercial paper, certificates of deposit, and corporate debt securities. We have historically incurred significant operating losses, as reflected in our accumulated deficit. As of the date of filing this Quarterly Report on Form 10-Q, we have access to and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control over all our cash, cash equivalents, and short-term investments, with the exception of restricted cash. The majority of our restricted cash amounts are held solely for safeguarding customer funds in connection with TransactPay’s card and e-money wallet programs, and are not available for our general corporate purposes or operations.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release of the valuation allowance against our U.S. federal and certain states’ deferred tax assets during the three and nine months ended September 30, 2026 was a non-cash item and did not affect our cash, cash equivalents, or short-term investments. Cash taxes paid may increase over time as net operating loss and tax credit carryforwards are utilized or become limited.</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has periodically authorized share repurchase programs for repurchases of shares of our Class A common stock. Most recently, on August 3, 2026, our Board of Directors authorized an additional share repurchase program authorizing the Company to purchase up to an aggregate of $150 million of the Company’s Class A common stock (the “August 2026 Share Repurchase Program”). Under the August 2026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timing and total amount of any stock repurchases will be determined at management's discretion and depend upon business, economic and market conditions, corporate and regulatory requirements, prevailing stock prices and other considerations. The execution of the repurchase program will be consistent with the Company's capital allocation strategy, which prioritizes investments to grow the business. The August 2026 Share Repurchase Program has no set expiration date, and does not obligate Marqeta to acquire a specific number of shares of Class A common stock and may be canceled or suspended at any time without notice. As of September 30, 2026, $140.3 million remained available for future share repurchases under the August 2026 Share Repurchase Program.</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our existing cash and cash equivalents, and short-term investments of $698.2 million as of September 30, 2026, will be sufficient to meet our working capital and capital expenditure needs for at least the next 12 months. As of the date of filing this Quarterly Report on Form 10-Q, we maintain full access to and control over all our cash, cash equivalents and short-term investments, except amounts held as restricted cash. Our future capital requirements will depend on many factors, such as continued investment in product development, platform infrastructure, share repurchases, potential strategic acquisitions, capital expenditures, and global expansion. We plan to allocate cash to support ongoing business investments, infrastructure enhancements, and non-cancellable purchase commitments with cloud-computing service providers and certain Issuing Banks.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2026, we had $267.5 million in restricted cash, of which $265.3 million is related to the cash and cash equivalents held by TransactPay on behalf of its customers related to card and e-money wallet programs.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3"/>
                <w:szCs w:val="13"/>
                <w:b w:val="1"/>
                <w:bCs w:val="1"/>
                <w:color w:val="auto"/>
              </w:rPr>
              <w:t>Nine Months Ended September 30,</w:t>
            </w:r>
          </w:p>
        </w:tc>
      </w:tr>
      <w:tr>
        <w:trPr>
          <w:trHeight w:val="196"/>
        </w:trPr>
        <w:tc>
          <w:tcPr>
            <w:tcW w:w="8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2025</w:t>
            </w:r>
          </w:p>
        </w:tc>
      </w:tr>
      <w:tr>
        <w:trPr>
          <w:trHeight w:val="181"/>
        </w:trPr>
        <w:tc>
          <w:tcPr>
            <w:tcW w:w="8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Pr>
          <w:p>
            <w:pPr>
              <w:spacing w:after="0"/>
              <w:rPr>
                <w:sz w:val="15"/>
                <w:szCs w:val="15"/>
                <w:color w:val="auto"/>
              </w:rPr>
            </w:pPr>
          </w:p>
        </w:tc>
      </w:tr>
      <w:tr>
        <w:trPr>
          <w:trHeight w:val="24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109,301</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258,239</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(174,341)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(316,394)</w:t>
            </w:r>
          </w:p>
        </w:tc>
      </w:tr>
      <w:tr>
        <w:trPr>
          <w:trHeight w:val="236"/>
        </w:trPr>
        <w:tc>
          <w:tcPr>
            <w:tcW w:w="814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(52,927)</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51,146</w:t>
            </w: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 of cash from operating activities is net revenue. The primary uses of cash in operating activities include Card Network and Issuing Bank fees and employee-related compensation. The timing of settlements of certain operating assets and liabilities, such as revenue share payments, bonus payments, prepayments to cloud-computing service providers, settlements receivable and network incentives receivable, may impact the amounts reported as net cash provided by or used in operating activities in the Condensed Consolidated Statements of Cash Flows.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operating activities was $86.2 million for the nine months ended September 30, 2026, compared to $109.3 million for the same period in 2025. The year-over-year change was primarily driven by unfavorable working capital timing, particularly related to accrued expenses and other liabilities, revenue share payable, network incentive receivables, and settlement receivables, partially offset by higher gross profit and lower operating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investing activities primarily consists of proceeds from maturities of short-term investments, while net cash used in investing activities primarily includes purchases of short-term investments, purchases of property and equipment, capitalized costs for internal-use software development, and business combinations when they occur.</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investing activities decreased by $223.0 million to $35.3 million for the nine months ended September 30, 2026, from $258.2 million in the same period in 2025. This decrease was primarily due to restricted cash acquired in the TransactPay acquisition in the prior year, and fewer maturities of short-term investments, partially offset by $44.6 million in net cash used for the TransactPay acquisition during the third quarter of 2025.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Net cash used in financing activities consists primarily of net payments related to share-based compensation activities, our share repurchase programs, and the net impact of funds payable and amounts owed to customers.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used in financing activities decreased to $174.3 million for the nine months ended September 30, 2026, from $316.4 million in the same period in 2025. The decrease was primarily due to lower repurchases of our Class A common stock, partially offset by changes in funds payable and amounts due to customers and $5.0 million contingent and holdback consideration payments related to the TransactPay acquisition.</w:t>
      </w:r>
    </w:p>
    <w:p>
      <w:pPr>
        <w:spacing w:after="0" w:line="17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Obligations and Other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to our obligations and other commitments from those reported in our 2025 Annual Report.</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additional information about our contractual obligations and other commitments, see Note 9 “Commitments and Contingencies” to our condensed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costs, and expenses, and the related disclosures. On an ongoing basis, we evaluate our accounting estimates and assumptions. Our actual results may differ from these estimates under different assumptions or conditions.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to our critical accounting policies and estimates described in “Management's Discussion and Analysis of Financial Condition and Results of Operations” set forth in our 2025 Annual Report, other than the income taxes described below.</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evaluate the realizability of our deferred tax assets based on positive and negative evidence, including historical results, projections of future taxable income, and other factors. This assessment requires significant management judgment and can change as new information becomes available or actual results differ from projections. Adjustments to the valuation allowance are recorded through the income tax provision and can materially affect our results of operations.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cumulative U.S. pre-tax book income, adjusted for permanent book-tax differences, over the twelve-quarter period ended September 30, 2026, and expect to continue to sustain this profitability for the foreseeable future. This cumulative profitability represents objective and verifiable positive evidence that carries significant weight. After evaluating all available positive and negative evidence, including anticipated future earnings, we concluded that it is more-likely-than-not that the U.S. federal and certain states’ deferred tax assets are realizable. Accordingly, we released $106.6 million of valuation allowance during the three and nine-months ended September 30, 2026, primarily related to U.S. federal and state operating losses, federal tax credit carryforwards, and capitalized R&amp;D expenditures. We continue to maintain a valuation allowance of $11.0 million against our California R&amp;D credits, as we believe it is more-likely-than-not that these deferred tax assets will not be realizable. For additional information, see Note 13 to the Condensed Consolidated Financial Statements included in Item 1 of Part I of this Quarterly Report.</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assessment of the realizability of deferred tax assets is sensitive to changes in projected taxable income. A sustained decline in profitability or a significant reduction in projected future taxable income could result in the need to re-establish a valuation allowance against some or all of the deferred tax assets for which the allowance was released. We will continue to evaluate the realizability of our deferred tax assets based on all available evidence each reporting period.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have operations within the United States and globally, and are exposed to market risks in the ordinary course of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31F20"/>
        </w:rPr>
        <w:t>Information relating to quantitative and qualitative disclosures about these market risks is described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As of September 30, 2026, our cash, cash equivalents, and short-term investments totaled $698.2 million, comprising cash deposits, money market funds, U.S. treasury bills, U.S. treasury securities, commercial paper, certificates of deposits, asset-backed securities and corporate debt securities. The fair value of these holdings would not be significantly impacted by interest rate fluctuations due to their short-term maturities. Because we classify our short-term investments as “available-for-sale”</w:t>
      </w:r>
      <w:r>
        <w:rPr>
          <w:rFonts w:ascii="Arial" w:cs="Arial" w:eastAsia="Arial" w:hAnsi="Arial"/>
          <w:sz w:val="18"/>
          <w:szCs w:val="18"/>
          <w:color w:val="000000"/>
        </w:rPr>
        <w:t>,</w:t>
      </w:r>
      <w:r>
        <w:rPr>
          <w:rFonts w:ascii="Arial" w:cs="Arial" w:eastAsia="Arial" w:hAnsi="Arial"/>
          <w:sz w:val="18"/>
          <w:szCs w:val="18"/>
          <w:color w:val="231F20"/>
        </w:rPr>
        <w:t xml:space="preserve"> no gains or losses are recognized in the Condensed Consolidated Statements of Operations and Comprehensive Income (Loss) due to changes in interest rates unless such securities are sold prior to maturity or declines in fair value are due to credit losses. We have the ability and intent to hold all short-term investments until maturity. A hypothetical 100 basis point increase or decrease in interest rates would not have a material effect on our financial results or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Foreign Currency Exchange Risk</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Most </w:t>
      </w:r>
      <w:r>
        <w:rPr>
          <w:rFonts w:ascii="Arial" w:cs="Arial" w:eastAsia="Arial" w:hAnsi="Arial"/>
          <w:sz w:val="18"/>
          <w:szCs w:val="18"/>
          <w:color w:val="231F20"/>
        </w:rPr>
        <w:t>of our sales and operating expenses are denominated in U.S. dollars, and therefore our results of operations are not currently subject to</w:t>
      </w:r>
      <w:r>
        <w:rPr>
          <w:rFonts w:ascii="Arial" w:cs="Arial" w:eastAsia="Arial" w:hAnsi="Arial"/>
          <w:sz w:val="18"/>
          <w:szCs w:val="18"/>
          <w:color w:val="auto"/>
        </w:rPr>
        <w:t xml:space="preserve"> </w:t>
      </w:r>
      <w:r>
        <w:rPr>
          <w:rFonts w:ascii="Arial" w:cs="Arial" w:eastAsia="Arial" w:hAnsi="Arial"/>
          <w:sz w:val="18"/>
          <w:szCs w:val="18"/>
          <w:color w:val="231F20"/>
        </w:rPr>
        <w:t>significant foreign currency risk. As of September 30, 2026, a hypothetical 10% change in foreign currency exchange rates applicable to our business would not have had a material impact on our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Based on such evaluation, our management has concluded our disclosure controls and procedures were effective at a reasonable assurance level as of </w:t>
      </w:r>
      <w:r>
        <w:rPr>
          <w:rFonts w:ascii="Arial" w:cs="Arial" w:eastAsia="Arial" w:hAnsi="Arial"/>
          <w:sz w:val="18"/>
          <w:szCs w:val="18"/>
          <w:color w:val="231F20"/>
        </w:rPr>
        <w:t>September 30, 2026</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acquisition of TransactPay, the Company reviewed its internal controls and has implemented changes as deemed necessary. Other than implementing controls related to the integration of TransactPay, there have been no changes in the Company’s internal control over financial reporting (as such term is defined in Rules 13a-15(f) and 15d-15(f) under the Exchange Act) during the third quarter of fiscal 2026 that have materially affected, or are reasonably likely to materially affect, the Company’s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effectiveness of any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we may be subject to legal proceedings and claims arising in the ordinary course of business. We are currently involved in the following matter:</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 xml:space="preserve">On December 9, 2024, a putative securities class action lawsuit, captioned </w:t>
      </w:r>
      <w:r>
        <w:rPr>
          <w:rFonts w:ascii="Arial" w:cs="Arial" w:eastAsia="Arial" w:hAnsi="Arial"/>
          <w:sz w:val="18"/>
          <w:szCs w:val="18"/>
          <w:i w:val="1"/>
          <w:iCs w:val="1"/>
          <w:color w:val="231F20"/>
        </w:rPr>
        <w:t>Wai v. Marqeta, Inc., et al.</w:t>
      </w:r>
      <w:r>
        <w:rPr>
          <w:rFonts w:ascii="Arial" w:cs="Arial" w:eastAsia="Arial" w:hAnsi="Arial"/>
          <w:sz w:val="18"/>
          <w:szCs w:val="18"/>
          <w:color w:val="231F20"/>
        </w:rPr>
        <w:t>, Case No. 24-cv-08874 (N.D. Cal.), was filed in federal court in the Northern District of California (“Court”) against the Company and certain of its current and former officers (“Defendants”) alleging violations of federal securities laws. The lawsuit asserts that during the putative class period of between August 7, 2024 and November 4, 2024, Defendants made false or misleading statements relating to the Company’s performance or revenue and gross profit expectations in violation of Sections 10(b) and 20(a) of the Securities Exchange Act of 1934 and Rule 10b-5 promulgated thereunder.</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 xml:space="preserve">On December 10, 2024, a second putative securities class action lawsuit, captioned </w:t>
      </w:r>
      <w:r>
        <w:rPr>
          <w:rFonts w:ascii="Arial" w:cs="Arial" w:eastAsia="Arial" w:hAnsi="Arial"/>
          <w:sz w:val="18"/>
          <w:szCs w:val="18"/>
          <w:i w:val="1"/>
          <w:iCs w:val="1"/>
          <w:color w:val="231F20"/>
        </w:rPr>
        <w:t>Ford v. Marqeta, Inc., et al.</w:t>
      </w:r>
      <w:r>
        <w:rPr>
          <w:rFonts w:ascii="Arial" w:cs="Arial" w:eastAsia="Arial" w:hAnsi="Arial"/>
          <w:sz w:val="18"/>
          <w:szCs w:val="18"/>
          <w:color w:val="231F20"/>
        </w:rPr>
        <w:t xml:space="preserve">, Case No. 24-cv-08892 (N.D. Cal.), was filed in the same Court against the same Defendants alleging violations of the same federal securities laws. The second lawsuit asserts similar theories of liability as the first lawsuit but alleges a broader putative class period of between May 7, 2024 and November 4, 2024 and some additional and/or different allegations on which the claims are based. Both lawsuits (collectively, the “Securities Actions”) seek to recover damages on behalf of shareholders who acquired shares of the Company’s common stock during their respective putative class periods. </w:t>
      </w:r>
      <w:r>
        <w:rPr>
          <w:rFonts w:ascii="Arial" w:cs="Arial" w:eastAsia="Arial" w:hAnsi="Arial"/>
          <w:sz w:val="18"/>
          <w:szCs w:val="18"/>
          <w:color w:val="000000"/>
        </w:rPr>
        <w:t>The Securities Actions have been consolidated into one consolidated securities litigation captioned</w:t>
      </w:r>
      <w:r>
        <w:rPr>
          <w:rFonts w:ascii="Arial" w:cs="Arial" w:eastAsia="Arial" w:hAnsi="Arial"/>
          <w:sz w:val="18"/>
          <w:szCs w:val="18"/>
          <w:color w:val="231F20"/>
        </w:rPr>
        <w:t xml:space="preserve"> </w:t>
      </w:r>
      <w:r>
        <w:rPr>
          <w:rFonts w:ascii="Arial" w:cs="Arial" w:eastAsia="Arial" w:hAnsi="Arial"/>
          <w:sz w:val="18"/>
          <w:szCs w:val="18"/>
          <w:i w:val="1"/>
          <w:iCs w:val="1"/>
          <w:color w:val="000000"/>
        </w:rPr>
        <w:t>In re Marqeta, Inc.</w:t>
      </w:r>
      <w:r>
        <w:rPr>
          <w:rFonts w:ascii="Arial" w:cs="Arial" w:eastAsia="Arial" w:hAnsi="Arial"/>
          <w:sz w:val="18"/>
          <w:szCs w:val="18"/>
          <w:color w:val="231F20"/>
        </w:rPr>
        <w:t xml:space="preserve"> </w:t>
      </w:r>
      <w:r>
        <w:rPr>
          <w:rFonts w:ascii="Arial" w:cs="Arial" w:eastAsia="Arial" w:hAnsi="Arial"/>
          <w:sz w:val="18"/>
          <w:szCs w:val="18"/>
          <w:i w:val="1"/>
          <w:iCs w:val="1"/>
          <w:color w:val="000000"/>
        </w:rPr>
        <w:t>Securities Litigation</w:t>
      </w:r>
      <w:r>
        <w:rPr>
          <w:rFonts w:ascii="Arial" w:cs="Arial" w:eastAsia="Arial" w:hAnsi="Arial"/>
          <w:sz w:val="18"/>
          <w:szCs w:val="18"/>
          <w:color w:val="000000"/>
        </w:rPr>
        <w:t>, Case No. 24-08874-YGR (N.D. Cal.) and the Court has appointed a lead plaintiff and lead plaintiff’s counsel in the</w:t>
      </w:r>
      <w:r>
        <w:rPr>
          <w:rFonts w:ascii="Arial" w:cs="Arial" w:eastAsia="Arial" w:hAnsi="Arial"/>
          <w:sz w:val="18"/>
          <w:szCs w:val="18"/>
          <w:i w:val="1"/>
          <w:iCs w:val="1"/>
          <w:color w:val="000000"/>
        </w:rPr>
        <w:t xml:space="preserve"> </w:t>
      </w:r>
      <w:r>
        <w:rPr>
          <w:rFonts w:ascii="Arial" w:cs="Arial" w:eastAsia="Arial" w:hAnsi="Arial"/>
          <w:sz w:val="18"/>
          <w:szCs w:val="18"/>
          <w:color w:val="000000"/>
        </w:rPr>
        <w:t>matter. On April 10, 2025, the lead plaintiff filed a consolidated amended complaint, which alleges a putative class period of between February 28, 2024 and November 4, 2024. We and the other Defendants filed a motion to dismiss the consolidated amended complaint on May 15, 2025.</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3, 2025, a settlement was reached, in principle, with the lead plaintiff’s counsel to resolve the Securities Actions for payments totaling $ 13.0 million, subject to judicial approvals. The Company’s Directors and Officers insurance policy includes a $5.0 million self-insured retention that applies to covered losses related to the Securities Actions, including legal defense fees and settlement payments. In September 2026, the Court granted preliminary approval of the settlement. The Company and insurers have funded their respective portions of the settlement fund. The fairness and final approval hearing for the settlement is scheduled for January 2027.</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4, 2025, a putative shareholder derivative lawsuit, capti</w:t>
      </w:r>
      <w:r>
        <w:rPr>
          <w:rFonts w:ascii="Arial" w:cs="Arial" w:eastAsia="Arial" w:hAnsi="Arial"/>
          <w:sz w:val="18"/>
          <w:szCs w:val="18"/>
          <w:color w:val="231F20"/>
        </w:rPr>
        <w:t>oned</w:t>
      </w:r>
      <w:r>
        <w:rPr>
          <w:rFonts w:ascii="Arial" w:cs="Arial" w:eastAsia="Arial" w:hAnsi="Arial"/>
          <w:sz w:val="18"/>
          <w:szCs w:val="18"/>
          <w:color w:val="auto"/>
        </w:rPr>
        <w:t xml:space="preserve"> </w:t>
      </w:r>
      <w:r>
        <w:rPr>
          <w:rFonts w:ascii="Arial" w:cs="Arial" w:eastAsia="Arial" w:hAnsi="Arial"/>
          <w:sz w:val="18"/>
          <w:szCs w:val="18"/>
          <w:i w:val="1"/>
          <w:iCs w:val="1"/>
          <w:color w:val="231F20"/>
        </w:rPr>
        <w:t>Smith v. Khalaf, et al.</w:t>
      </w:r>
      <w:r>
        <w:rPr>
          <w:rFonts w:ascii="Arial" w:cs="Arial" w:eastAsia="Arial" w:hAnsi="Arial"/>
          <w:sz w:val="18"/>
          <w:szCs w:val="18"/>
          <w:color w:val="231F20"/>
        </w:rPr>
        <w:t>, Case No. 25-cv-01174 (N.D. Cal.), was filed</w:t>
      </w:r>
      <w:r>
        <w:rPr>
          <w:rFonts w:ascii="Arial" w:cs="Arial" w:eastAsia="Arial" w:hAnsi="Arial"/>
          <w:sz w:val="18"/>
          <w:szCs w:val="18"/>
          <w:color w:val="auto"/>
        </w:rPr>
        <w:t xml:space="preserve"> </w:t>
      </w:r>
      <w:r>
        <w:rPr>
          <w:rFonts w:ascii="Arial" w:cs="Arial" w:eastAsia="Arial" w:hAnsi="Arial"/>
          <w:sz w:val="18"/>
          <w:szCs w:val="18"/>
          <w:color w:val="231F20"/>
        </w:rPr>
        <w:t xml:space="preserve">in the same Court against certain of the Company’s current and former officers and its Board of Directors (as then constituted), and named the Company as a nominal defendant. This lawsuit asserts claims for breach of fiduciary duties and violations of federal securities laws, among other claims, between the time period of May 7, 2024 and November 4, 2024 under similar theories as the Securities Actions. Two other substantially similar putative shareholder derivative lawsuits, captioned </w:t>
      </w:r>
      <w:r>
        <w:rPr>
          <w:rFonts w:ascii="Arial" w:cs="Arial" w:eastAsia="Arial" w:hAnsi="Arial"/>
          <w:sz w:val="18"/>
          <w:szCs w:val="18"/>
          <w:i w:val="1"/>
          <w:iCs w:val="1"/>
          <w:color w:val="231F20"/>
        </w:rPr>
        <w:t>Ojserkis v. Khalaf, et al.</w:t>
      </w:r>
      <w:r>
        <w:rPr>
          <w:rFonts w:ascii="Arial" w:cs="Arial" w:eastAsia="Arial" w:hAnsi="Arial"/>
          <w:sz w:val="18"/>
          <w:szCs w:val="18"/>
          <w:color w:val="231F20"/>
        </w:rPr>
        <w:t xml:space="preserve">, Case No. 25-cv-01883 (N.D. Cal.) </w:t>
      </w:r>
      <w:r>
        <w:rPr>
          <w:rFonts w:ascii="Arial" w:cs="Arial" w:eastAsia="Arial" w:hAnsi="Arial"/>
          <w:sz w:val="18"/>
          <w:szCs w:val="18"/>
          <w:color w:val="000000"/>
        </w:rPr>
        <w:t>and</w:t>
      </w:r>
      <w:r>
        <w:rPr>
          <w:rFonts w:ascii="Arial" w:cs="Arial" w:eastAsia="Arial" w:hAnsi="Arial"/>
          <w:sz w:val="18"/>
          <w:szCs w:val="18"/>
          <w:color w:val="231F20"/>
        </w:rPr>
        <w:t xml:space="preserve"> </w:t>
      </w:r>
      <w:r>
        <w:rPr>
          <w:rFonts w:ascii="Arial" w:cs="Arial" w:eastAsia="Arial" w:hAnsi="Arial"/>
          <w:sz w:val="18"/>
          <w:szCs w:val="18"/>
          <w:i w:val="1"/>
          <w:iCs w:val="1"/>
          <w:color w:val="000000"/>
        </w:rPr>
        <w:t>Preciado v. Khalaf, et al.</w:t>
      </w:r>
      <w:r>
        <w:rPr>
          <w:rFonts w:ascii="Arial" w:cs="Arial" w:eastAsia="Arial" w:hAnsi="Arial"/>
          <w:sz w:val="18"/>
          <w:szCs w:val="18"/>
          <w:color w:val="000000"/>
        </w:rPr>
        <w:t>, Case No. 3:25-cv-02100 (N.D. Cal.)</w:t>
      </w:r>
      <w:r>
        <w:rPr>
          <w:rFonts w:ascii="Arial" w:cs="Arial" w:eastAsia="Arial" w:hAnsi="Arial"/>
          <w:sz w:val="18"/>
          <w:szCs w:val="18"/>
          <w:i w:val="1"/>
          <w:iCs w:val="1"/>
          <w:color w:val="000000"/>
        </w:rPr>
        <w:t xml:space="preserve"> </w:t>
      </w:r>
      <w:r>
        <w:rPr>
          <w:rFonts w:ascii="Arial" w:cs="Arial" w:eastAsia="Arial" w:hAnsi="Arial"/>
          <w:sz w:val="18"/>
          <w:szCs w:val="18"/>
          <w:color w:val="231F20"/>
        </w:rPr>
        <w:t>were filed on February 21, 2025 and February 27, 2025, respectively.</w:t>
      </w:r>
      <w:r>
        <w:rPr>
          <w:rFonts w:ascii="Arial" w:cs="Arial" w:eastAsia="Arial" w:hAnsi="Arial"/>
          <w:sz w:val="18"/>
          <w:szCs w:val="18"/>
          <w:i w:val="1"/>
          <w:iCs w:val="1"/>
          <w:color w:val="000000"/>
        </w:rPr>
        <w:t xml:space="preserve"> </w:t>
      </w:r>
      <w:r>
        <w:rPr>
          <w:rFonts w:ascii="Arial" w:cs="Arial" w:eastAsia="Arial" w:hAnsi="Arial"/>
          <w:sz w:val="18"/>
          <w:szCs w:val="18"/>
          <w:color w:val="000000"/>
        </w:rPr>
        <w:t>All three</w:t>
      </w:r>
      <w:r>
        <w:rPr>
          <w:rFonts w:ascii="Arial" w:cs="Arial" w:eastAsia="Arial" w:hAnsi="Arial"/>
          <w:sz w:val="18"/>
          <w:szCs w:val="18"/>
          <w:i w:val="1"/>
          <w:iCs w:val="1"/>
          <w:color w:val="000000"/>
        </w:rPr>
        <w:t xml:space="preserve"> </w:t>
      </w:r>
      <w:r>
        <w:rPr>
          <w:rFonts w:ascii="Arial" w:cs="Arial" w:eastAsia="Arial" w:hAnsi="Arial"/>
          <w:sz w:val="18"/>
          <w:szCs w:val="18"/>
          <w:color w:val="000000"/>
        </w:rPr>
        <w:t xml:space="preserve">putative shareholder derivative suits have been consolidated into one lawsuit captioned </w:t>
      </w:r>
      <w:r>
        <w:rPr>
          <w:rFonts w:ascii="Arial" w:cs="Arial" w:eastAsia="Arial" w:hAnsi="Arial"/>
          <w:sz w:val="18"/>
          <w:szCs w:val="18"/>
          <w:i w:val="1"/>
          <w:iCs w:val="1"/>
          <w:color w:val="000000"/>
        </w:rPr>
        <w:t>In re Marqeta, Inc. Derivative Litigation</w:t>
      </w:r>
      <w:r>
        <w:rPr>
          <w:rFonts w:ascii="Arial" w:cs="Arial" w:eastAsia="Arial" w:hAnsi="Arial"/>
          <w:sz w:val="18"/>
          <w:szCs w:val="18"/>
          <w:color w:val="000000"/>
        </w:rPr>
        <w:t xml:space="preserve">, Case No. 4:25-cv-01174-YGR (N.D. Cal.) (the “N.D. Cal. Derivative Actions”). A fourth substantially similar putative shareholder derivative lawsuit, captioned </w:t>
      </w:r>
      <w:r>
        <w:rPr>
          <w:rFonts w:ascii="Arial" w:cs="Arial" w:eastAsia="Arial" w:hAnsi="Arial"/>
          <w:sz w:val="18"/>
          <w:szCs w:val="18"/>
          <w:i w:val="1"/>
          <w:iCs w:val="1"/>
          <w:color w:val="000000"/>
        </w:rPr>
        <w:t>Prasad Murthy v. Simon Khalaf, et al.,</w:t>
      </w:r>
      <w:r>
        <w:rPr>
          <w:rFonts w:ascii="Arial" w:cs="Arial" w:eastAsia="Arial" w:hAnsi="Arial"/>
          <w:sz w:val="18"/>
          <w:szCs w:val="18"/>
          <w:color w:val="000000"/>
        </w:rPr>
        <w:t xml:space="preserve"> Case No. 2026-0670-KSJM (Del. Ch.) was filed on May 27, 2026 in the Delaware Court of Chancery. The defendants, including the Company as nominal defendant, have not been served with the complaint. On October 9, 2026, the parties to the N.D. Cal. Derivative Actions entered into a term sheet providing for the implementation of certain corporate governance reforms as part of the settlement of the derivative actions, which settlement is subject to court approval.</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31F20"/>
        </w:rPr>
        <w:t>Given the inherent uncertainty of litigation, the Company cannot reasonably estimate the likelihood of an unfavorable outcome or the amount or range of any potential loss.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In addition to the other information set forth in this Quarterly Report on Form 10-Q, our business, financial condition, results of operations, cash flows, future prospects, and the trading price of our Class A common stock can be affected by a number of factors, whether currently known or unknown, including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but not limited to those described in Part I, Item 1A of our 2025 Annual Report and in Part II, Item 1A of our Quarterly Report on Form 10-Q filed with the SEC on May 5, 2026 under the heading "Risk Factors," which are incorporated herein by reference, any one or more of which could, directly or indirectly, materially and adversely affect our business, financial condition, results of operations, cash flows, future prospects, and the trading price of our Class A common stock, or cause them to vary materially from past or anticipated future results.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31F20"/>
        </w:rPr>
        <w:t>There have been no material changes from the risk factors previously disclosed under “Part I, Item 1A. Risk Factors” in our 2025 Annual Report and “Part II, Item 1A. Risk Factors” in our Quarterly Report on Form 10-Q, each as discussed in the preceding paragraph.</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 2026, we granted a certain customer a warrant to purchase up to 550,000 shares of Class A common stock at an exercise price of $0.01 per share, pursuant to a renewal of the commercial agreement with the customer (the “2026 Warrant”). No portion of the 2026 Warrant is currently exercisable. As of September 30, 2026, the portion of the 2026 Warrant representing the right to purchase 36,250 shares had been earned, including the portion representing 25,000 shares that was earned upon execution of the agreement. The remaining portion of the 2026 Warrant, representing the right to purchase up to 513,750 shares, could be earned and become exercisable in tranches, subject to the terms of the 2026 Warrant, upon the achievement of specific milestones relating to transaction volume. Portions of the 2026 Warrant that are earned between July 1 of any year and June 30 of the following year will become vested and exercisable at any time on or after August 1 of the following year. For example, portions that are earned between July 1, 2026 and June 30, 2027 vest and become exercisable on August 1, 2027. We did not receive cash consideration for the 2026 Warrant.</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this transaction was exempt from registration under the Securities Act in reliance upon Section 4(a)(2) of the Securities Act as a transaction by an issuer not involving any public offering. The customer represented its intention to acquire the securities for investment only and not with a view to or for sale in connection with any distribution thereof, and appropriate legends were placed upon the warrant. The customer had adequate access, through its relationship with us, to information about Marqeta.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the repurchases of our Class A common stock during the three months ended September 30, 2026 (in thousands, except per share amounts):</w:t>
      </w:r>
    </w:p>
    <w:p>
      <w:pPr>
        <w:sectPr>
          <w:pgSz w:w="11900" w:h="16838" w:orient="portrait"/>
          <w:cols w:equalWidth="0" w:num="1">
            <w:col w:w="11240"/>
          </w:cols>
          <w:pgMar w:left="320" w:top="125" w:right="339" w:bottom="1440" w:gutter="0" w:footer="0" w:header="0"/>
        </w:sect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Period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ind w:right="125"/>
              <w:spacing w:after="0"/>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right"/>
              <w:ind w:right="206"/>
              <w:spacing w:after="0"/>
              <w:rPr>
                <w:sz w:val="20"/>
                <w:szCs w:val="20"/>
                <w:color w:val="auto"/>
              </w:rPr>
            </w:pPr>
            <w:r>
              <w:rPr>
                <w:rFonts w:ascii="Arial" w:cs="Arial" w:eastAsia="Arial" w:hAnsi="Arial"/>
                <w:sz w:val="13"/>
                <w:szCs w:val="13"/>
                <w:b w:val="1"/>
                <w:bCs w:val="1"/>
                <w:color w:val="auto"/>
              </w:rPr>
              <w:t>Average Price</w:t>
            </w:r>
          </w:p>
        </w:tc>
        <w:tc>
          <w:tcPr>
            <w:tcW w:w="0" w:type="dxa"/>
            <w:vAlign w:val="bottom"/>
          </w:tcPr>
          <w:p>
            <w:pPr>
              <w:spacing w:after="0"/>
              <w:rPr>
                <w:sz w:val="1"/>
                <w:szCs w:val="1"/>
                <w:color w:val="auto"/>
              </w:rPr>
            </w:pPr>
          </w:p>
        </w:tc>
      </w:tr>
      <w:tr>
        <w:trPr>
          <w:trHeight w:val="190"/>
        </w:trPr>
        <w:tc>
          <w:tcPr>
            <w:tcW w:w="25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66"/>
              <w:spacing w:after="0"/>
              <w:rPr>
                <w:sz w:val="20"/>
                <w:szCs w:val="20"/>
                <w:color w:val="auto"/>
              </w:rPr>
            </w:pPr>
            <w:r>
              <w:rPr>
                <w:rFonts w:ascii="Arial" w:cs="Arial" w:eastAsia="Arial" w:hAnsi="Arial"/>
                <w:sz w:val="13"/>
                <w:szCs w:val="13"/>
                <w:b w:val="1"/>
                <w:bCs w:val="1"/>
                <w:color w:val="auto"/>
              </w:rPr>
              <w:t>Paid per Share</w:t>
            </w:r>
          </w:p>
        </w:tc>
        <w:tc>
          <w:tcPr>
            <w:tcW w:w="0" w:type="dxa"/>
            <w:vAlign w:val="bottom"/>
          </w:tcPr>
          <w:p>
            <w:pPr>
              <w:spacing w:after="0"/>
              <w:rPr>
                <w:sz w:val="1"/>
                <w:szCs w:val="1"/>
                <w:color w:val="auto"/>
              </w:rPr>
            </w:pPr>
          </w:p>
        </w:tc>
      </w:tr>
      <w:tr>
        <w:trPr>
          <w:trHeight w:val="225"/>
        </w:trPr>
        <w:tc>
          <w:tcPr>
            <w:tcW w:w="3440" w:type="dxa"/>
            <w:vAlign w:val="bottom"/>
            <w:gridSpan w:val="3"/>
          </w:tcPr>
          <w:p>
            <w:pPr>
              <w:jc w:val="right"/>
              <w:ind w:right="120"/>
              <w:spacing w:after="0"/>
              <w:rPr>
                <w:sz w:val="20"/>
                <w:szCs w:val="20"/>
                <w:color w:val="auto"/>
              </w:rPr>
            </w:pPr>
            <w:r>
              <w:rPr>
                <w:rFonts w:ascii="Arial" w:cs="Arial" w:eastAsia="Arial" w:hAnsi="Arial"/>
                <w:sz w:val="16"/>
                <w:szCs w:val="16"/>
                <w:color w:val="auto"/>
              </w:rPr>
              <w:t>July 1 - 31, 2026</w:t>
            </w:r>
          </w:p>
        </w:tc>
        <w:tc>
          <w:tcPr>
            <w:tcW w:w="1680" w:type="dxa"/>
            <w:vAlign w:val="bottom"/>
          </w:tcPr>
          <w:p>
            <w:pPr>
              <w:jc w:val="right"/>
              <w:spacing w:after="0"/>
              <w:rPr>
                <w:sz w:val="20"/>
                <w:szCs w:val="20"/>
                <w:color w:val="auto"/>
              </w:rPr>
            </w:pPr>
            <w:r>
              <w:rPr>
                <w:rFonts w:ascii="Arial" w:cs="Arial" w:eastAsia="Arial" w:hAnsi="Arial"/>
                <w:sz w:val="16"/>
                <w:szCs w:val="16"/>
                <w:color w:val="auto"/>
              </w:rPr>
              <w:t>44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43"/>
        </w:trPr>
        <w:tc>
          <w:tcPr>
            <w:tcW w:w="2580" w:type="dxa"/>
            <w:vAlign w:val="bottom"/>
          </w:tcPr>
          <w:p>
            <w:pPr>
              <w:jc w:val="right"/>
              <w:spacing w:after="0"/>
              <w:rPr>
                <w:sz w:val="20"/>
                <w:szCs w:val="20"/>
                <w:color w:val="auto"/>
              </w:rPr>
            </w:pPr>
            <w:r>
              <w:rPr>
                <w:rFonts w:ascii="Arial" w:cs="Arial" w:eastAsia="Arial" w:hAnsi="Arial"/>
                <w:sz w:val="16"/>
                <w:szCs w:val="16"/>
                <w:color w:val="auto"/>
              </w:rPr>
              <w:t>August 1</w:t>
            </w:r>
          </w:p>
        </w:tc>
        <w:tc>
          <w:tcPr>
            <w:tcW w:w="760" w:type="dxa"/>
            <w:vAlign w:val="bottom"/>
          </w:tcPr>
          <w:p>
            <w:pPr>
              <w:jc w:val="right"/>
              <w:spacing w:after="0"/>
              <w:rPr>
                <w:sz w:val="20"/>
                <w:szCs w:val="20"/>
                <w:color w:val="auto"/>
              </w:rPr>
            </w:pPr>
            <w:r>
              <w:rPr>
                <w:rFonts w:ascii="Arial" w:cs="Arial" w:eastAsia="Arial" w:hAnsi="Arial"/>
                <w:sz w:val="16"/>
                <w:szCs w:val="16"/>
                <w:color w:val="auto"/>
                <w:w w:val="99"/>
              </w:rPr>
              <w:t>- 31, 2026</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2580" w:type="dxa"/>
            <w:vAlign w:val="bottom"/>
          </w:tcPr>
          <w:p>
            <w:pPr>
              <w:jc w:val="right"/>
              <w:spacing w:after="0"/>
              <w:rPr>
                <w:sz w:val="20"/>
                <w:szCs w:val="20"/>
                <w:color w:val="auto"/>
              </w:rPr>
            </w:pPr>
            <w:r>
              <w:rPr>
                <w:rFonts w:ascii="Arial" w:cs="Arial" w:eastAsia="Arial" w:hAnsi="Arial"/>
                <w:sz w:val="16"/>
                <w:szCs w:val="16"/>
                <w:color w:val="auto"/>
              </w:rPr>
              <w:t>September 1</w:t>
            </w:r>
          </w:p>
        </w:tc>
        <w:tc>
          <w:tcPr>
            <w:tcW w:w="760" w:type="dxa"/>
            <w:vAlign w:val="bottom"/>
          </w:tcPr>
          <w:p>
            <w:pPr>
              <w:jc w:val="right"/>
              <w:spacing w:after="0"/>
              <w:rPr>
                <w:sz w:val="20"/>
                <w:szCs w:val="20"/>
                <w:color w:val="auto"/>
              </w:rPr>
            </w:pPr>
            <w:r>
              <w:rPr>
                <w:rFonts w:ascii="Arial" w:cs="Arial" w:eastAsia="Arial" w:hAnsi="Arial"/>
                <w:sz w:val="16"/>
                <w:szCs w:val="16"/>
                <w:color w:val="auto"/>
                <w:w w:val="99"/>
              </w:rPr>
              <w:t>- 30, 2026</w:t>
            </w: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236"/>
        </w:trPr>
        <w:tc>
          <w:tcPr>
            <w:tcW w:w="2580" w:type="dxa"/>
            <w:vAlign w:val="bottom"/>
          </w:tcPr>
          <w:p>
            <w:pPr>
              <w:jc w:val="right"/>
              <w:ind w:right="1799"/>
              <w:spacing w:after="0"/>
              <w:rPr>
                <w:sz w:val="20"/>
                <w:szCs w:val="20"/>
                <w:color w:val="auto"/>
              </w:rPr>
            </w:pPr>
            <w:r>
              <w:rPr>
                <w:rFonts w:ascii="Arial" w:cs="Arial" w:eastAsia="Arial" w:hAnsi="Arial"/>
                <w:sz w:val="16"/>
                <w:szCs w:val="16"/>
                <w:color w:val="auto"/>
              </w:rPr>
              <w:t>Total</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711517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1517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40" w:type="dxa"/>
            <w:vAlign w:val="bottom"/>
            <w:vMerge w:val="restart"/>
          </w:tcPr>
          <w:p>
            <w:pPr>
              <w:jc w:val="right"/>
              <w:ind w:right="92"/>
              <w:spacing w:after="0"/>
              <w:rPr>
                <w:sz w:val="20"/>
                <w:szCs w:val="20"/>
                <w:color w:val="auto"/>
              </w:rPr>
            </w:pPr>
            <w:r>
              <w:rPr>
                <w:rFonts w:ascii="Arial" w:cs="Arial" w:eastAsia="Arial" w:hAnsi="Arial"/>
                <w:sz w:val="13"/>
                <w:szCs w:val="13"/>
                <w:b w:val="1"/>
                <w:bCs w:val="1"/>
                <w:color w:val="auto"/>
              </w:rPr>
              <w:t>Total Number of 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Arial" w:cs="Arial" w:eastAsia="Arial" w:hAnsi="Arial"/>
                <w:sz w:val="13"/>
                <w:szCs w:val="13"/>
                <w:b w:val="1"/>
                <w:bCs w:val="1"/>
                <w:color w:val="auto"/>
              </w:rPr>
              <w:t>Approximate Dollar Value of</w:t>
            </w:r>
          </w:p>
        </w:tc>
        <w:tc>
          <w:tcPr>
            <w:tcW w:w="0" w:type="dxa"/>
            <w:vAlign w:val="bottom"/>
          </w:tcPr>
          <w:p>
            <w:pPr>
              <w:spacing w:after="0"/>
              <w:rPr>
                <w:sz w:val="1"/>
                <w:szCs w:val="1"/>
                <w:color w:val="auto"/>
              </w:rPr>
            </w:pPr>
          </w:p>
        </w:tc>
      </w:tr>
      <w:tr>
        <w:trPr>
          <w:trHeight w:val="54"/>
        </w:trPr>
        <w:tc>
          <w:tcPr>
            <w:tcW w:w="2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vMerge w:val="restart"/>
          </w:tcPr>
          <w:p>
            <w:pPr>
              <w:jc w:val="center"/>
              <w:ind w:right="49"/>
              <w:spacing w:after="0"/>
              <w:rPr>
                <w:sz w:val="20"/>
                <w:szCs w:val="20"/>
                <w:color w:val="auto"/>
              </w:rPr>
            </w:pPr>
            <w:r>
              <w:rPr>
                <w:rFonts w:ascii="Arial" w:cs="Arial" w:eastAsia="Arial" w:hAnsi="Arial"/>
                <w:sz w:val="13"/>
                <w:szCs w:val="13"/>
                <w:b w:val="1"/>
                <w:bCs w:val="1"/>
                <w:color w:val="auto"/>
                <w:w w:val="97"/>
              </w:rPr>
              <w:t>Shares that May Yet Be</w:t>
            </w:r>
          </w:p>
        </w:tc>
        <w:tc>
          <w:tcPr>
            <w:tcW w:w="0" w:type="dxa"/>
            <w:vAlign w:val="bottom"/>
          </w:tcPr>
          <w:p>
            <w:pPr>
              <w:spacing w:after="0"/>
              <w:rPr>
                <w:sz w:val="1"/>
                <w:szCs w:val="1"/>
                <w:color w:val="auto"/>
              </w:rPr>
            </w:pPr>
          </w:p>
        </w:tc>
      </w:tr>
      <w:tr>
        <w:trPr>
          <w:trHeight w:val="94"/>
        </w:trPr>
        <w:tc>
          <w:tcPr>
            <w:tcW w:w="2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Purchased as Part of Publicly</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vMerge w:val="restart"/>
          </w:tcPr>
          <w:p>
            <w:pPr>
              <w:jc w:val="center"/>
              <w:ind w:right="49"/>
              <w:spacing w:after="0"/>
              <w:rPr>
                <w:sz w:val="20"/>
                <w:szCs w:val="20"/>
                <w:color w:val="auto"/>
              </w:rPr>
            </w:pPr>
            <w:r>
              <w:rPr>
                <w:rFonts w:ascii="Arial" w:cs="Arial" w:eastAsia="Arial" w:hAnsi="Arial"/>
                <w:sz w:val="13"/>
                <w:szCs w:val="13"/>
                <w:b w:val="1"/>
                <w:bCs w:val="1"/>
                <w:color w:val="auto"/>
                <w:w w:val="96"/>
              </w:rPr>
              <w:t>Purchased Under the Plans or</w:t>
            </w:r>
          </w:p>
        </w:tc>
        <w:tc>
          <w:tcPr>
            <w:tcW w:w="0" w:type="dxa"/>
            <w:vAlign w:val="bottom"/>
          </w:tcPr>
          <w:p>
            <w:pPr>
              <w:spacing w:after="0"/>
              <w:rPr>
                <w:sz w:val="1"/>
                <w:szCs w:val="1"/>
                <w:color w:val="auto"/>
              </w:rPr>
            </w:pPr>
          </w:p>
        </w:tc>
      </w:tr>
      <w:tr>
        <w:trPr>
          <w:trHeight w:val="126"/>
        </w:trPr>
        <w:tc>
          <w:tcPr>
            <w:tcW w:w="204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 xml:space="preserve">Announced Plans or Programs </w:t>
            </w:r>
            <w:r>
              <w:rPr>
                <w:rFonts w:ascii="Arial" w:cs="Arial" w:eastAsia="Arial" w:hAnsi="Arial"/>
                <w:sz w:val="14"/>
                <w:szCs w:val="14"/>
                <w:b w:val="1"/>
                <w:bCs w:val="1"/>
                <w:color w:val="auto"/>
                <w:vertAlign w:val="superscript"/>
              </w:rPr>
              <w:t>(1)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center"/>
              <w:ind w:right="49"/>
              <w:spacing w:after="0" w:line="148" w:lineRule="exact"/>
              <w:rPr>
                <w:sz w:val="20"/>
                <w:szCs w:val="20"/>
                <w:color w:val="auto"/>
              </w:rPr>
            </w:pPr>
            <w:r>
              <w:rPr>
                <w:rFonts w:ascii="Arial" w:cs="Arial" w:eastAsia="Arial" w:hAnsi="Arial"/>
                <w:sz w:val="13"/>
                <w:szCs w:val="13"/>
                <w:b w:val="1"/>
                <w:bCs w:val="1"/>
                <w:color w:val="auto"/>
                <w:w w:val="89"/>
              </w:rPr>
              <w:t xml:space="preserve">Programs </w:t>
            </w:r>
            <w:r>
              <w:rPr>
                <w:rFonts w:ascii="Arial" w:cs="Arial" w:eastAsia="Arial" w:hAnsi="Arial"/>
                <w:sz w:val="16"/>
                <w:szCs w:val="16"/>
                <w:b w:val="1"/>
                <w:bCs w:val="1"/>
                <w:color w:val="auto"/>
                <w:w w:val="89"/>
                <w:vertAlign w:val="superscript"/>
              </w:rPr>
              <w:t>(1) (2)</w:t>
            </w:r>
          </w:p>
        </w:tc>
        <w:tc>
          <w:tcPr>
            <w:tcW w:w="0" w:type="dxa"/>
            <w:vAlign w:val="bottom"/>
          </w:tcPr>
          <w:p>
            <w:pPr>
              <w:spacing w:after="0"/>
              <w:rPr>
                <w:sz w:val="1"/>
                <w:szCs w:val="1"/>
                <w:color w:val="auto"/>
              </w:rPr>
            </w:pPr>
          </w:p>
        </w:tc>
      </w:tr>
      <w:tr>
        <w:trPr>
          <w:trHeight w:val="221"/>
        </w:trPr>
        <w:tc>
          <w:tcPr>
            <w:tcW w:w="2040" w:type="dxa"/>
            <w:vAlign w:val="bottom"/>
          </w:tcPr>
          <w:p>
            <w:pPr>
              <w:jc w:val="right"/>
              <w:ind w:right="12"/>
              <w:spacing w:after="0"/>
              <w:rPr>
                <w:sz w:val="20"/>
                <w:szCs w:val="20"/>
                <w:color w:val="auto"/>
              </w:rPr>
            </w:pPr>
            <w:r>
              <w:rPr>
                <w:rFonts w:ascii="Arial" w:cs="Arial" w:eastAsia="Arial" w:hAnsi="Arial"/>
                <w:sz w:val="16"/>
                <w:szCs w:val="16"/>
                <w:color w:val="auto"/>
              </w:rPr>
              <w:t>44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43"/>
        </w:trPr>
        <w:tc>
          <w:tcPr>
            <w:tcW w:w="2040" w:type="dxa"/>
            <w:vAlign w:val="bottom"/>
          </w:tcPr>
          <w:p>
            <w:pPr>
              <w:jc w:val="right"/>
              <w:ind w:right="12"/>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
              <w:spacing w:after="0"/>
              <w:rPr>
                <w:sz w:val="20"/>
                <w:szCs w:val="20"/>
                <w:color w:val="auto"/>
              </w:rPr>
            </w:pPr>
            <w:r>
              <w:rPr>
                <w:rFonts w:ascii="Arial" w:cs="Arial" w:eastAsia="Arial" w:hAnsi="Arial"/>
                <w:sz w:val="16"/>
                <w:szCs w:val="16"/>
                <w:color w:val="auto"/>
              </w:rPr>
              <w:t>151,314</w:t>
            </w:r>
          </w:p>
        </w:tc>
        <w:tc>
          <w:tcPr>
            <w:tcW w:w="0" w:type="dxa"/>
            <w:vAlign w:val="bottom"/>
          </w:tcPr>
          <w:p>
            <w:pPr>
              <w:spacing w:after="0"/>
              <w:rPr>
                <w:sz w:val="1"/>
                <w:szCs w:val="1"/>
                <w:color w:val="auto"/>
              </w:rPr>
            </w:pPr>
          </w:p>
        </w:tc>
      </w:tr>
      <w:tr>
        <w:trPr>
          <w:trHeight w:val="252"/>
        </w:trPr>
        <w:tc>
          <w:tcPr>
            <w:tcW w:w="204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color w:val="auto"/>
              </w:rPr>
              <w:t>680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
              <w:spacing w:after="0"/>
              <w:rPr>
                <w:sz w:val="20"/>
                <w:szCs w:val="20"/>
                <w:color w:val="auto"/>
              </w:rPr>
            </w:pPr>
            <w:r>
              <w:rPr>
                <w:rFonts w:ascii="Arial" w:cs="Arial" w:eastAsia="Arial" w:hAnsi="Arial"/>
                <w:sz w:val="16"/>
                <w:szCs w:val="16"/>
                <w:color w:val="auto"/>
              </w:rPr>
              <w:t>140,297</w:t>
            </w:r>
          </w:p>
        </w:tc>
        <w:tc>
          <w:tcPr>
            <w:tcW w:w="0" w:type="dxa"/>
            <w:vAlign w:val="bottom"/>
          </w:tcPr>
          <w:p>
            <w:pPr>
              <w:spacing w:after="0"/>
              <w:rPr>
                <w:sz w:val="1"/>
                <w:szCs w:val="1"/>
                <w:color w:val="auto"/>
              </w:rPr>
            </w:pPr>
          </w:p>
        </w:tc>
      </w:tr>
      <w:tr>
        <w:trPr>
          <w:trHeight w:val="236"/>
        </w:trPr>
        <w:tc>
          <w:tcPr>
            <w:tcW w:w="204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color w:val="auto"/>
              </w:rPr>
              <w:t>724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2">
            <w:col w:w="6920" w:space="100"/>
            <w:col w:w="4220"/>
          </w:cols>
          <w:pgMar w:left="320" w:top="125" w:right="339" w:bottom="1440" w:gutter="0" w:footer="0" w:header="0"/>
          <w:type w:val="continuous"/>
        </w:sectPr>
      </w:pPr>
    </w:p>
    <w:p>
      <w:pPr>
        <w:jc w:val="both"/>
        <w:ind w:firstLine="8"/>
        <w:spacing w:after="0" w:line="244" w:lineRule="auto"/>
        <w:tabs>
          <w:tab w:leader="none" w:pos="211"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On December 4, 2025, our Board of Directors authorized a share repurchase program of up to $100 million of the Company’s Class A common stock (the “December 2025 Share Repurchase Program”). Under the December 2025 Share Repurchase Program, we were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were based on general business and market conditions, and other factors, including legal requirements. Repurchases under the December 2025 Share Repurchase Program were completed as of September 30, 2026.</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revised our previously reported remaining authorization under the December 2025 Share Repurchase Program as of the date of filing of our Quarterly Report on Form 10-Q filed with the SEC on August 4, 2026, as well as the Current Report on Form 8-K filed with the SEC on August 4, 2026, which was understated by $1.3 million due to clerical errors identified by us and a vendor. After giving effect to the correction, the available amount remaining under authorization as of June 30, 2026 was $2.1 million.</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8"/>
        <w:spacing w:after="0" w:line="246" w:lineRule="auto"/>
        <w:tabs>
          <w:tab w:leader="none" w:pos="201"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On August 3, 2026, our Board of Directors unanimously approved an additional share repurchase program authorizing us to purchase up to an aggregate of $150 million of our Class A common stock. Under the August 2026 Share Repurchase Program, we may repurchase shares from time to time through open market purchases, in privately negotiated transactions or by other means, including through the use of trading plans intended to qualify under Rule 10b5-1 under the Exchange Act, in accordance with applicable securities laws and other restrictions, including Rule 10b-18 under the Exchange Act. The timing and total amount of any stock repurchases will be determined at management's discretion and depend upon business, economic and market conditions, corporate and regulatory requirements, prevailing stock prices and other considerations. The execution of the repurchase program will be consistent with our capital allocation strategy, which prioritizes investments to grow the business. The share repurchase program has no termination date, and does not obligate us to acquire a specific number of shares of Class A common stock and may be canceled or suspended at any time without notice. As of September 30, 2026, $140.3 million remained available for future share repurchases under the August 2026 Share Repurchase Program.</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52" w:lineRule="exact"/>
        <w:rPr>
          <w:sz w:val="20"/>
          <w:szCs w:val="20"/>
          <w:color w:val="auto"/>
        </w:rPr>
      </w:pPr>
    </w:p>
    <w:p>
      <w:pPr>
        <w:jc w:val="both"/>
        <w:ind w:firstLine="8"/>
        <w:spacing w:after="0" w:line="255" w:lineRule="auto"/>
        <w:tabs>
          <w:tab w:leader="none" w:pos="2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our last fiscal quarter, on September 14, 2026, The Gardner 2008 Living Trust (the “Gardner Trust”) along with two trusts established for the benefit of the children of Jason Gardner (the “Children’s Trusts”), adopted an umbrella Rule 10b5-1 trading arrangement providing for the sale from time to time of an aggregate of up to 1,661,000 shares of our Class A Common Stock. The shares held by the Gardner Trust may be deemed to be beneficially owned by Jason Gardner, a member of our board of directors. Jason Gardner disclaims beneficial ownership of the shares held by the Children’s Trusts. The trading arrangement is intended to satisfy the affirmative defense in Rule 10b5-1(c). The duration of the trading arrangement is until November 30, 2027, or earlier if all transactions under the trading arrangement are completed, but in no case earlier than one year, or later than two years, from September 14, 2026. This trading arrangement will not commence until after the termination of the previous trading arrangement by its terms on November 27, 2026.</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No other officers, as defined in Rule 16a-1(f), or directors adopted or terminated a Rule 10b5-1 trading arrangement or a “non-Rule 10b5-1 trading arrangement,” as defined in Item 408 of Regulation S-K, during our last fiscal quarter.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herewith or incorporated by reference herein:</w:t>
      </w:r>
    </w:p>
    <w:p>
      <w:pPr>
        <w:spacing w:after="0" w:line="163" w:lineRule="exact"/>
        <w:rPr>
          <w:sz w:val="20"/>
          <w:szCs w:val="20"/>
          <w:color w:val="auto"/>
        </w:rPr>
      </w:pPr>
    </w:p>
    <w:p>
      <w:pPr>
        <w:ind w:left="8380"/>
        <w:spacing w:after="0"/>
        <w:rPr>
          <w:sz w:val="20"/>
          <w:szCs w:val="20"/>
          <w:color w:val="auto"/>
        </w:rPr>
      </w:pPr>
      <w:r>
        <w:rPr>
          <w:rFonts w:ascii="Arial" w:cs="Arial" w:eastAsia="Arial" w:hAnsi="Arial"/>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19050</wp:posOffset>
            </wp:positionV>
            <wp:extent cx="26142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3" w:lineRule="exact"/>
        <w:rPr>
          <w:sz w:val="20"/>
          <w:szCs w:val="20"/>
          <w:color w:val="auto"/>
        </w:rPr>
      </w:pPr>
    </w:p>
    <w:p>
      <w:pPr>
        <w:ind w:left="140"/>
        <w:spacing w:after="0"/>
        <w:tabs>
          <w:tab w:leader="none" w:pos="3660" w:val="left"/>
          <w:tab w:leader="none" w:pos="7200" w:val="left"/>
          <w:tab w:leader="none" w:pos="7920" w:val="left"/>
          <w:tab w:leader="none" w:pos="8840" w:val="left"/>
          <w:tab w:leader="none" w:pos="1014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3"/>
          <w:szCs w:val="13"/>
          <w:b w:val="1"/>
          <w:bCs w:val="1"/>
          <w:color w:val="auto"/>
        </w:rPr>
        <w:t>Description</w:t>
      </w:r>
      <w:r>
        <w:rPr>
          <w:sz w:val="20"/>
          <w:szCs w:val="20"/>
          <w:color w:val="auto"/>
        </w:rPr>
        <w:tab/>
      </w:r>
      <w:r>
        <w:rPr>
          <w:rFonts w:ascii="Arial" w:cs="Arial" w:eastAsia="Arial" w:hAnsi="Arial"/>
          <w:sz w:val="13"/>
          <w:szCs w:val="13"/>
          <w:b w:val="1"/>
          <w:bCs w:val="1"/>
          <w:color w:val="auto"/>
        </w:rPr>
        <w:t>Form</w:t>
      </w:r>
      <w:r>
        <w:rPr>
          <w:sz w:val="20"/>
          <w:szCs w:val="20"/>
          <w:color w:val="auto"/>
        </w:rPr>
        <w:tab/>
      </w:r>
      <w:r>
        <w:rPr>
          <w:rFonts w:ascii="Arial" w:cs="Arial" w:eastAsia="Arial" w:hAnsi="Arial"/>
          <w:sz w:val="13"/>
          <w:szCs w:val="13"/>
          <w:b w:val="1"/>
          <w:bCs w:val="1"/>
          <w:color w:val="auto"/>
        </w:rPr>
        <w:t>File No.</w:t>
      </w:r>
      <w:r>
        <w:rPr>
          <w:sz w:val="20"/>
          <w:szCs w:val="20"/>
          <w:color w:val="auto"/>
        </w:rPr>
        <w:tab/>
      </w: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19050</wp:posOffset>
            </wp:positionV>
            <wp:extent cx="26142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ectPr>
          <w:pgSz w:w="11900" w:h="16838" w:orient="portrait"/>
          <w:cols w:equalWidth="0" w:num="1">
            <w:col w:w="10820"/>
          </w:cols>
          <w:pgMar w:left="320" w:top="125" w:right="759" w:bottom="1440" w:gutter="0" w:footer="0" w:header="0"/>
        </w:sectPr>
      </w:pPr>
    </w:p>
    <w:p>
      <w:pPr>
        <w:spacing w:after="0" w:line="18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4.1*†</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31.1*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140"/>
        <w:spacing w:after="0" w:line="261" w:lineRule="auto"/>
        <w:rPr>
          <w:sz w:val="20"/>
          <w:szCs w:val="20"/>
          <w:color w:val="auto"/>
        </w:rPr>
      </w:pPr>
      <w:r>
        <w:rPr>
          <w:rFonts w:ascii="Arial" w:cs="Arial" w:eastAsia="Arial" w:hAnsi="Arial"/>
          <w:sz w:val="14"/>
          <w:szCs w:val="14"/>
          <w:u w:val="single" w:color="auto"/>
          <w:color w:val="0000FF"/>
        </w:rPr>
        <w:t>Warrant to Purchase Common Stock issued to Uber Technologies, Inc. by the Registrant, dated September 2, 2026.</w:t>
      </w:r>
    </w:p>
    <w:p>
      <w:pPr>
        <w:spacing w:after="0" w:line="1" w:lineRule="exact"/>
        <w:rPr>
          <w:sz w:val="20"/>
          <w:szCs w:val="20"/>
          <w:color w:val="auto"/>
        </w:rPr>
      </w:pPr>
    </w:p>
    <w:p>
      <w:pPr>
        <w:ind w:right="4020"/>
        <w:spacing w:after="0" w:line="243" w:lineRule="auto"/>
        <w:rPr>
          <w:sz w:val="20"/>
          <w:szCs w:val="20"/>
          <w:color w:val="auto"/>
        </w:rPr>
      </w:pPr>
      <w:r>
        <w:rPr>
          <w:rFonts w:ascii="Arial" w:cs="Arial" w:eastAsia="Arial" w:hAnsi="Arial"/>
          <w:sz w:val="14"/>
          <w:szCs w:val="14"/>
          <w:u w:val="single" w:color="auto"/>
          <w:color w:val="0000FF"/>
        </w:rPr>
        <w:t>Certification of the Principal Executive Officer, pursuant to Rules 13a-14(a) and 15d-14(a) under the Exchange Act, as adopted pursuant to Section 302 of the Sarbanes-Oxley Act of 2002.</w:t>
      </w:r>
    </w:p>
    <w:p>
      <w:pPr>
        <w:spacing w:after="0" w:line="7" w:lineRule="exact"/>
        <w:rPr>
          <w:sz w:val="20"/>
          <w:szCs w:val="20"/>
          <w:color w:val="auto"/>
        </w:rPr>
      </w:pPr>
    </w:p>
    <w:p>
      <w:pPr>
        <w:sectPr>
          <w:pgSz w:w="11900" w:h="16838" w:orient="portrait"/>
          <w:cols w:equalWidth="0" w:num="2">
            <w:col w:w="640" w:space="380"/>
            <w:col w:w="9800"/>
          </w:cols>
          <w:pgMar w:left="320" w:top="125" w:right="759" w:bottom="1440" w:gutter="0" w:footer="0" w:header="0"/>
          <w:type w:val="continuous"/>
        </w:sectPr>
      </w:pPr>
    </w:p>
    <w:tbl>
      <w:tblPr>
        <w:tblLayout w:type="fixed"/>
        <w:tblInd w:w="280" w:type="dxa"/>
        <w:tblCellMar>
          <w:top w:w="0" w:type="dxa"/>
          <w:left w:w="0" w:type="dxa"/>
          <w:bottom w:w="0" w:type="dxa"/>
          <w:right w:w="0" w:type="dxa"/>
        </w:tblCellMar>
      </w:tblPr>
      <w:tr>
        <w:trPr>
          <w:trHeight w:val="161"/>
        </w:trPr>
        <w:tc>
          <w:tcPr>
            <w:tcW w:w="740" w:type="dxa"/>
            <w:vAlign w:val="bottom"/>
          </w:tcPr>
          <w:p>
            <w:pPr>
              <w:ind w:left="20"/>
              <w:spacing w:after="0"/>
              <w:rPr>
                <w:sz w:val="20"/>
                <w:szCs w:val="20"/>
                <w:color w:val="auto"/>
              </w:rPr>
            </w:pPr>
            <w:r>
              <w:rPr>
                <w:rFonts w:ascii="Arial" w:cs="Arial" w:eastAsia="Arial" w:hAnsi="Arial"/>
                <w:sz w:val="14"/>
                <w:szCs w:val="14"/>
                <w:color w:val="auto"/>
              </w:rPr>
              <w:t>31.2*</w:t>
            </w:r>
          </w:p>
        </w:tc>
        <w:tc>
          <w:tcPr>
            <w:tcW w:w="5980" w:type="dxa"/>
            <w:vAlign w:val="bottom"/>
            <w:gridSpan w:val="8"/>
          </w:tcPr>
          <w:p>
            <w:pPr>
              <w:spacing w:after="0"/>
              <w:rPr>
                <w:sz w:val="20"/>
                <w:szCs w:val="20"/>
                <w:color w:val="auto"/>
              </w:rPr>
            </w:pPr>
            <w:r>
              <w:rPr>
                <w:rFonts w:ascii="Arial" w:cs="Arial" w:eastAsia="Arial" w:hAnsi="Arial"/>
                <w:sz w:val="14"/>
                <w:szCs w:val="14"/>
                <w:color w:val="0000FF"/>
              </w:rPr>
              <w:t>Certification of the Principal Financial Officer, pursuant to Rules 13a-14(a) and 15d-14(a)</w:t>
            </w:r>
          </w:p>
        </w:tc>
      </w:tr>
      <w:tr>
        <w:trPr>
          <w:trHeight w:val="128"/>
        </w:trPr>
        <w:tc>
          <w:tcPr>
            <w:tcW w:w="740" w:type="dxa"/>
            <w:vAlign w:val="bottom"/>
          </w:tcPr>
          <w:p>
            <w:pPr>
              <w:spacing w:after="0"/>
              <w:rPr>
                <w:sz w:val="11"/>
                <w:szCs w:val="11"/>
                <w:color w:val="auto"/>
              </w:rPr>
            </w:pPr>
          </w:p>
        </w:tc>
        <w:tc>
          <w:tcPr>
            <w:tcW w:w="5640" w:type="dxa"/>
            <w:vAlign w:val="bottom"/>
            <w:tcBorders>
              <w:top w:val="single" w:sz="8" w:color="0000FF"/>
            </w:tcBorders>
            <w:gridSpan w:val="5"/>
          </w:tcPr>
          <w:p>
            <w:pPr>
              <w:spacing w:after="0" w:line="129" w:lineRule="exact"/>
              <w:rPr>
                <w:sz w:val="20"/>
                <w:szCs w:val="20"/>
                <w:color w:val="auto"/>
              </w:rPr>
            </w:pPr>
            <w:r>
              <w:rPr>
                <w:rFonts w:ascii="Arial" w:cs="Arial" w:eastAsia="Arial" w:hAnsi="Arial"/>
                <w:sz w:val="14"/>
                <w:szCs w:val="14"/>
                <w:color w:val="0000FF"/>
              </w:rPr>
              <w:t>under the Exchange Act, as adopted pursuant to Section 302 of the Sarbanes-Oxley Act</w:t>
            </w:r>
          </w:p>
        </w:tc>
        <w:tc>
          <w:tcPr>
            <w:tcW w:w="340" w:type="dxa"/>
            <w:vAlign w:val="bottom"/>
            <w:gridSpan w:val="3"/>
          </w:tcPr>
          <w:p>
            <w:pPr>
              <w:ind w:left="20"/>
              <w:spacing w:after="0" w:line="129" w:lineRule="exact"/>
              <w:rPr>
                <w:sz w:val="20"/>
                <w:szCs w:val="20"/>
                <w:color w:val="auto"/>
              </w:rPr>
            </w:pPr>
            <w:r>
              <w:rPr>
                <w:rFonts w:ascii="Arial" w:cs="Arial" w:eastAsia="Arial" w:hAnsi="Arial"/>
                <w:sz w:val="14"/>
                <w:szCs w:val="14"/>
                <w:color w:val="0000FF"/>
              </w:rPr>
              <w:t>of</w:t>
            </w:r>
          </w:p>
        </w:tc>
      </w:tr>
      <w:tr>
        <w:trPr>
          <w:trHeight w:val="129"/>
        </w:trPr>
        <w:tc>
          <w:tcPr>
            <w:tcW w:w="740" w:type="dxa"/>
            <w:vAlign w:val="bottom"/>
          </w:tcPr>
          <w:p>
            <w:pPr>
              <w:spacing w:after="0"/>
              <w:rPr>
                <w:sz w:val="11"/>
                <w:szCs w:val="11"/>
                <w:color w:val="auto"/>
              </w:rPr>
            </w:pPr>
          </w:p>
        </w:tc>
        <w:tc>
          <w:tcPr>
            <w:tcW w:w="36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4"/>
                <w:szCs w:val="14"/>
                <w:color w:val="0000FF"/>
                <w:w w:val="96"/>
              </w:rPr>
              <w:t>2002.</w:t>
            </w:r>
          </w:p>
        </w:tc>
        <w:tc>
          <w:tcPr>
            <w:tcW w:w="344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3"/>
        </w:trPr>
        <w:tc>
          <w:tcPr>
            <w:tcW w:w="740" w:type="dxa"/>
            <w:vAlign w:val="bottom"/>
          </w:tcPr>
          <w:p>
            <w:pPr>
              <w:spacing w:after="0"/>
              <w:rPr>
                <w:sz w:val="20"/>
                <w:szCs w:val="20"/>
                <w:color w:val="auto"/>
              </w:rPr>
            </w:pPr>
            <w:r>
              <w:rPr>
                <w:rFonts w:ascii="Arial" w:cs="Arial" w:eastAsia="Arial" w:hAnsi="Arial"/>
                <w:sz w:val="14"/>
                <w:szCs w:val="14"/>
                <w:color w:val="auto"/>
              </w:rPr>
              <w:t>32.1**</w:t>
            </w:r>
          </w:p>
        </w:tc>
        <w:tc>
          <w:tcPr>
            <w:tcW w:w="5980" w:type="dxa"/>
            <w:vAlign w:val="bottom"/>
            <w:gridSpan w:val="8"/>
          </w:tcPr>
          <w:p>
            <w:pPr>
              <w:spacing w:after="0"/>
              <w:rPr>
                <w:sz w:val="20"/>
                <w:szCs w:val="20"/>
                <w:color w:val="auto"/>
              </w:rPr>
            </w:pPr>
            <w:r>
              <w:rPr>
                <w:rFonts w:ascii="Arial" w:cs="Arial" w:eastAsia="Arial" w:hAnsi="Arial"/>
                <w:sz w:val="14"/>
                <w:szCs w:val="14"/>
                <w:color w:val="0000FF"/>
              </w:rPr>
              <w:t>Certification of the Principal Executive Officer, pursuant to 18 U.S.C. Section 1350, as</w:t>
            </w:r>
          </w:p>
        </w:tc>
      </w:tr>
      <w:tr>
        <w:trPr>
          <w:trHeight w:val="128"/>
        </w:trPr>
        <w:tc>
          <w:tcPr>
            <w:tcW w:w="740" w:type="dxa"/>
            <w:vAlign w:val="bottom"/>
          </w:tcPr>
          <w:p>
            <w:pPr>
              <w:spacing w:after="0"/>
              <w:rPr>
                <w:sz w:val="11"/>
                <w:szCs w:val="11"/>
                <w:color w:val="auto"/>
              </w:rPr>
            </w:pPr>
          </w:p>
        </w:tc>
        <w:tc>
          <w:tcPr>
            <w:tcW w:w="5440" w:type="dxa"/>
            <w:vAlign w:val="bottom"/>
            <w:tcBorders>
              <w:top w:val="single" w:sz="8" w:color="0000FF"/>
            </w:tcBorders>
            <w:gridSpan w:val="4"/>
          </w:tcPr>
          <w:p>
            <w:pPr>
              <w:spacing w:after="0" w:line="129" w:lineRule="exact"/>
              <w:rPr>
                <w:sz w:val="20"/>
                <w:szCs w:val="20"/>
                <w:color w:val="auto"/>
              </w:rPr>
            </w:pPr>
            <w:r>
              <w:rPr>
                <w:rFonts w:ascii="Arial" w:cs="Arial" w:eastAsia="Arial" w:hAnsi="Arial"/>
                <w:sz w:val="14"/>
                <w:szCs w:val="14"/>
                <w:color w:val="0000FF"/>
              </w:rPr>
              <w:t>adopted pursuant to Section 906 of the Sarbanes-Oxley Act of 2002.</w:t>
            </w:r>
          </w:p>
        </w:tc>
        <w:tc>
          <w:tcPr>
            <w:tcW w:w="5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74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40" w:type="dxa"/>
            <w:vAlign w:val="bottom"/>
          </w:tcPr>
          <w:p>
            <w:pPr>
              <w:spacing w:after="0"/>
              <w:rPr>
                <w:sz w:val="20"/>
                <w:szCs w:val="20"/>
                <w:color w:val="auto"/>
              </w:rPr>
            </w:pPr>
            <w:r>
              <w:rPr>
                <w:rFonts w:ascii="Arial" w:cs="Arial" w:eastAsia="Arial" w:hAnsi="Arial"/>
                <w:sz w:val="14"/>
                <w:szCs w:val="14"/>
                <w:color w:val="auto"/>
              </w:rPr>
              <w:t>32.2**</w:t>
            </w:r>
          </w:p>
        </w:tc>
        <w:tc>
          <w:tcPr>
            <w:tcW w:w="5980" w:type="dxa"/>
            <w:vAlign w:val="bottom"/>
            <w:gridSpan w:val="8"/>
          </w:tcPr>
          <w:p>
            <w:pPr>
              <w:spacing w:after="0"/>
              <w:rPr>
                <w:sz w:val="20"/>
                <w:szCs w:val="20"/>
                <w:color w:val="auto"/>
              </w:rPr>
            </w:pPr>
            <w:r>
              <w:rPr>
                <w:rFonts w:ascii="Arial" w:cs="Arial" w:eastAsia="Arial" w:hAnsi="Arial"/>
                <w:sz w:val="14"/>
                <w:szCs w:val="14"/>
                <w:color w:val="0000FF"/>
              </w:rPr>
              <w:t>Certification of the Principal Financial Officer, pursuant to 18 U.S.C. Section 1350, as adopted</w:t>
            </w:r>
          </w:p>
        </w:tc>
      </w:tr>
      <w:tr>
        <w:trPr>
          <w:trHeight w:val="129"/>
        </w:trPr>
        <w:tc>
          <w:tcPr>
            <w:tcW w:w="740" w:type="dxa"/>
            <w:vAlign w:val="bottom"/>
          </w:tcPr>
          <w:p>
            <w:pPr>
              <w:spacing w:after="0"/>
              <w:rPr>
                <w:sz w:val="11"/>
                <w:szCs w:val="11"/>
                <w:color w:val="auto"/>
              </w:rPr>
            </w:pPr>
          </w:p>
        </w:tc>
        <w:tc>
          <w:tcPr>
            <w:tcW w:w="5960" w:type="dxa"/>
            <w:vAlign w:val="bottom"/>
            <w:tcBorders>
              <w:top w:val="single" w:sz="8" w:color="0000FF"/>
            </w:tcBorders>
            <w:gridSpan w:val="7"/>
          </w:tcPr>
          <w:p>
            <w:pPr>
              <w:spacing w:after="0" w:line="129" w:lineRule="exact"/>
              <w:rPr>
                <w:sz w:val="20"/>
                <w:szCs w:val="20"/>
                <w:color w:val="auto"/>
              </w:rPr>
            </w:pPr>
            <w:r>
              <w:rPr>
                <w:rFonts w:ascii="Arial" w:cs="Arial" w:eastAsia="Arial" w:hAnsi="Arial"/>
                <w:sz w:val="14"/>
                <w:szCs w:val="14"/>
                <w:color w:val="0000FF"/>
              </w:rPr>
              <w:t>pursuant to Section 906 of the Sarbanes-Oxley Act of 2002.</w:t>
            </w:r>
          </w:p>
        </w:tc>
        <w:tc>
          <w:tcPr>
            <w:tcW w:w="20" w:type="dxa"/>
            <w:vAlign w:val="bottom"/>
          </w:tcPr>
          <w:p>
            <w:pPr>
              <w:spacing w:after="0"/>
              <w:rPr>
                <w:sz w:val="11"/>
                <w:szCs w:val="11"/>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 w:lineRule="exact"/>
        <w:rPr>
          <w:sz w:val="20"/>
          <w:szCs w:val="20"/>
          <w:color w:val="auto"/>
        </w:rPr>
      </w:pPr>
    </w:p>
    <w:p>
      <w:pPr>
        <w:sectPr>
          <w:pgSz w:w="11900" w:h="16838" w:orient="portrait"/>
          <w:cols w:equalWidth="0" w:num="1">
            <w:col w:w="10820"/>
          </w:cols>
          <w:pgMar w:left="320" w:top="125" w:right="759" w:bottom="1440" w:gutter="0" w:footer="0" w:header="0"/>
          <w:type w:val="continuous"/>
        </w:sectPr>
      </w:pPr>
    </w:p>
    <w:p>
      <w:pPr>
        <w:ind w:left="180"/>
        <w:spacing w:after="0"/>
        <w:rPr>
          <w:sz w:val="20"/>
          <w:szCs w:val="20"/>
          <w:color w:val="auto"/>
        </w:rPr>
      </w:pPr>
      <w:r>
        <w:rPr>
          <w:rFonts w:ascii="Arial" w:cs="Arial" w:eastAsia="Arial" w:hAnsi="Arial"/>
          <w:sz w:val="14"/>
          <w:szCs w:val="14"/>
          <w:color w:val="auto"/>
        </w:rPr>
        <w:t>101.INS*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101.SCH*</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101.CAL*</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101.DEF*</w:t>
      </w:r>
    </w:p>
    <w:p>
      <w:pPr>
        <w:spacing w:after="0" w:line="82"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101.LAB*</w:t>
      </w:r>
    </w:p>
    <w:p>
      <w:pPr>
        <w:spacing w:after="0" w:line="82"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101.PRE*</w:t>
      </w:r>
    </w:p>
    <w:p>
      <w:pPr>
        <w:spacing w:after="0" w:line="82"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104*</w:t>
      </w:r>
    </w:p>
    <w:p>
      <w:pPr>
        <w:spacing w:after="0" w:line="82"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Inline XBRL Instance Document.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Schema Document.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Calculation Linkbase Document.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Definition Linkbase Document.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Labels Linkbase Document.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Presentation Linkbase Document.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Certain confidential information contained in this exhibit has been omitted because it is both (i)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not material and (ii) is the type that the Registrant treats as private or confidential.</w:t>
      </w:r>
    </w:p>
    <w:p>
      <w:pPr>
        <w:spacing w:after="0" w:line="28" w:lineRule="exact"/>
        <w:rPr>
          <w:sz w:val="20"/>
          <w:szCs w:val="20"/>
          <w:color w:val="auto"/>
        </w:rPr>
      </w:pPr>
    </w:p>
    <w:p>
      <w:pPr>
        <w:sectPr>
          <w:pgSz w:w="11900" w:h="16838" w:orient="portrait"/>
          <w:cols w:equalWidth="0" w:num="2">
            <w:col w:w="780" w:space="240"/>
            <w:col w:w="9800"/>
          </w:cols>
          <w:pgMar w:left="320" w:top="125" w:right="759" w:bottom="1440" w:gutter="0" w:footer="0" w:header="0"/>
          <w:type w:val="continuous"/>
        </w:sectPr>
      </w:pPr>
    </w:p>
    <w:p>
      <w:pPr>
        <w:ind w:left="1020" w:hanging="593"/>
        <w:spacing w:after="0"/>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contract or agreement.</w:t>
      </w:r>
    </w:p>
    <w:p>
      <w:pPr>
        <w:spacing w:after="0" w:line="55" w:lineRule="exact"/>
        <w:rPr>
          <w:sz w:val="20"/>
          <w:szCs w:val="20"/>
          <w:color w:val="auto"/>
        </w:rPr>
      </w:pPr>
    </w:p>
    <w:p>
      <w:pPr>
        <w:ind w:left="1020" w:hanging="581"/>
        <w:spacing w:after="0"/>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1020" w:right="3840" w:hanging="609"/>
        <w:spacing w:after="0" w:line="229" w:lineRule="auto"/>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6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5" w:right="7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SIGNATURES</w:t>
      </w:r>
    </w:p>
    <w:p>
      <w:pPr>
        <w:spacing w:after="0" w:line="2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20" w:type="dxa"/>
            <w:vAlign w:val="bottom"/>
          </w:tcPr>
          <w:p>
            <w:pPr>
              <w:spacing w:after="0"/>
              <w:rPr>
                <w:sz w:val="19"/>
                <w:szCs w:val="19"/>
                <w:color w:val="auto"/>
              </w:rPr>
            </w:pPr>
          </w:p>
        </w:tc>
        <w:tc>
          <w:tcPr>
            <w:tcW w:w="7800" w:type="dxa"/>
            <w:vAlign w:val="bottom"/>
            <w:gridSpan w:val="2"/>
          </w:tcPr>
          <w:p>
            <w:pPr>
              <w:ind w:left="1640"/>
              <w:spacing w:after="0"/>
              <w:rPr>
                <w:sz w:val="20"/>
                <w:szCs w:val="20"/>
                <w:color w:val="auto"/>
              </w:rPr>
            </w:pPr>
            <w:r>
              <w:rPr>
                <w:rFonts w:ascii="Arial" w:cs="Arial" w:eastAsia="Arial" w:hAnsi="Arial"/>
                <w:sz w:val="16"/>
                <w:szCs w:val="16"/>
                <w:b w:val="1"/>
                <w:bCs w:val="1"/>
                <w:color w:val="auto"/>
              </w:rPr>
              <w:t>MARQETA, INC.</w:t>
            </w:r>
          </w:p>
        </w:tc>
      </w:tr>
      <w:tr>
        <w:trPr>
          <w:trHeight w:val="493"/>
        </w:trPr>
        <w:tc>
          <w:tcPr>
            <w:tcW w:w="3420" w:type="dxa"/>
            <w:vAlign w:val="bottom"/>
          </w:tcPr>
          <w:p>
            <w:pPr>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November 3, 2026</w:t>
            </w:r>
          </w:p>
        </w:tc>
        <w:tc>
          <w:tcPr>
            <w:tcW w:w="2820" w:type="dxa"/>
            <w:vAlign w:val="bottom"/>
          </w:tcPr>
          <w:p>
            <w:pPr>
              <w:ind w:left="1640"/>
              <w:spacing w:after="0"/>
              <w:rPr>
                <w:sz w:val="20"/>
                <w:szCs w:val="20"/>
                <w:color w:val="auto"/>
              </w:rPr>
            </w:pPr>
            <w:r>
              <w:rPr>
                <w:rFonts w:ascii="Arial" w:cs="Arial" w:eastAsia="Arial" w:hAnsi="Arial"/>
                <w:sz w:val="16"/>
                <w:szCs w:val="16"/>
                <w:b w:val="1"/>
                <w:bCs w:val="1"/>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Patti Kangwankij</w:t>
            </w:r>
          </w:p>
        </w:tc>
      </w:tr>
      <w:tr>
        <w:trPr>
          <w:trHeight w:val="229"/>
        </w:trPr>
        <w:tc>
          <w:tcPr>
            <w:tcW w:w="3420" w:type="dxa"/>
            <w:vAlign w:val="bottom"/>
          </w:tcPr>
          <w:p>
            <w:pPr>
              <w:spacing w:after="0"/>
              <w:rPr>
                <w:sz w:val="19"/>
                <w:szCs w:val="19"/>
                <w:color w:val="auto"/>
              </w:rPr>
            </w:pPr>
          </w:p>
        </w:tc>
        <w:tc>
          <w:tcPr>
            <w:tcW w:w="2820" w:type="dxa"/>
            <w:vAlign w:val="bottom"/>
          </w:tcPr>
          <w:p>
            <w:pPr>
              <w:ind w:left="1640"/>
              <w:spacing w:after="0"/>
              <w:rPr>
                <w:sz w:val="20"/>
                <w:szCs w:val="20"/>
                <w:color w:val="auto"/>
              </w:rPr>
            </w:pPr>
            <w:r>
              <w:rPr>
                <w:rFonts w:ascii="Arial" w:cs="Arial" w:eastAsia="Arial" w:hAnsi="Arial"/>
                <w:sz w:val="16"/>
                <w:szCs w:val="16"/>
                <w:b w:val="1"/>
                <w:bCs w:val="1"/>
                <w:color w:val="auto"/>
              </w:rPr>
              <w:t>Name:</w:t>
            </w:r>
          </w:p>
        </w:tc>
        <w:tc>
          <w:tcPr>
            <w:tcW w:w="4980" w:type="dxa"/>
            <w:vAlign w:val="bottom"/>
          </w:tcPr>
          <w:p>
            <w:pPr>
              <w:ind w:left="20"/>
              <w:spacing w:after="0"/>
              <w:rPr>
                <w:sz w:val="20"/>
                <w:szCs w:val="20"/>
                <w:color w:val="auto"/>
              </w:rPr>
            </w:pPr>
            <w:r>
              <w:rPr>
                <w:rFonts w:ascii="Arial" w:cs="Arial" w:eastAsia="Arial" w:hAnsi="Arial"/>
                <w:sz w:val="16"/>
                <w:szCs w:val="16"/>
                <w:color w:val="auto"/>
              </w:rPr>
              <w:t>Patti Kangwankij</w:t>
            </w:r>
          </w:p>
        </w:tc>
      </w:tr>
      <w:tr>
        <w:trPr>
          <w:trHeight w:val="243"/>
        </w:trPr>
        <w:tc>
          <w:tcPr>
            <w:tcW w:w="3420" w:type="dxa"/>
            <w:vAlign w:val="bottom"/>
          </w:tcPr>
          <w:p>
            <w:pPr>
              <w:spacing w:after="0"/>
              <w:rPr>
                <w:sz w:val="21"/>
                <w:szCs w:val="21"/>
                <w:color w:val="auto"/>
              </w:rPr>
            </w:pPr>
          </w:p>
        </w:tc>
        <w:tc>
          <w:tcPr>
            <w:tcW w:w="2820" w:type="dxa"/>
            <w:vAlign w:val="bottom"/>
          </w:tcPr>
          <w:p>
            <w:pPr>
              <w:ind w:left="1640"/>
              <w:spacing w:after="0"/>
              <w:rPr>
                <w:sz w:val="20"/>
                <w:szCs w:val="20"/>
                <w:color w:val="auto"/>
              </w:rPr>
            </w:pPr>
            <w:r>
              <w:rPr>
                <w:rFonts w:ascii="Arial" w:cs="Arial" w:eastAsia="Arial" w:hAnsi="Arial"/>
                <w:sz w:val="16"/>
                <w:szCs w:val="16"/>
                <w:b w:val="1"/>
                <w:bCs w:val="1"/>
                <w:color w:val="auto"/>
              </w:rPr>
              <w:t>Title:</w:t>
            </w:r>
          </w:p>
        </w:tc>
        <w:tc>
          <w:tcPr>
            <w:tcW w:w="4980" w:type="dxa"/>
            <w:vAlign w:val="bottom"/>
          </w:tcPr>
          <w:p>
            <w:pPr>
              <w:ind w:left="20"/>
              <w:spacing w:after="0"/>
              <w:rPr>
                <w:sz w:val="20"/>
                <w:szCs w:val="20"/>
                <w:color w:val="auto"/>
              </w:rPr>
            </w:pPr>
            <w:r>
              <w:rPr>
                <w:rFonts w:ascii="Arial" w:cs="Arial" w:eastAsia="Arial" w:hAnsi="Arial"/>
                <w:sz w:val="16"/>
                <w:szCs w:val="16"/>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INFORMATION, MARKED BY [***], HAS BEEN EXCLUDED FROM THIS EXHIBIT BECAUSE (I) IT IS NOT MATERIAL AND (II) THE REGISTRANT CUSTOMARILY AND ACTUALLY TREATS THE INFORMATION AS PRIVATE AND CONFIDENTIAL.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PURSUANT TO RULE 144 UNDER SUCH ACT.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 of Issuance</w:t>
            </w:r>
          </w:p>
        </w:tc>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Void after</w:t>
            </w:r>
          </w:p>
        </w:tc>
      </w:tr>
      <w:tr>
        <w:trPr>
          <w:trHeight w:val="30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July 1, 2026</w:t>
            </w:r>
          </w:p>
        </w:tc>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29</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2031</w:t>
            </w: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MARQETA,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SHARES OF CLASS A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fourth amendment, dated as of August 27, 2026, to that certain Global Strategic Partnership Agreement dated as of September 15, 2020, by and between Marqeta, Inc., a Delaware corporation (the “Company”), and Uber Technologies, Inc. (the “Holder”), of even date herewith (the “Partnership Agreement”), and in consideration for the promises and agreements received thereto, the receipt and sufficiency of which is hereby acknowledged, this Warrant is issued to the Holder by the Company as of the date set forth above (the “Effective Date”).</w:t>
      </w:r>
    </w:p>
    <w:p>
      <w:pPr>
        <w:spacing w:after="0" w:line="180"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Earning and Vesting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81" w:lineRule="auto"/>
        <w:tabs>
          <w:tab w:leader="none" w:pos="24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Subject to the terms and conditions set forth herein, including the Earning Schedule (as defined below), the Holder is entitled, upon surrender of this Warrant at the principal office of the Company (or at such other place as the Company shall notify the Holder in writing), to purchase from the Company up to 550,000 fully paid and nonassessable shares of the Company’s Class A Common Stock, par value $0.0001 per share (the “Common Stock”), subject to appropriate adjustment for future stock splits, dividends, combinations, recapitalizations and the like with respect to the Common Stock.</w:t>
      </w:r>
    </w:p>
    <w:p>
      <w:pPr>
        <w:spacing w:after="0" w:line="164" w:lineRule="exact"/>
        <w:rPr>
          <w:rFonts w:ascii="Times New Roman" w:cs="Times New Roman" w:eastAsia="Times New Roman" w:hAnsi="Times New Roman"/>
          <w:sz w:val="17"/>
          <w:szCs w:val="17"/>
          <w:color w:val="auto"/>
        </w:rPr>
      </w:pPr>
    </w:p>
    <w:p>
      <w:pPr>
        <w:ind w:firstLine="8"/>
        <w:spacing w:after="0" w:line="282" w:lineRule="auto"/>
        <w:tabs>
          <w:tab w:leader="none" w:pos="2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for the shares of Common Stock issuable pursuant to this Section 1 (the “Shares”) shall be $0.01 per share (the “Exercise Price”). The Shares and the Exercise Price shall be subject to adjustment pursuant to Section 8 hereof.</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Shares shall be earned under this Warrant in accordance with the schedule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(“Earning Schedule”) upon achievement of the transaction tiers (“Tiers”) as set forth therein.</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satisfaction by Holder (or an affiliate thereof) of each Tier, the Company shall deliver to the Holder a written notice stating that such Tier has been achieved. The Company shall deliver such notice promptly following its determination that the Tier has been achieved, and the Shares shall be considered “Earned” in accordance with the Earning Schedule based on the applicable Tier.</w:t>
      </w:r>
    </w:p>
    <w:p>
      <w:pPr>
        <w:sectPr>
          <w:pgSz w:w="11900" w:h="16838" w:orient="portrait"/>
          <w:cols w:equalWidth="0" w:num="1">
            <w:col w:w="11240"/>
          </w:cols>
          <w:pgMar w:left="320" w:top="120" w:right="339" w:bottom="1440" w:gutter="0" w:footer="0" w:header="0"/>
        </w:sectPr>
      </w:pPr>
    </w:p>
    <w:bookmarkStart w:id="53" w:name="page54"/>
    <w:bookmarkEnd w:id="53"/>
    <w:p>
      <w:pPr>
        <w:jc w:val="both"/>
        <w:ind w:firstLine="8"/>
        <w:spacing w:after="0" w:line="266" w:lineRule="auto"/>
        <w:tabs>
          <w:tab w:leader="none" w:pos="2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Earned between July 1 of any year and June 30 of the following year shall be considered “Vested” and become exercisable at any time on or after August 1 of the following year. For example, Shares that are Earned between July 1, 2026 and June 30, 2027 vest and become exercisable on August 1, 2027.</w:t>
      </w:r>
    </w:p>
    <w:p>
      <w:pPr>
        <w:spacing w:after="0" w:line="176"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Certain Definitions.</w:t>
      </w:r>
    </w:p>
    <w:p>
      <w:pPr>
        <w:spacing w:after="0" w:line="225" w:lineRule="exact"/>
        <w:rPr>
          <w:sz w:val="20"/>
          <w:szCs w:val="20"/>
          <w:color w:val="auto"/>
        </w:rPr>
      </w:pPr>
    </w:p>
    <w:p>
      <w:pPr>
        <w:ind w:left="220" w:hanging="212"/>
        <w:spacing w:after="0"/>
        <w:tabs>
          <w:tab w:leader="none" w:pos="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“Acquirer” shall mean the person or entity acquiring the assets, liabilities, business, or voting securities in the Change of Control Transaction.</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Transaction” shall have the meaning set forth in the Company’s current Certificate of Incorporation.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Subject to the provisions of this Section 2 and Section 1, this Warrant shall be exercisable, in whole or in part, during the term commencing on the</w:t>
      </w:r>
    </w:p>
    <w:p>
      <w:pPr>
        <w:spacing w:after="0" w:line="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Effective Date and ending at 5:00 p.m. Pacific time on September 29</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2031, unless sooner deemed exercised pursuant to the terms of this Warrant (the “Exercise Period”).</w:t>
      </w:r>
    </w:p>
    <w:p>
      <w:pPr>
        <w:spacing w:after="0" w:line="171" w:lineRule="exact"/>
        <w:rPr>
          <w:sz w:val="20"/>
          <w:szCs w:val="20"/>
          <w:color w:val="auto"/>
        </w:rPr>
      </w:pPr>
    </w:p>
    <w:p>
      <w:pPr>
        <w:jc w:val="both"/>
        <w:ind w:firstLine="8"/>
        <w:spacing w:after="0" w:line="253" w:lineRule="auto"/>
        <w:tabs>
          <w:tab w:leader="none" w:pos="2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 Transaction in which the Acquirer assumes all of the Company’s rights and obligations under the Partnership Agreement pursuant to the terms and conditions set forth therein, then, as part of such transaction, lawful provision shall be made so that the Holder shall thereafter be entitled to receive upon exercise of this Warrant, during the period specified herein and upon payment of the Exercise Price then in effect, the number of shares of stock or other securities or property of the successor corporation resulting from the Change of Control Transaction which a holder of the Shares deliverable upon exercise of this Warrant would have been entitled to receive in such Change of Control Transaction if this Warrant had been exercised immediately before such Change of Control Transaction with respect to such Shares, all subject to further adjustment as provided in this Section 2; and, in any such case, appropriate adjustment (as determined by the Company’s Board of Directors) shall be made in the application of the provisions herein set forth with respect to the rights and interests thereafter of the Holder to the end that the provisions set forth herein (including provisions with respect to changes in and other adjustments of the number of Shares of the Holder is entitled to purchase) shall thereafter by applicable, as nearly as possible, in relation to any shares of Common Stock or other securities or other property thereafter deliverable upon the exercise of this Warrant.</w:t>
      </w:r>
    </w:p>
    <w:p>
      <w:pPr>
        <w:spacing w:after="0" w:line="19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a termination of the Partnership Agreement for any reason pursuant to the terms and conditions thereof, or (ii) a Change of Control</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Transaction in which the Acquirer does not assume all of the rights and obligations of the Company under the Partnership Agreement, (each of (i) and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ii), a “Termination Event”), then the Shares that have been Earned as of immediately prior to the consummation of such Termination Event shall be deemed to be automatically exercised immediately prior to the consummation of such Termination Event without any further action on behalf of the Holder. Upon the consummation of such Termination Event and after giving effect to such exercise, any remaining Shares that have not yet been Earned shall no longer be exercisable and the Warrant shall automatically become null and void.</w:t>
      </w:r>
    </w:p>
    <w:p>
      <w:pPr>
        <w:spacing w:after="0" w:line="186"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
        <w:spacing w:after="0" w:line="282" w:lineRule="auto"/>
        <w:tabs>
          <w:tab w:leader="none" w:pos="2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this Warrant remains outstanding and exercisable in accordance with Section 2 above, the Holder may exercise, in whole or in part, the purchase rights for Vested Shares evidenced hereby. Such exercise shall be effected by:</w:t>
      </w:r>
    </w:p>
    <w:p>
      <w:pPr>
        <w:spacing w:after="0" w:line="162" w:lineRule="exact"/>
        <w:rPr>
          <w:sz w:val="20"/>
          <w:szCs w:val="20"/>
          <w:color w:val="auto"/>
        </w:rPr>
      </w:pPr>
    </w:p>
    <w:p>
      <w:pPr>
        <w:ind w:firstLine="8"/>
        <w:spacing w:after="0" w:line="282" w:lineRule="auto"/>
        <w:tabs>
          <w:tab w:leader="none" w:pos="2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surrender of the Warrant, together with a duly executed copy of the Notice of Exercise attached hereto, to the Secretary of the Company at its principal office (or at such other place as the Company shall notify the Holder in writing); and</w:t>
      </w:r>
    </w:p>
    <w:p>
      <w:pPr>
        <w:sectPr>
          <w:pgSz w:w="11900" w:h="16838" w:orient="portrait"/>
          <w:cols w:equalWidth="0" w:num="1">
            <w:col w:w="11240"/>
          </w:cols>
          <w:pgMar w:left="320" w:top="1417" w:right="339" w:bottom="1440" w:gutter="0" w:footer="0" w:header="0"/>
        </w:sectPr>
      </w:pPr>
    </w:p>
    <w:bookmarkStart w:id="54" w:name="page55"/>
    <w:bookmarkEnd w:id="54"/>
    <w:p>
      <w:pPr>
        <w:spacing w:after="0" w:line="234" w:lineRule="exact"/>
        <w:rPr>
          <w:sz w:val="20"/>
          <w:szCs w:val="20"/>
          <w:color w:val="auto"/>
        </w:rPr>
      </w:pPr>
    </w:p>
    <w:p>
      <w:pPr>
        <w:jc w:val="both"/>
        <w:ind w:firstLine="8"/>
        <w:spacing w:after="0" w:line="266" w:lineRule="auto"/>
        <w:tabs>
          <w:tab w:leader="none" w:pos="2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cash payment of the aggregate Exercise Price, a net exercise in accordance with the requirements of this Section 3, whereby Holder receives Shares equal to the portion of this Warrant being exercised. Thereupon, the Company shall issue to the Holder such number of fully paid and non-assessable Shares as are computed using the following formula, rounded down to the nearest share:</w:t>
      </w:r>
    </w:p>
    <w:p>
      <w:pPr>
        <w:spacing w:after="0" w:line="176" w:lineRule="exact"/>
        <w:rPr>
          <w:sz w:val="20"/>
          <w:szCs w:val="20"/>
          <w:color w:val="auto"/>
        </w:rPr>
      </w:pPr>
    </w:p>
    <w:p>
      <w:pPr>
        <w:ind w:right="10000" w:firstLine="188"/>
        <w:spacing w:after="0" w:line="500" w:lineRule="auto"/>
        <w:tabs>
          <w:tab w:leader="none" w:pos="3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Y(A-B)/A Where:</w:t>
      </w:r>
    </w:p>
    <w:p>
      <w:pPr>
        <w:spacing w:after="0" w:line="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to be issued to the Holder;</w:t>
      </w:r>
    </w:p>
    <w:p>
      <w:pPr>
        <w:spacing w:after="0" w:line="225" w:lineRule="exact"/>
        <w:rPr>
          <w:sz w:val="20"/>
          <w:szCs w:val="20"/>
          <w:color w:val="auto"/>
        </w:rPr>
      </w:pPr>
    </w:p>
    <w:p>
      <w:pPr>
        <w:ind w:firstLine="202"/>
        <w:spacing w:after="0" w:line="282" w:lineRule="auto"/>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 (inclusive of the Shares surrendered to the Company in payment of the aggregate Exercise Price);</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 the Fair Market Value (as determined pursuant to Section 3(e) below) of one Share; and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 = the Exercise Price.</w:t>
      </w:r>
    </w:p>
    <w:p>
      <w:pPr>
        <w:spacing w:after="0" w:line="225" w:lineRule="exact"/>
        <w:rPr>
          <w:sz w:val="20"/>
          <w:szCs w:val="20"/>
          <w:color w:val="auto"/>
        </w:rPr>
      </w:pPr>
    </w:p>
    <w:p>
      <w:pPr>
        <w:jc w:val="both"/>
        <w:ind w:firstLine="8"/>
        <w:spacing w:after="0" w:line="261" w:lineRule="auto"/>
        <w:tabs>
          <w:tab w:leader="none" w:pos="2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exercise of this Warrant shall be deemed to have been effected immediately prior to the close of business on the day on which this Warrant is surrendered to the Company as provided in Section 3(a) above. At such time, the person or persons in whose name or names any book entry for the Shares shall be issuable upon such exercise as provided in Section 3(c) below shall be deemed to have become the holder or holders of record of the Shares represented by such book entry.</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 reasonable time after the exercise of this Warrant in whole or in part, the Company at its expense will cause to be issued in the name of, and delivered to, the Holder, or as such Holder (upon payment by such Holder of any applicable transfer taxes) may direct:</w:t>
      </w:r>
    </w:p>
    <w:p>
      <w:pPr>
        <w:spacing w:after="0" w:line="162" w:lineRule="exact"/>
        <w:rPr>
          <w:sz w:val="20"/>
          <w:szCs w:val="20"/>
          <w:color w:val="auto"/>
        </w:rPr>
      </w:pPr>
    </w:p>
    <w:p>
      <w:pPr>
        <w:ind w:left="220" w:hanging="212"/>
        <w:spacing w:after="0"/>
        <w:tabs>
          <w:tab w:leader="none" w:pos="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uncertificated book entry at the Company’s transfer agent for the number of Shares to which such Holder shall be entitled, and</w:t>
      </w:r>
    </w:p>
    <w:p>
      <w:pPr>
        <w:spacing w:after="0" w:line="252" w:lineRule="exact"/>
        <w:rPr>
          <w:rFonts w:ascii="Times New Roman" w:cs="Times New Roman" w:eastAsia="Times New Roman" w:hAnsi="Times New Roman"/>
          <w:sz w:val="18"/>
          <w:szCs w:val="18"/>
          <w:color w:val="auto"/>
        </w:rPr>
      </w:pPr>
    </w:p>
    <w:p>
      <w:pPr>
        <w:jc w:val="both"/>
        <w:ind w:firstLine="8"/>
        <w:spacing w:after="0" w:line="261" w:lineRule="auto"/>
        <w:tabs>
          <w:tab w:leader="none" w:pos="2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such exercise is in part only, promptly following each such exercise and in lieu of issuing a new warrant or warrants of like tenor, the Company shall update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(the “Vesting and Exercise Schedule”) memorializing the number of Vested Shares as of each such exercise, the date of such exercise, the number of Vested Shares and unvested Shares remaining after each such exercise, and the number of Vested Shares that remain exercisable after each such exercise.</w:t>
      </w:r>
    </w:p>
    <w:p>
      <w:pPr>
        <w:spacing w:after="0" w:line="180" w:lineRule="exact"/>
        <w:rPr>
          <w:sz w:val="20"/>
          <w:szCs w:val="20"/>
          <w:color w:val="auto"/>
        </w:rPr>
      </w:pPr>
    </w:p>
    <w:p>
      <w:pPr>
        <w:ind w:firstLine="8"/>
        <w:spacing w:after="0" w:line="282" w:lineRule="auto"/>
        <w:tabs>
          <w:tab w:leader="none" w:pos="2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not exercised this Warrant prior to the expiration of the Exercise Period, all of the Shares subject to this Warrant (including any Shares that are Vested Shares) shall automatically be cancelled, and Holder shall have no further rights with respect to any such Shares.</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6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is then traded or quoted on a nationally recognized securities exchange, inter-dealer quotation system or over-the-counter market (a “Trading Market”),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3" w:lineRule="exact"/>
        <w:rPr>
          <w:sz w:val="20"/>
          <w:szCs w:val="20"/>
          <w:color w:val="auto"/>
        </w:rPr>
      </w:pPr>
    </w:p>
    <w:p>
      <w:pPr>
        <w:ind w:firstLine="8"/>
        <w:spacing w:after="0" w:line="282"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In connection with the transactions provided for herein, the Company hereby represents and warrants to the Holder that:</w:t>
      </w:r>
    </w:p>
    <w:p>
      <w:pPr>
        <w:spacing w:after="0" w:line="162" w:lineRule="exact"/>
        <w:rPr>
          <w:sz w:val="20"/>
          <w:szCs w:val="20"/>
          <w:color w:val="auto"/>
        </w:rPr>
      </w:pPr>
    </w:p>
    <w:p>
      <w:pPr>
        <w:ind w:right="20" w:firstLine="8"/>
        <w:spacing w:after="0" w:line="282" w:lineRule="auto"/>
        <w:tabs>
          <w:tab w:leader="none" w:pos="2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carry on its business as now conducted. The Company is duly qualified to transact business and is in good standing in each jurisdiction in which the failure to so qualify would have a material adverse effect on its business or properties.</w:t>
      </w:r>
    </w:p>
    <w:p>
      <w:pPr>
        <w:spacing w:after="0" w:line="162" w:lineRule="exact"/>
        <w:rPr>
          <w:sz w:val="20"/>
          <w:szCs w:val="20"/>
          <w:color w:val="auto"/>
        </w:rPr>
      </w:pPr>
    </w:p>
    <w:p>
      <w:pPr>
        <w:jc w:val="both"/>
        <w:ind w:firstLine="8"/>
        <w:spacing w:after="0" w:line="258"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will not be subject to preemptive rights of any stockholders of the Company. The Company has authorized sufficient shares of Common Stock to allow for the exercise of this Warrant.</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2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authorization, execution and delivery of the Warrant will not constitute or result in a material default or violation of any law or regulation applicable to the Company or any material term or provision of the Company’s current Certificate of Incorporation or bylaws, or any material agreement or instrument by which it is bound or to which its properties or assets are subject.</w:t>
      </w:r>
    </w:p>
    <w:p>
      <w:pPr>
        <w:spacing w:after="0" w:line="17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of Common Stock</w:t>
      </w:r>
      <w:r>
        <w:rPr>
          <w:rFonts w:ascii="Times New Roman" w:cs="Times New Roman" w:eastAsia="Times New Roman" w:hAnsi="Times New Roman"/>
          <w:sz w:val="18"/>
          <w:szCs w:val="18"/>
          <w:color w:val="auto"/>
        </w:rPr>
        <w:t>. The Shares, when issued, sold, and delivered in accordance with the terms of the Warrant for the consideration</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expressed therein, will be duly and validly issued, fully paid and nonassessable and, based in part upon the representations and warranties of the Holder in this Warrant, will be issued in compliance with all applicable federal and state securities laws.</w:t>
      </w:r>
    </w:p>
    <w:p>
      <w:pPr>
        <w:spacing w:after="0" w:line="162" w:lineRule="exact"/>
        <w:rPr>
          <w:sz w:val="20"/>
          <w:szCs w:val="20"/>
          <w:color w:val="auto"/>
        </w:rPr>
      </w:pPr>
    </w:p>
    <w:p>
      <w:pPr>
        <w:ind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Holder</w:t>
      </w:r>
      <w:r>
        <w:rPr>
          <w:rFonts w:ascii="Times New Roman" w:cs="Times New Roman" w:eastAsia="Times New Roman" w:hAnsi="Times New Roman"/>
          <w:sz w:val="18"/>
          <w:szCs w:val="18"/>
          <w:color w:val="auto"/>
        </w:rPr>
        <w:t>. In connection with the transactions provided for herein, the Holder hereby represents and warrants to the Company that:</w:t>
      </w:r>
    </w:p>
    <w:p>
      <w:pPr>
        <w:spacing w:after="0" w:line="162" w:lineRule="exact"/>
        <w:rPr>
          <w:sz w:val="20"/>
          <w:szCs w:val="20"/>
          <w:color w:val="auto"/>
        </w:rPr>
      </w:pPr>
    </w:p>
    <w:p>
      <w:pPr>
        <w:jc w:val="both"/>
        <w:ind w:right="20" w:firstLine="8"/>
        <w:spacing w:after="0" w:line="261" w:lineRule="auto"/>
        <w:tabs>
          <w:tab w:leader="none" w:pos="2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Holder represents that it has full power and authority to enter into this Warrant. This Warrant constitutes the Holder’s valid and legally binding obligation, enforceable in accordance with its terms, except as may be limited by (i) applicable bankruptcy, insolvency, reorganization, or similar laws relating to or affecting the enforcement of creditors’ rights and (ii) laws relating to the availability of specific performance, injunctive relief or other equitable remedies.</w:t>
      </w:r>
    </w:p>
    <w:p>
      <w:pPr>
        <w:spacing w:after="0" w:line="179" w:lineRule="exact"/>
        <w:rPr>
          <w:rFonts w:ascii="Times New Roman" w:cs="Times New Roman" w:eastAsia="Times New Roman" w:hAnsi="Times New Roman"/>
          <w:sz w:val="18"/>
          <w:szCs w:val="18"/>
          <w:color w:val="auto"/>
        </w:rPr>
      </w:pPr>
    </w:p>
    <w:p>
      <w:pPr>
        <w:jc w:val="both"/>
        <w:ind w:firstLine="8"/>
        <w:spacing w:after="0" w:line="256" w:lineRule="auto"/>
        <w:tabs>
          <w:tab w:leader="none" w:pos="2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The Holder acknowledges that this Warrant is entered into by the Holder in reliance upon such Holder’s representation to the Company that the Warrant and the Shares (collectively, the “Securities”) will be acquired for investment for the Holder’s own account, not as a nominee or agent, and not with a view to the resale or distribution of any part thereof, and that the Holder has no present intention of selling, granting any participation in or otherwise distributing the same. By acknowledging this Warrant, the Holder further represents that the Holder does not have any contract, undertaking, agreement, or arrangement with any person to sell, transfer or grant participations to such person or to any third person, with respect to the Securities.</w:t>
      </w:r>
    </w:p>
    <w:p>
      <w:pPr>
        <w:spacing w:after="0" w:line="187" w:lineRule="exact"/>
        <w:rPr>
          <w:rFonts w:ascii="Times New Roman" w:cs="Times New Roman" w:eastAsia="Times New Roman" w:hAnsi="Times New Roman"/>
          <w:sz w:val="18"/>
          <w:szCs w:val="18"/>
          <w:color w:val="auto"/>
        </w:rPr>
      </w:pPr>
    </w:p>
    <w:p>
      <w:pPr>
        <w:jc w:val="both"/>
        <w:ind w:firstLine="8"/>
        <w:spacing w:after="0" w:line="266" w:lineRule="auto"/>
        <w:tabs>
          <w:tab w:leader="none" w:pos="2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The Holder acknowledges that it has received all the information it considers necessary or appropriate for deciding whether to acquire the Securities. The Holder further represents that it has had an opportunity to ask questions and receive answers from the Company regarding the terms and conditions of the offering of the Securities.</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The Holder is an investor in securities of companies in the development stage and acknowledges that it is able to fend for itself, can bear the economic risk of its investment, and has such knowledge and experience in financial or business matters that it is capable of evaluating the merits and risks of the investment in the Securities. If other than an individual, the Holder also represents it has not been organized solely for the purpose of acquiring the Securities.</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Holder is an “accredited investor” within the meaning of Rule 501 of Regulation D, as presently in effect, as promulgated by the Securities and Exchange Commission (the “SEC”) under the Securities Act of 1933, as amended (the “Act”).</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jc w:val="both"/>
        <w:ind w:firstLine="8"/>
        <w:spacing w:after="0" w:line="258" w:lineRule="auto"/>
        <w:tabs>
          <w:tab w:leader="none" w:pos="22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Holder understands that the Securities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Act, only in certain limited circumstances. In this connection, each Holder represents that it is familiar with Rule 144, as presently in effect, as promulgated by the SEC under the Act (“Rule 144”), and understands the resale limitations imposed thereby and by the Act.</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28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Limitations on Disposition</w:t>
      </w:r>
      <w:r>
        <w:rPr>
          <w:rFonts w:ascii="Times New Roman" w:cs="Times New Roman" w:eastAsia="Times New Roman" w:hAnsi="Times New Roman"/>
          <w:sz w:val="18"/>
          <w:szCs w:val="18"/>
          <w:color w:val="auto"/>
        </w:rPr>
        <w:t>. Without in any way limiting the representations set forth above, the Holder further agrees not to make any disposition of all or any portion of the Shares unless and until the transferee has agreed in writing for the benefit of the Company to be bound by the terms of this Warrant, including, without limitation, this Section 5, and:</w:t>
      </w:r>
    </w:p>
    <w:p>
      <w:pPr>
        <w:spacing w:after="0" w:line="176" w:lineRule="exact"/>
        <w:rPr>
          <w:sz w:val="20"/>
          <w:szCs w:val="20"/>
          <w:color w:val="auto"/>
        </w:rPr>
      </w:pPr>
    </w:p>
    <w:p>
      <w:pPr>
        <w:ind w:firstLine="8"/>
        <w:spacing w:after="0" w:line="282" w:lineRule="auto"/>
        <w:tabs>
          <w:tab w:leader="none" w:pos="2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then in effect a registration statement under the Act covering such proposed disposition and such disposition is made in accordance with such registration statement; or</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notified the Company of the proposed disposition and shall have furnished the Company with a detailed statement of the circumstances surrounding the proposed disposition, and if reasonably requested by the Company, the Holder shall have furnished the Company with an opinion of counsel, reasonably satisfactory to the Company, that such disposition will not require registration of such shares under the Act. It is agreed that the Company will not require opinions of counsel for transactions made pursuant to Rule 144 except in extraordinary circumstances.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It is understood that the Securities may bear the following legend:</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 AS AMENDED.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REPRESENTED BY THIS CERTIFICATE MAY BE TRANSFERRED ONLY IN ACCORDANCE WITH THE TERMS OF AN AGREEMENT BETWEEN THE COMPANY AND THE STOCKHOLDER, A COPY OF WHICH IS ON FILE WITH AND MAY BE OBTAINED FROM THE SECRETARY OF THE COMPANY AT NO CHARGE.”</w:t>
      </w:r>
    </w:p>
    <w:p>
      <w:pPr>
        <w:spacing w:after="0" w:line="176" w:lineRule="exact"/>
        <w:rPr>
          <w:sz w:val="20"/>
          <w:szCs w:val="20"/>
          <w:color w:val="auto"/>
        </w:rPr>
      </w:pPr>
    </w:p>
    <w:p>
      <w:pPr>
        <w:jc w:val="both"/>
        <w:ind w:firstLine="8"/>
        <w:spacing w:after="0" w:line="256" w:lineRule="auto"/>
        <w:tabs>
          <w:tab w:leader="none" w:pos="19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 Commissioners of Corporations</w:t>
      </w:r>
      <w:r>
        <w:rPr>
          <w:rFonts w:ascii="Times New Roman" w:cs="Times New Roman" w:eastAsia="Times New Roman" w:hAnsi="Times New Roman"/>
          <w:sz w:val="18"/>
          <w:szCs w:val="18"/>
          <w:color w:val="auto"/>
        </w:rPr>
        <w:t>. THE SALE OF THE SECURITIES WHICH ARE THE SUBJECT OF THIS WARRANT HAS NOT BEEN QUALIFIED WITH THE COMMISSIONER OF CORPORATIONS OF THE STATE OF CALIFORNIA AND THE ISSUANCE OF SUCH SECURITIES OR THE PAYMENT OR RECEIPT OF ANY PART OF THE CONSIDERATION FOR SUCH SECURITIES PRIOR TO SUCH QUALIFICATION IS UNLAWFUL, UNLESS THE SALE OF SECURITIES IS EXEMPT FROM QUALIFICATION BY SECTION 25100, 25102 OR 25105 OF THE CALIFORNIA CORPORATIONS CODE. THE RIGHTS OF ALL PARTIES TO THIS WARRANT ARE EXPRESSLY CONDITIONED UPON SUCH QUALIFICATION BEING OBTAINED, UNLESS THE SALE IS SO EXEMPT.</w:t>
      </w:r>
    </w:p>
    <w:p>
      <w:pPr>
        <w:spacing w:after="0" w:line="18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6" w:lineRule="auto"/>
        <w:tabs>
          <w:tab w:leader="none" w:pos="2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of Record Date</w:t>
      </w:r>
      <w:r>
        <w:rPr>
          <w:rFonts w:ascii="Times New Roman" w:cs="Times New Roman" w:eastAsia="Times New Roman" w:hAnsi="Times New Roman"/>
          <w:sz w:val="18"/>
          <w:szCs w:val="18"/>
          <w:color w:val="auto"/>
        </w:rPr>
        <w:t>. In the event of any taking by the Company of a record of the holders of any class of securities for the purpose of determining the holders thereof who are entitled to receive any dividend or other distribution, the Company shall mail to the Holder, at least ten (10) days prior to such record date, a notice specifying the date on which any such record is to be taken for the purpose of such dividend or distribution.</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jc w:val="both"/>
        <w:ind w:left="-8" w:firstLine="8"/>
        <w:spacing w:after="0" w:line="255" w:lineRule="auto"/>
        <w:tabs>
          <w:tab w:leader="none" w:pos="2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as to Exercise Shares</w:t>
      </w:r>
      <w:r>
        <w:rPr>
          <w:rFonts w:ascii="Times New Roman" w:cs="Times New Roman" w:eastAsia="Times New Roman" w:hAnsi="Times New Roman"/>
          <w:sz w:val="18"/>
          <w:szCs w:val="18"/>
          <w:color w:val="auto"/>
        </w:rPr>
        <w:t>. The Company covenants and agrees that all Shares that may be issued upon the exercise of the rights represented by this Warrant will, upon issuance in accordance with the terms hereof, be validly issued and outstanding, fully paid and nonassessable, and free from all taxes, liens and charges with respect to the issuance thereof. The Company further covenants and agrees that the Company will at all times during the Exercise Period, have authorized and reserved, free from preemptive rights, a sufficient number of shares of Common Stock to provide for the exercise of the rights represented by this Warrant. If at any time during the Exercise Period the number of authorized but unissued shares of Common Stock shall not be sufficient to permit exercise of this Warrant, the Company will take such corporate action as may, in the opinion of its counsel, be necessary to increase its authorized but unissued shares of Common Stock to such number of shares as shall be sufficient for such purposes.</w:t>
      </w:r>
    </w:p>
    <w:p>
      <w:pPr>
        <w:spacing w:after="0" w:line="189" w:lineRule="exact"/>
        <w:rPr>
          <w:sz w:val="20"/>
          <w:szCs w:val="20"/>
          <w:color w:val="auto"/>
        </w:rPr>
      </w:pPr>
    </w:p>
    <w:p>
      <w:pPr>
        <w:ind w:left="-8" w:right="20" w:firstLine="8"/>
        <w:spacing w:after="0" w:line="282" w:lineRule="auto"/>
        <w:tabs>
          <w:tab w:leader="none" w:pos="1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Shares</w:t>
      </w:r>
      <w:r>
        <w:rPr>
          <w:rFonts w:ascii="Times New Roman" w:cs="Times New Roman" w:eastAsia="Times New Roman" w:hAnsi="Times New Roman"/>
          <w:sz w:val="18"/>
          <w:szCs w:val="18"/>
          <w:color w:val="auto"/>
        </w:rPr>
        <w:t>. The number and kind of Shares purchasable upon exercise of this Warrant and the Exercise Price shall be subject to adjustment from time to time as follows:</w:t>
      </w:r>
    </w:p>
    <w:p>
      <w:pPr>
        <w:spacing w:after="0" w:line="162" w:lineRule="exact"/>
        <w:rPr>
          <w:sz w:val="20"/>
          <w:szCs w:val="20"/>
          <w:color w:val="auto"/>
        </w:rPr>
      </w:pPr>
    </w:p>
    <w:p>
      <w:pPr>
        <w:jc w:val="both"/>
        <w:ind w:left="-8" w:firstLine="8"/>
        <w:spacing w:after="0" w:line="255" w:lineRule="auto"/>
        <w:tabs>
          <w:tab w:leader="none" w:pos="2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Subdivisions, Combinations and Other Issuances</w:t>
      </w:r>
      <w:r>
        <w:rPr>
          <w:rFonts w:ascii="Times New Roman" w:cs="Times New Roman" w:eastAsia="Times New Roman" w:hAnsi="Times New Roman"/>
          <w:sz w:val="18"/>
          <w:szCs w:val="18"/>
          <w:color w:val="auto"/>
        </w:rPr>
        <w:t>. If the Company shall at any time after the issuance but prior to the expiration of this Warrant subdivide its Common Stock, by split-up or otherwise, or combine its Common Stock, or issue additional shares of its Preferred Stock or Common Stock as a dividend with respect to any shares of its Common Stock, the number of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Shares purchasable under this Warrant (as adjusted) shall remain the same. Any adjustment under this Section 8(a) shall become effective at the close of business on the date the subdivision or combination becomes effective, or as of the record date of such dividend, or in the event that no record date is fixed, upon the making of such dividend.</w:t>
      </w:r>
    </w:p>
    <w:p>
      <w:pPr>
        <w:spacing w:after="0" w:line="188"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4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Reclassification, Reorganization and Consolidation</w:t>
      </w:r>
      <w:r>
        <w:rPr>
          <w:rFonts w:ascii="Times New Roman" w:cs="Times New Roman" w:eastAsia="Times New Roman" w:hAnsi="Times New Roman"/>
          <w:sz w:val="18"/>
          <w:szCs w:val="18"/>
          <w:color w:val="auto"/>
        </w:rPr>
        <w:t>. In case of any reclassification, capital reorganization or change in the capital stock of the Company (other than as a result of a subdivision, combination or stock dividend provided for in Section 8(a) above), then, as a condition of such reclassification, reorganization or change, lawful provision shall be made, and duly executed documents evidencing the same from the Company or its successor shall be delivered to the Holder, so that the Holder shall have the right at any time prior to the expiration of this Warrant to purchase, at a total price equal to that payable upon the exercise of this Warrant, the kind and amount of shares of stock and other securities or property receivable in connection with such reclassification, reorganization or change by a holder of the same number and type of securities as were purchasable as Shares by the Holder immediately prior to such reclassification, reorganization or change. In any such case appropriate provisions shall be made with respect to the rights and interest of the Holder so that the provisions hereof shall thereafter be applicable with respect to any shares of stock or other securities or property deliverable upon exercise hereof, and appropriate adjustments shall be made to the Exercise Price per Share payable hereunder, provided the aggregate Exercise Price shall remain the same.</w:t>
      </w:r>
    </w:p>
    <w:p>
      <w:pPr>
        <w:spacing w:after="0" w:line="194"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When any adjustment is required to be made in the number or kind of shares purchasable upon exercise of the Warrant, or in the Exercise Price, the Company shall promptly notify the Holder of such event and of the number of Shares or other securities or property thereafter purchasable upon exercise of this Warrant.</w:t>
      </w:r>
    </w:p>
    <w:p>
      <w:pPr>
        <w:spacing w:after="0" w:line="176" w:lineRule="exact"/>
        <w:rPr>
          <w:sz w:val="20"/>
          <w:szCs w:val="20"/>
          <w:color w:val="auto"/>
        </w:rPr>
      </w:pPr>
    </w:p>
    <w:p>
      <w:pPr>
        <w:ind w:left="-8" w:firstLine="8"/>
        <w:spacing w:after="0" w:line="282" w:lineRule="auto"/>
        <w:tabs>
          <w:tab w:leader="none" w:pos="17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but in lieu of such fractional shares the Company shall make a cash payment therefor on the basis of the Exercise Price then in effect.</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2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Stockholder Rights</w:t>
      </w:r>
      <w:r>
        <w:rPr>
          <w:rFonts w:ascii="Times New Roman" w:cs="Times New Roman" w:eastAsia="Times New Roman" w:hAnsi="Times New Roman"/>
          <w:sz w:val="18"/>
          <w:szCs w:val="18"/>
          <w:color w:val="auto"/>
        </w:rPr>
        <w:t>. Prior to exercise of this Warrant, the Holder shall not be entitled to any rights of a stockholder with respect to the Shares, including (without limitation) the right to vote such Shares, receive dividends or other distributions thereon, exercise preemptive rights or be notified of stockholder meetings, and, except as otherwise provided in this Warrant, such Holder shall not be entitled to any stockholder notice or other communication concerning the business or affairs of the Company.</w:t>
      </w:r>
    </w:p>
    <w:p>
      <w:pPr>
        <w:sectPr>
          <w:pgSz w:w="11900" w:h="16838" w:orient="portrait"/>
          <w:cols w:equalWidth="0" w:num="1">
            <w:col w:w="11232"/>
          </w:cols>
          <w:pgMar w:left="328" w:top="1440" w:right="339" w:bottom="1440" w:gutter="0" w:footer="0" w:header="0"/>
        </w:sectPr>
      </w:pPr>
    </w:p>
    <w:bookmarkStart w:id="58" w:name="page59"/>
    <w:bookmarkEnd w:id="58"/>
    <w:p>
      <w:pPr>
        <w:spacing w:after="0" w:line="194" w:lineRule="exact"/>
        <w:rPr>
          <w:sz w:val="20"/>
          <w:szCs w:val="20"/>
          <w:color w:val="auto"/>
        </w:rPr>
      </w:pPr>
    </w:p>
    <w:p>
      <w:pPr>
        <w:ind w:right="20" w:firstLine="8"/>
        <w:spacing w:after="0" w:line="282" w:lineRule="auto"/>
        <w:tabs>
          <w:tab w:leader="none" w:pos="2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Other than in connection with a Change of Control Transaction, this Warrant shall not be transferable by the Company or the Holder without the prior written consent of the other party.</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under the laws of the State of Delaware as applied to agreements among Delaware residents, made and to be performed entirely within the State of Delaware.</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7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provisions of this Warrant and the Partnership Agreement shall inure to the benefit of, and be binding upon, the Company and the holders hereof and their respective successors and assigns.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8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dispute with respect to the Warrant and the terms and conditions hereof (including the achievement of any Tier) shall be determined pursuant to the dispute resolution provisions set forth in [Section 13 of the Partnership Agreement].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Warrant are used for convenience only and are not to be considered in construing or interpreting this Warrant.</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28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hereto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at the following addresses (or at such other addresses as shall be specified by notice given in accordance with this Section 16):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Marqeta,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 Grand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Oakland, CA 94612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Rezwan D. Pavri &amp; Richard C. Blake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Page Mill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1725 3rd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94158</w:t>
      </w:r>
    </w:p>
    <w:p>
      <w:pPr>
        <w:spacing w:after="0" w:line="207" w:lineRule="exact"/>
        <w:rPr>
          <w:sz w:val="20"/>
          <w:szCs w:val="20"/>
          <w:color w:val="auto"/>
        </w:rPr>
      </w:pPr>
    </w:p>
    <w:p>
      <w:pPr>
        <w:jc w:val="both"/>
        <w:ind w:firstLine="8"/>
        <w:spacing w:after="0" w:line="258" w:lineRule="auto"/>
        <w:tabs>
          <w:tab w:leader="none" w:pos="28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Finder’s Fee</w:t>
      </w:r>
      <w:r>
        <w:rPr>
          <w:rFonts w:ascii="Times New Roman" w:cs="Times New Roman" w:eastAsia="Times New Roman" w:hAnsi="Times New Roman"/>
          <w:sz w:val="18"/>
          <w:szCs w:val="18"/>
          <w:color w:val="auto"/>
        </w:rPr>
        <w:t>. Each party represents that it neither is or will be obligated for any finder’s fee or commission in connection with this transaction. The Holder agrees to indemnify and to hold harmless the Company from any liability for any commission or compensation in the nature of a finder’s fee (and the costs and expenses of defending against such liability or asserted liability) for which the Holder or any of its officers, partners, employees or representatives is responsible. The Company agrees to indemnify and hold harmless the Holder from any liability for any commission or compensation in the nature of a finder’s fee (and the costs and expenses of defending against</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liability or asserted liability) for which the Company or any of its officers, employees or representatives is responsible.</w:t>
      </w:r>
    </w:p>
    <w:p>
      <w:pPr>
        <w:spacing w:after="0" w:line="225" w:lineRule="exact"/>
        <w:rPr>
          <w:sz w:val="20"/>
          <w:szCs w:val="20"/>
          <w:color w:val="auto"/>
        </w:rPr>
      </w:pPr>
    </w:p>
    <w:p>
      <w:pPr>
        <w:ind w:firstLine="8"/>
        <w:spacing w:after="0" w:line="282" w:lineRule="auto"/>
        <w:tabs>
          <w:tab w:leader="none" w:pos="2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If any action at law or in equity is necessary to enforce or interpret the terms of this Warrant, the prevailing party shall be entitled to reasonable attorneys’ fees, costs and necessary disbursements in addition to any other relief to which such party may be entitled.</w:t>
      </w:r>
    </w:p>
    <w:p>
      <w:pPr>
        <w:spacing w:after="0" w:line="161" w:lineRule="exact"/>
        <w:rPr>
          <w:rFonts w:ascii="Times New Roman" w:cs="Times New Roman" w:eastAsia="Times New Roman" w:hAnsi="Times New Roman"/>
          <w:sz w:val="18"/>
          <w:szCs w:val="18"/>
          <w:color w:val="auto"/>
        </w:rPr>
      </w:pPr>
    </w:p>
    <w:p>
      <w:pPr>
        <w:jc w:val="both"/>
        <w:ind w:firstLine="8"/>
        <w:spacing w:after="0" w:line="254" w:lineRule="auto"/>
        <w:tabs>
          <w:tab w:leader="none" w:pos="2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Termination, Amendments and Waivers</w:t>
      </w:r>
      <w:r>
        <w:rPr>
          <w:rFonts w:ascii="Times New Roman" w:cs="Times New Roman" w:eastAsia="Times New Roman" w:hAnsi="Times New Roman"/>
          <w:sz w:val="18"/>
          <w:szCs w:val="18"/>
          <w:color w:val="auto"/>
        </w:rPr>
        <w:t>. This Warrant, the Partnership Agreement, and any other documents delivered pursuant hereto constitute the full and entire understanding and agreement between the parties with regard to the subject matter hereof and thereof. Nonetheless, any term of this Warrant may be amended and the observance of any term of this Agreement may be waived (either generally or in a particular instance and either retroactively or prospectively), solely with the written consent of the Company and the Holder. Notwithstanding the foregoing, (i) this Warrant may be terminated by the Company or the Holder by written notice to the other party for Cause (as defined in the Partnership Agreement) and (ii) in the event of a Material Primary Failure (as set forth in the Partnership Agreement), the Company may amend the Earning Schedule set forth on Exhibit A with respect to any then unvested or unearned shares subject to this Warrant, provided that any such amendment (x) does not increase any of the Tier thresholds described in Exhibit A and (y) is subject to the approval of the Holder (which shall not be unreasonably withheld)</w:t>
      </w:r>
    </w:p>
    <w:p>
      <w:pPr>
        <w:spacing w:after="0" w:line="191"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held to be unenforceable under applicable law, such provision shall be excluded from this Warrant and the balance of the Warrant shall be interpreted as if such provision were so excluded and shall be enforceable in accordance with its terms.</w:t>
      </w:r>
    </w:p>
    <w:p>
      <w:pPr>
        <w:sectPr>
          <w:pgSz w:w="11900" w:h="16838" w:orient="portrait"/>
          <w:cols w:equalWidth="0" w:num="1">
            <w:col w:w="11240"/>
          </w:cols>
          <w:pgMar w:left="320" w:top="144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Warrant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MARQETA,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80"/>
        <w:spacing w:after="0"/>
        <w:tabs>
          <w:tab w:leader="none" w:pos="5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Pollak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17145</wp:posOffset>
            </wp:positionV>
            <wp:extent cx="13373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80"/>
        <w:spacing w:after="0"/>
        <w:tabs>
          <w:tab w:leader="none" w:pos="5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Todd Pollak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11912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2899"/>
        <w:spacing w:after="0"/>
        <w:tabs>
          <w:tab w:leader="none" w:pos="1620" w:val="left"/>
        </w:tabs>
        <w:rPr>
          <w:sz w:val="20"/>
          <w:szCs w:val="20"/>
          <w:color w:val="auto"/>
        </w:rPr>
      </w:pPr>
      <w:r>
        <w:rPr>
          <w:rFonts w:ascii="Times New Roman" w:cs="Times New Roman" w:eastAsia="Times New Roman" w:hAnsi="Times New Roman"/>
          <w:sz w:val="18"/>
          <w:szCs w:val="18"/>
          <w:color w:val="auto"/>
        </w:rPr>
        <w:t>Title:</w:t>
        <w:tab/>
        <w:t>Chief Revenue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12515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500"/>
        <w:spacing w:after="0"/>
        <w:tabs>
          <w:tab w:leader="none" w:pos="526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180 Grand Avenue</w:t>
      </w:r>
    </w:p>
    <w:p>
      <w:pPr>
        <w:spacing w:after="0" w:line="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Oakland, CA 94612</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UBER TECHNOLOGIES, INC.</w:t>
      </w:r>
    </w:p>
    <w:p>
      <w:pPr>
        <w:spacing w:after="0" w:line="324"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800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17145</wp:posOffset>
            </wp:positionV>
            <wp:extent cx="24003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771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1725 3rd Street</w:t>
            </w:r>
          </w:p>
        </w:tc>
      </w:tr>
      <w:tr>
        <w:trPr>
          <w:trHeight w:val="40"/>
        </w:trPr>
        <w:tc>
          <w:tcPr>
            <w:tcW w:w="96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237"/>
        </w:trPr>
        <w:tc>
          <w:tcPr>
            <w:tcW w:w="96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Francisco, CA 94158</w:t>
            </w:r>
          </w:p>
        </w:tc>
      </w:tr>
      <w:tr>
        <w:trPr>
          <w:trHeight w:val="40"/>
        </w:trPr>
        <w:tc>
          <w:tcPr>
            <w:tcW w:w="96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bl>
    <w:p>
      <w:pPr>
        <w:sectPr>
          <w:pgSz w:w="11900" w:h="16838" w:orient="portrait"/>
          <w:cols w:equalWidth="0" w:num="1">
            <w:col w:w="10139"/>
          </w:cols>
          <w:pgMar w:left="320" w:top="1417" w:right="1440"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Warrant]</w:t>
      </w:r>
    </w:p>
    <w:p>
      <w:pPr>
        <w:sectPr>
          <w:pgSz w:w="11900" w:h="16838" w:orient="portrait"/>
          <w:cols w:equalWidth="0" w:num="1">
            <w:col w:w="9019"/>
          </w:cols>
          <w:pgMar w:left="1440" w:top="1440" w:right="1440" w:bottom="1440" w:gutter="0" w:footer="0" w:header="0"/>
        </w:sectPr>
      </w:pPr>
    </w:p>
    <w:bookmarkStart w:id="62" w:name="page63"/>
    <w:bookmarkEnd w:id="62"/>
    <w:p>
      <w:pPr>
        <w:ind w:left="4640"/>
        <w:spacing w:after="0"/>
        <w:rPr>
          <w:sz w:val="20"/>
          <w:szCs w:val="20"/>
          <w:color w:val="auto"/>
        </w:rPr>
      </w:pPr>
      <w:r>
        <w:rPr>
          <w:rFonts w:ascii="Times New Roman" w:cs="Times New Roman" w:eastAsia="Times New Roman" w:hAnsi="Times New Roman"/>
          <w:sz w:val="18"/>
          <w:szCs w:val="18"/>
          <w:b w:val="1"/>
          <w:bCs w:val="1"/>
          <w:u w:val="single" w:color="auto"/>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MARQETA,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hereby elects to net exercise the attached Warrant, pursuant to the provisions of the Warrant, with respect to __________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hereby represents and warrants that Representations and Warranties in Section 5 hereof are true and correct as of the date hereof.</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56" w:lineRule="exact"/>
        <w:rPr>
          <w:sz w:val="20"/>
          <w:szCs w:val="20"/>
          <w:color w:val="auto"/>
        </w:rPr>
      </w:pPr>
    </w:p>
    <w:p>
      <w:pPr>
        <w:ind w:left="20"/>
        <w:spacing w:after="0"/>
        <w:tabs>
          <w:tab w:leader="none" w:pos="61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34290</wp:posOffset>
            </wp:positionV>
            <wp:extent cx="23317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360045</wp:posOffset>
            </wp:positionV>
            <wp:extent cx="26231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62318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188595</wp:posOffset>
            </wp:positionV>
            <wp:extent cx="26231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62318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17145</wp:posOffset>
            </wp:positionV>
            <wp:extent cx="26231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in which shares should be registered:</w:t>
      </w:r>
    </w:p>
    <w:p>
      <w:pPr>
        <w:sectPr>
          <w:pgSz w:w="11900" w:h="16838" w:orient="portrait"/>
          <w:cols w:equalWidth="0" w:num="1">
            <w:col w:w="10520"/>
          </w:cols>
          <w:pgMar w:left="320" w:top="1413" w:right="1059" w:bottom="1440" w:gutter="0" w:footer="0" w:header="0"/>
        </w:sectPr>
      </w:pPr>
    </w:p>
    <w:bookmarkStart w:id="63" w:name="page64"/>
    <w:bookmarkEnd w:id="63"/>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ASSIGNMENT FORM</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 not use this form to purchase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5"/>
          <w:szCs w:val="15"/>
          <w:b w:val="1"/>
          <w:bCs w:val="1"/>
          <w:color w:val="auto"/>
        </w:rPr>
        <w:t>OR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5"/>
          <w:szCs w:val="15"/>
          <w:b w:val="1"/>
          <w:bCs w:val="1"/>
          <w:color w:val="auto"/>
        </w:rPr>
        <w:t>ALUE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ECEIVED</w:t>
      </w:r>
      <w:r>
        <w:rPr>
          <w:rFonts w:ascii="Times New Roman" w:cs="Times New Roman" w:eastAsia="Times New Roman" w:hAnsi="Times New Roman"/>
          <w:sz w:val="18"/>
          <w:szCs w:val="18"/>
          <w:color w:val="auto"/>
        </w:rPr>
        <w:t>, the foregoing Warrant and all rights evidenced thereby are hereby assigned 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(Please Print)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(Please Print)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The signature to this Assignment Form must correspond with the name as it appears on the face of the Warrant. Officers of corporations and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in a fiduciary or other representative capacity should provide proper evidence of authority to assign the foregoing Warrant.</w:t>
      </w:r>
    </w:p>
    <w:p>
      <w:pPr>
        <w:sectPr>
          <w:pgSz w:w="11900" w:h="16838" w:orient="portrait"/>
          <w:cols w:equalWidth="0" w:num="1">
            <w:col w:w="11120"/>
          </w:cols>
          <w:pgMar w:left="320" w:top="1413" w:right="45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Transaction Tiers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Shares subject to the Warrant shall be earned incrementally [***] in accordance with the achievement of certain Transaction Tiers according to the criteria as set forth below. Capitalized terms used in this Exhibit and not defined shall have the same meaning given to them in the Partnership Agreement.</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360" w:type="dxa"/>
            <w:vAlign w:val="bottom"/>
            <w:tcBorders>
              <w:top w:val="single" w:sz="8" w:color="auto"/>
              <w:left w:val="single" w:sz="8" w:color="auto"/>
              <w:bottom w:val="single" w:sz="8" w:color="auto"/>
              <w:right w:val="single" w:sz="8" w:color="auto"/>
            </w:tcBorders>
          </w:tcPr>
          <w:p>
            <w:pPr>
              <w:jc w:val="right"/>
              <w:ind w:right="3730"/>
              <w:spacing w:after="0"/>
              <w:rPr>
                <w:sz w:val="20"/>
                <w:szCs w:val="20"/>
                <w:color w:val="auto"/>
              </w:rPr>
            </w:pPr>
            <w:r>
              <w:rPr>
                <w:rFonts w:ascii="Times New Roman" w:cs="Times New Roman" w:eastAsia="Times New Roman" w:hAnsi="Times New Roman"/>
                <w:sz w:val="18"/>
                <w:szCs w:val="18"/>
                <w:b w:val="1"/>
                <w:bCs w:val="1"/>
                <w:color w:val="auto"/>
              </w:rPr>
              <w:t>Criteria*</w:t>
            </w:r>
          </w:p>
        </w:tc>
        <w:tc>
          <w:tcPr>
            <w:tcW w:w="2900" w:type="dxa"/>
            <w:vAlign w:val="bottom"/>
            <w:tcBorders>
              <w:top w:val="single" w:sz="8" w:color="auto"/>
              <w:bottom w:val="single" w:sz="8" w:color="auto"/>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Shares Earned**</w:t>
            </w:r>
          </w:p>
        </w:tc>
      </w:tr>
      <w:tr>
        <w:trPr>
          <w:trHeight w:val="453"/>
        </w:trPr>
        <w:tc>
          <w:tcPr>
            <w:tcW w:w="8360" w:type="dxa"/>
            <w:vAlign w:val="bottom"/>
            <w:tcBorders>
              <w:left w:val="single" w:sz="8" w:color="auto"/>
              <w:right w:val="single" w:sz="8" w:color="auto"/>
            </w:tcBorders>
          </w:tcPr>
          <w:p>
            <w:pPr>
              <w:jc w:val="right"/>
              <w:ind w:right="78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Borders>
              <w:right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color w:val="auto"/>
                <w:w w:val="97"/>
              </w:rPr>
              <w:t>[***]</w:t>
            </w:r>
          </w:p>
        </w:tc>
      </w:tr>
      <w:tr>
        <w:trPr>
          <w:trHeight w:val="27"/>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r>
        <w:trPr>
          <w:trHeight w:val="453"/>
        </w:trPr>
        <w:tc>
          <w:tcPr>
            <w:tcW w:w="8360" w:type="dxa"/>
            <w:vAlign w:val="bottom"/>
            <w:tcBorders>
              <w:left w:val="single" w:sz="8" w:color="auto"/>
              <w:right w:val="single" w:sz="8" w:color="auto"/>
            </w:tcBorders>
          </w:tcPr>
          <w:p>
            <w:pPr>
              <w:jc w:val="right"/>
              <w:ind w:right="78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Borders>
              <w:right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color w:val="auto"/>
                <w:w w:val="97"/>
              </w:rPr>
              <w:t>[***]</w:t>
            </w:r>
          </w:p>
        </w:tc>
      </w:tr>
      <w:tr>
        <w:trPr>
          <w:trHeight w:val="27"/>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r>
        <w:trPr>
          <w:trHeight w:val="453"/>
        </w:trPr>
        <w:tc>
          <w:tcPr>
            <w:tcW w:w="8360" w:type="dxa"/>
            <w:vAlign w:val="bottom"/>
            <w:tcBorders>
              <w:left w:val="single" w:sz="8" w:color="auto"/>
              <w:right w:val="single" w:sz="8" w:color="auto"/>
            </w:tcBorders>
          </w:tcPr>
          <w:p>
            <w:pPr>
              <w:jc w:val="right"/>
              <w:ind w:right="78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Borders>
              <w:right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color w:val="auto"/>
                <w:w w:val="97"/>
              </w:rPr>
              <w:t>[***]</w:t>
            </w:r>
          </w:p>
        </w:tc>
      </w:tr>
      <w:tr>
        <w:trPr>
          <w:trHeight w:val="27"/>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r>
        <w:trPr>
          <w:trHeight w:val="453"/>
        </w:trPr>
        <w:tc>
          <w:tcPr>
            <w:tcW w:w="8360" w:type="dxa"/>
            <w:vAlign w:val="bottom"/>
            <w:tcBorders>
              <w:left w:val="single" w:sz="8" w:color="auto"/>
              <w:right w:val="single" w:sz="8" w:color="auto"/>
            </w:tcBorders>
          </w:tcPr>
          <w:p>
            <w:pPr>
              <w:jc w:val="right"/>
              <w:ind w:right="78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Borders>
              <w:right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color w:val="auto"/>
                <w:w w:val="97"/>
              </w:rPr>
              <w:t>[***]</w:t>
            </w:r>
          </w:p>
        </w:tc>
      </w:tr>
      <w:tr>
        <w:trPr>
          <w:trHeight w:val="27"/>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r>
        <w:trPr>
          <w:trHeight w:val="453"/>
        </w:trPr>
        <w:tc>
          <w:tcPr>
            <w:tcW w:w="8360" w:type="dxa"/>
            <w:vAlign w:val="bottom"/>
            <w:tcBorders>
              <w:left w:val="single" w:sz="8" w:color="auto"/>
              <w:right w:val="single" w:sz="8" w:color="auto"/>
            </w:tcBorders>
          </w:tcPr>
          <w:p>
            <w:pPr>
              <w:jc w:val="right"/>
              <w:ind w:right="78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Borders>
              <w:right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color w:val="auto"/>
                <w:w w:val="97"/>
              </w:rPr>
              <w:t>[***]</w:t>
            </w:r>
          </w:p>
        </w:tc>
      </w:tr>
      <w:tr>
        <w:trPr>
          <w:trHeight w:val="27"/>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Tiers are defined below:</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**Subject to appropriate adjustment for stock splits, dividends, combinations, recapitalizations and the like with respect to the Common Stock.</w:t>
      </w: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Vesting and Exercise Schedule</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140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Date of Exercise</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 Shares</w:t>
            </w:r>
          </w:p>
        </w:tc>
        <w:tc>
          <w:tcPr>
            <w:tcW w:w="1620" w:type="dxa"/>
            <w:vAlign w:val="bottom"/>
            <w:tcBorders>
              <w:top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Shares Exercised</w:t>
            </w:r>
          </w:p>
        </w:tc>
        <w:tc>
          <w:tcPr>
            <w:tcW w:w="18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Issued (Net</w:t>
            </w:r>
          </w:p>
        </w:tc>
        <w:tc>
          <w:tcPr>
            <w:tcW w:w="146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50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Shares Remaining</w:t>
            </w:r>
          </w:p>
        </w:tc>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Remaining</w:t>
            </w: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right w:val="single" w:sz="8" w:color="auto"/>
            </w:tcBorders>
            <w:vMerge w:val="continue"/>
          </w:tcPr>
          <w:p>
            <w:pPr>
              <w:spacing w:after="0"/>
              <w:rPr>
                <w:sz w:val="16"/>
                <w:szCs w:val="16"/>
                <w:color w:val="auto"/>
              </w:rPr>
            </w:pPr>
          </w:p>
        </w:tc>
        <w:tc>
          <w:tcPr>
            <w:tcW w:w="1620" w:type="dxa"/>
            <w:vAlign w:val="bottom"/>
            <w:tcBorders>
              <w:right w:val="single" w:sz="8" w:color="auto"/>
            </w:tcBorders>
            <w:vMerge w:val="continue"/>
          </w:tcPr>
          <w:p>
            <w:pPr>
              <w:spacing w:after="0"/>
              <w:rPr>
                <w:sz w:val="16"/>
                <w:szCs w:val="16"/>
                <w:color w:val="auto"/>
              </w:rPr>
            </w:pPr>
          </w:p>
        </w:tc>
        <w:tc>
          <w:tcPr>
            <w:tcW w:w="1620" w:type="dxa"/>
            <w:vAlign w:val="bottom"/>
            <w:tcBorders>
              <w:right w:val="single" w:sz="8" w:color="auto"/>
            </w:tcBorders>
            <w:vMerge w:val="continue"/>
          </w:tcPr>
          <w:p>
            <w:pPr>
              <w:spacing w:after="0"/>
              <w:rPr>
                <w:sz w:val="16"/>
                <w:szCs w:val="16"/>
                <w:color w:val="auto"/>
              </w:rPr>
            </w:pPr>
          </w:p>
        </w:tc>
        <w:tc>
          <w:tcPr>
            <w:tcW w:w="182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5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Vested</w:t>
            </w:r>
          </w:p>
        </w:tc>
        <w:tc>
          <w:tcPr>
            <w:tcW w:w="1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Vested</w:t>
            </w:r>
          </w:p>
        </w:tc>
        <w:tc>
          <w:tcPr>
            <w:tcW w:w="162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50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Unvested</w:t>
            </w: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vMerge w:val="continue"/>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13" w:right="3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Michael (Mike) Milotich, certify that:</w:t>
      </w:r>
    </w:p>
    <w:p>
      <w:pPr>
        <w:spacing w:after="0" w:line="117"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Marqeta, Inc.;</w:t>
      </w:r>
    </w:p>
    <w:p>
      <w:pPr>
        <w:spacing w:after="0" w:line="117"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20" w:firstLine="8"/>
        <w:spacing w:after="0" w:line="287" w:lineRule="auto"/>
        <w:tabs>
          <w:tab w:leader="none" w:pos="6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09"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29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13"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29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09"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hanging="4"/>
        <w:spacing w:after="0" w:line="287" w:lineRule="auto"/>
        <w:tabs>
          <w:tab w:leader="none" w:pos="129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560" w:val="left"/>
        </w:tabs>
        <w:rPr>
          <w:sz w:val="20"/>
          <w:szCs w:val="20"/>
          <w:color w:val="auto"/>
        </w:rPr>
      </w:pPr>
      <w:r>
        <w:rPr>
          <w:rFonts w:ascii="Arial" w:cs="Arial" w:eastAsia="Arial" w:hAnsi="Arial"/>
          <w:sz w:val="16"/>
          <w:szCs w:val="16"/>
          <w:color w:val="auto"/>
        </w:rPr>
        <w:t>Date: November 3, 2026</w:t>
      </w:r>
      <w:r>
        <w:rPr>
          <w:sz w:val="20"/>
          <w:szCs w:val="20"/>
          <w:color w:val="auto"/>
        </w:rPr>
        <w:tab/>
      </w:r>
      <w:r>
        <w:rPr>
          <w:rFonts w:ascii="Arial" w:cs="Arial" w:eastAsia="Arial" w:hAnsi="Arial"/>
          <w:sz w:val="16"/>
          <w:szCs w:val="16"/>
          <w:color w:val="auto"/>
        </w:rPr>
        <w:t>By: /s/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20955</wp:posOffset>
            </wp:positionV>
            <wp:extent cx="19373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Michael (Mike) Milotich</w:t>
      </w: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3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Patti Kangwankij, certify that:</w:t>
      </w:r>
    </w:p>
    <w:p>
      <w:pPr>
        <w:spacing w:after="0" w:line="117"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Marqeta, Inc.;</w:t>
      </w:r>
    </w:p>
    <w:p>
      <w:pPr>
        <w:spacing w:after="0" w:line="117"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20" w:firstLine="8"/>
        <w:spacing w:after="0" w:line="287" w:lineRule="auto"/>
        <w:tabs>
          <w:tab w:leader="none" w:pos="6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09"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296"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13"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296"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09"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hanging="4"/>
        <w:spacing w:after="0" w:line="287" w:lineRule="auto"/>
        <w:tabs>
          <w:tab w:leader="none" w:pos="1296"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tabs>
          <w:tab w:leader="none" w:pos="6560" w:val="left"/>
        </w:tabs>
        <w:rPr>
          <w:sz w:val="20"/>
          <w:szCs w:val="20"/>
          <w:color w:val="auto"/>
        </w:rPr>
      </w:pPr>
      <w:r>
        <w:rPr>
          <w:rFonts w:ascii="Arial" w:cs="Arial" w:eastAsia="Arial" w:hAnsi="Arial"/>
          <w:sz w:val="16"/>
          <w:szCs w:val="16"/>
          <w:color w:val="auto"/>
        </w:rPr>
        <w:t>Date: November 3, 2026</w:t>
      </w:r>
      <w:r>
        <w:rPr>
          <w:sz w:val="20"/>
          <w:szCs w:val="20"/>
          <w:color w:val="auto"/>
        </w:rPr>
        <w:tab/>
      </w:r>
      <w:r>
        <w:rPr>
          <w:rFonts w:ascii="Arial" w:cs="Arial" w:eastAsia="Arial" w:hAnsi="Arial"/>
          <w:sz w:val="16"/>
          <w:szCs w:val="16"/>
          <w:color w:val="auto"/>
        </w:rPr>
        <w:t xml:space="preserve">By: /s/ </w:t>
      </w:r>
      <w:r>
        <w:rPr>
          <w:rFonts w:ascii="Arial" w:cs="Arial" w:eastAsia="Arial" w:hAnsi="Arial"/>
          <w:sz w:val="17"/>
          <w:szCs w:val="17"/>
          <w:color w:val="auto"/>
        </w:rPr>
        <w:t>Patti Kangwankij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19373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13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Patti Kangwankij</w:t>
      </w: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Chief Financial Officer</w:t>
      </w:r>
    </w:p>
    <w:p>
      <w:pPr>
        <w:spacing w:after="0" w:line="27"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93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Michael (Mike) Milotich, Chief Executive Officer of Marqeta, Inc., certify, pursuant to 18 U.S.C. Section 1350, as adopted pursuant to Section 906 of the Sarbanes-Oxley Act of 2002, that the Quarterly Report on Form 10-Q of Marqeta, Inc. for the quarter ended September 30, 2026 fully complies with the requirements of Section 13(a) or 15(d) of the Securities Exchange Act of 1934 and that the information contained in such Quarterly Report on Form 10-Q fairly presents, in all material respects, the financial condition and results of operations of Marqeta, Inc.</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880" w:type="dxa"/>
            <w:vAlign w:val="bottom"/>
          </w:tcPr>
          <w:p>
            <w:pPr>
              <w:spacing w:after="0"/>
              <w:rPr>
                <w:sz w:val="20"/>
                <w:szCs w:val="20"/>
                <w:color w:val="auto"/>
              </w:rPr>
            </w:pPr>
            <w:r>
              <w:rPr>
                <w:rFonts w:ascii="Arial" w:cs="Arial" w:eastAsia="Arial" w:hAnsi="Arial"/>
                <w:sz w:val="18"/>
                <w:szCs w:val="18"/>
                <w:color w:val="auto"/>
              </w:rPr>
              <w:t>Date: November 3, 2026</w:t>
            </w:r>
          </w:p>
        </w:tc>
        <w:tc>
          <w:tcPr>
            <w:tcW w:w="6340" w:type="dxa"/>
            <w:vAlign w:val="bottom"/>
            <w:gridSpan w:val="2"/>
          </w:tcPr>
          <w:p>
            <w:pPr>
              <w:ind w:left="2940"/>
              <w:spacing w:after="0"/>
              <w:rPr>
                <w:sz w:val="20"/>
                <w:szCs w:val="20"/>
                <w:color w:val="auto"/>
              </w:rPr>
            </w:pPr>
            <w:r>
              <w:rPr>
                <w:rFonts w:ascii="Arial" w:cs="Arial" w:eastAsia="Arial" w:hAnsi="Arial"/>
                <w:sz w:val="18"/>
                <w:szCs w:val="18"/>
                <w:color w:val="auto"/>
              </w:rPr>
              <w:t>By: /s/ Michael (Mike) Milotich</w:t>
            </w:r>
          </w:p>
        </w:tc>
      </w:tr>
      <w:tr>
        <w:trPr>
          <w:trHeight w:val="218"/>
        </w:trPr>
        <w:tc>
          <w:tcPr>
            <w:tcW w:w="4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(Mike) Milotich</w:t>
            </w:r>
          </w:p>
        </w:tc>
      </w:tr>
      <w:tr>
        <w:trPr>
          <w:trHeight w:val="229"/>
        </w:trPr>
        <w:tc>
          <w:tcPr>
            <w:tcW w:w="48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9"/>
        </w:trPr>
        <w:tc>
          <w:tcPr>
            <w:tcW w:w="4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93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 Patti Kangwankij, Chief Financial Officer of Marqeta, Inc., certify, pursuant to 18 U.S.C. Section 1350, as adopted pursuant to Section 906 of the Sarbanes-Oxley Act of 2002, that the Quarterly Report on Form 10-Q of Marqeta, Inc. for the quarter ended September 30, 2026 fully complies with the requirements of Section 13(a) or 15(d) of the Securities Exchange Act of 1934 and that the information contained in such Quarterly Report on Form 10-Q fairly presents, in all material respects, the financial condition and results of operations of Marqeta, Inc.</w:t>
      </w:r>
    </w:p>
    <w:p>
      <w:pPr>
        <w:spacing w:after="0" w:line="217" w:lineRule="exact"/>
        <w:rPr>
          <w:sz w:val="20"/>
          <w:szCs w:val="20"/>
          <w:color w:val="auto"/>
        </w:rPr>
      </w:pPr>
    </w:p>
    <w:p>
      <w:pPr>
        <w:ind w:left="20"/>
        <w:spacing w:after="0"/>
        <w:tabs>
          <w:tab w:leader="none" w:pos="7820" w:val="left"/>
        </w:tabs>
        <w:rPr>
          <w:sz w:val="20"/>
          <w:szCs w:val="20"/>
          <w:color w:val="auto"/>
        </w:rPr>
      </w:pPr>
      <w:r>
        <w:rPr>
          <w:rFonts w:ascii="Arial" w:cs="Arial" w:eastAsia="Arial" w:hAnsi="Arial"/>
          <w:sz w:val="18"/>
          <w:szCs w:val="18"/>
          <w:color w:val="auto"/>
        </w:rPr>
        <w:t>Date: November 3, 2026</w:t>
      </w:r>
      <w:r>
        <w:rPr>
          <w:sz w:val="20"/>
          <w:szCs w:val="20"/>
          <w:color w:val="auto"/>
        </w:rPr>
        <w:tab/>
      </w:r>
      <w:r>
        <w:rPr>
          <w:rFonts w:ascii="Arial" w:cs="Arial" w:eastAsia="Arial" w:hAnsi="Arial"/>
          <w:sz w:val="17"/>
          <w:szCs w:val="17"/>
          <w:color w:val="auto"/>
        </w:rPr>
        <w:t>By: /s/ Patti Kangwankij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17780</wp:posOffset>
            </wp:positionV>
            <wp:extent cx="19888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24"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Patti Kangwankij</w:t>
      </w:r>
    </w:p>
    <w:p>
      <w:pPr>
        <w:spacing w:after="0" w:line="32"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2"/>
    </w:lvl>
  </w:abstractNum>
  <w:abstractNum w:abstractNumId="7">
    <w:nsid w:val="440BADFC"/>
    <w:multiLevelType w:val="hybridMultilevel"/>
    <w:lvl w:ilvl="0">
      <w:lvlJc w:val="left"/>
      <w:lvlText w:val="%1."/>
      <w:numFmt w:val="decimal"/>
      <w:start w:val="3"/>
    </w:lvl>
  </w:abstractNum>
  <w:abstractNum w:abstractNumId="8">
    <w:nsid w:val="5072367"/>
    <w:multiLevelType w:val="hybridMultilevel"/>
    <w:lvl w:ilvl="0">
      <w:lvlJc w:val="left"/>
      <w:lvlText w:val="%1."/>
      <w:numFmt w:val="decimal"/>
      <w:start w:val="4"/>
    </w:lvl>
  </w:abstractNum>
  <w:abstractNum w:abstractNumId="9">
    <w:nsid w:val="3804823E"/>
    <w:multiLevelType w:val="hybridMultilevel"/>
    <w:lvl w:ilvl="0">
      <w:lvlJc w:val="left"/>
      <w:lvlText w:val="%1."/>
      <w:numFmt w:val="decimal"/>
      <w:start w:val="5"/>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6"/>
    </w:lvl>
  </w:abstractNum>
  <w:abstractNum w:abstractNumId="12">
    <w:nsid w:val="5C482A97"/>
    <w:multiLevelType w:val="hybridMultilevel"/>
    <w:lvl w:ilvl="0">
      <w:lvlJc w:val="left"/>
      <w:lvlText w:val="%1."/>
      <w:numFmt w:val="decimal"/>
      <w:start w:val="7"/>
    </w:lvl>
  </w:abstractNum>
  <w:abstractNum w:abstractNumId="13">
    <w:nsid w:val="2463B9EA"/>
    <w:multiLevelType w:val="hybridMultilevel"/>
    <w:lvl w:ilvl="0">
      <w:lvlJc w:val="left"/>
      <w:lvlText w:val="%1."/>
      <w:numFmt w:val="decimal"/>
      <w:start w:val="9"/>
    </w:lvl>
  </w:abstractNum>
  <w:abstractNum w:abstractNumId="14">
    <w:nsid w:val="5E884ADC"/>
    <w:multiLevelType w:val="hybridMultilevel"/>
    <w:lvl w:ilvl="0">
      <w:lvlJc w:val="left"/>
      <w:lvlText w:val="%1."/>
      <w:numFmt w:val="decimal"/>
      <w:start w:val="10"/>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11"/>
    </w:lvl>
  </w:abstractNum>
  <w:abstractNum w:abstractNumId="17">
    <w:nsid w:val="580BD78F"/>
    <w:multiLevelType w:val="hybridMultilevel"/>
    <w:lvl w:ilvl="0">
      <w:lvlJc w:val="left"/>
      <w:lvlText w:val="%1."/>
      <w:numFmt w:val="decimal"/>
      <w:start w:val="12"/>
    </w:lvl>
  </w:abstractNum>
  <w:abstractNum w:abstractNumId="18">
    <w:nsid w:val="153EA438"/>
    <w:multiLevelType w:val="hybridMultilevel"/>
    <w:lvl w:ilvl="0">
      <w:lvlJc w:val="left"/>
      <w:lvlText w:val="%1."/>
      <w:numFmt w:val="decimal"/>
      <w:start w:val="13"/>
    </w:lvl>
  </w:abstractNum>
  <w:abstractNum w:abstractNumId="19">
    <w:nsid w:val="3855585C"/>
    <w:multiLevelType w:val="hybridMultilevel"/>
    <w:lvl w:ilvl="0">
      <w:lvlJc w:val="left"/>
      <w:lvlText w:val="%1."/>
      <w:numFmt w:val="decimal"/>
      <w:start w:val="14"/>
    </w:lvl>
  </w:abstractNum>
  <w:abstractNum w:abstractNumId="20">
    <w:nsid w:val="70A64E2A"/>
    <w:multiLevelType w:val="hybridMultilevel"/>
    <w:lvl w:ilvl="0">
      <w:lvlJc w:val="left"/>
      <w:lvlText w:val="%1."/>
      <w:numFmt w:val="decimal"/>
      <w:start w:val="15"/>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2"/>
    </w:lvl>
  </w:abstractNum>
  <w:abstractNum w:abstractNumId="27">
    <w:nsid w:val="7A6D8D3C"/>
    <w:multiLevelType w:val="hybridMultilevel"/>
    <w:lvl w:ilvl="0">
      <w:lvlJc w:val="left"/>
      <w:lvlText w:val="(%1)"/>
      <w:numFmt w:val="lowerLetter"/>
      <w:start w:val="3"/>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lowerLetter"/>
      <w:start w:val="1"/>
    </w:lvl>
  </w:abstractNum>
  <w:abstractNum w:abstractNumId="33">
    <w:nsid w:val="32FFF902"/>
    <w:multiLevelType w:val="hybridMultilevel"/>
    <w:lvl w:ilvl="0">
      <w:lvlJc w:val="left"/>
      <w:lvlText w:val="(%1)"/>
      <w:numFmt w:val="lowerLetter"/>
      <w:start w:val="5"/>
    </w:lvl>
  </w:abstractNum>
  <w:abstractNum w:abstractNumId="34">
    <w:nsid w:val="684A481A"/>
    <w:multiLevelType w:val="hybridMultilevel"/>
    <w:lvl w:ilvl="0">
      <w:lvlJc w:val="left"/>
      <w:lvlText w:val="%1."/>
      <w:numFmt w:val="decimal"/>
      <w:start w:val="2"/>
    </w:lvl>
  </w:abstractNum>
  <w:abstractNum w:abstractNumId="35">
    <w:nsid w:val="579478FE"/>
    <w:multiLevelType w:val="hybridMultilevel"/>
    <w:lvl w:ilvl="0">
      <w:lvlJc w:val="left"/>
      <w:lvlText w:val="(%1)"/>
      <w:numFmt w:val="lowerRoman"/>
      <w:start w:val="1"/>
    </w:lvl>
  </w:abstractNum>
  <w:abstractNum w:abstractNumId="36">
    <w:nsid w:val="749ABB43"/>
    <w:multiLevelType w:val="hybridMultilevel"/>
    <w:lvl w:ilvl="0">
      <w:lvlJc w:val="left"/>
      <w:lvlText w:val="(%1)"/>
      <w:numFmt w:val="lowerLetter"/>
      <w:start w:val="3"/>
    </w:lvl>
  </w:abstractNum>
  <w:abstractNum w:abstractNumId="37">
    <w:nsid w:val="3DC240FB"/>
    <w:multiLevelType w:val="hybridMultilevel"/>
    <w:lvl w:ilvl="0">
      <w:lvlJc w:val="left"/>
      <w:lvlText w:val="%1."/>
      <w:numFmt w:val="decimal"/>
      <w:start w:val="3"/>
    </w:lvl>
  </w:abstractNum>
  <w:abstractNum w:abstractNumId="38">
    <w:nsid w:val="1BA026FA"/>
    <w:multiLevelType w:val="hybridMultilevel"/>
    <w:lvl w:ilvl="0">
      <w:lvlJc w:val="left"/>
      <w:lvlText w:val="(%1)"/>
      <w:numFmt w:val="lowerLetter"/>
      <w:start w:val="1"/>
    </w:lvl>
  </w:abstractNum>
  <w:abstractNum w:abstractNumId="39">
    <w:nsid w:val="79A1DEAA"/>
    <w:multiLevelType w:val="hybridMultilevel"/>
    <w:lvl w:ilvl="0">
      <w:lvlJc w:val="left"/>
      <w:lvlText w:val="(%1)"/>
      <w:numFmt w:val="lowerRoman"/>
      <w:start w:val="1"/>
    </w:lvl>
  </w:abstractNum>
  <w:abstractNum w:abstractNumId="40">
    <w:nsid w:val="75C6C33A"/>
    <w:multiLevelType w:val="hybridMultilevel"/>
    <w:lvl w:ilvl="0">
      <w:lvlJc w:val="left"/>
      <w:lvlText w:val="(%1)"/>
      <w:numFmt w:val="lowerRoman"/>
      <w:start w:val="2"/>
    </w:lvl>
  </w:abstractNum>
  <w:abstractNum w:abstractNumId="41">
    <w:nsid w:val="12E685FB"/>
    <w:multiLevelType w:val="hybridMultilevel"/>
    <w:lvl w:ilvl="0">
      <w:lvlJc w:val="left"/>
      <w:lvlText w:val="X"/>
      <w:numFmt w:val="bullet"/>
      <w:start w:val="1"/>
    </w:lvl>
  </w:abstractNum>
  <w:abstractNum w:abstractNumId="42">
    <w:nsid w:val="70C6A529"/>
    <w:multiLevelType w:val="hybridMultilevel"/>
    <w:lvl w:ilvl="0">
      <w:lvlJc w:val="left"/>
      <w:lvlText w:val="(%1)"/>
      <w:numFmt w:val="lowerLetter"/>
      <w:start w:val="2"/>
    </w:lvl>
  </w:abstractNum>
  <w:abstractNum w:abstractNumId="43">
    <w:nsid w:val="520EEDD1"/>
    <w:multiLevelType w:val="hybridMultilevel"/>
    <w:lvl w:ilvl="0">
      <w:lvlJc w:val="left"/>
      <w:lvlText w:val="(%1)"/>
      <w:numFmt w:val="lowerRoman"/>
      <w:start w:val="1"/>
    </w:lvl>
  </w:abstractNum>
  <w:abstractNum w:abstractNumId="44">
    <w:nsid w:val="374A3FE6"/>
    <w:multiLevelType w:val="hybridMultilevel"/>
    <w:lvl w:ilvl="0">
      <w:lvlJc w:val="left"/>
      <w:lvlText w:val="(%1)"/>
      <w:numFmt w:val="lowerLetter"/>
      <w:start w:val="4"/>
    </w:lvl>
  </w:abstractNum>
  <w:abstractNum w:abstractNumId="45">
    <w:nsid w:val="4F4EF005"/>
    <w:multiLevelType w:val="hybridMultilevel"/>
    <w:lvl w:ilvl="0">
      <w:lvlJc w:val="left"/>
      <w:lvlText w:val="%1."/>
      <w:numFmt w:val="decimal"/>
      <w:start w:val="4"/>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lowerLetter"/>
      <w:start w:val="2"/>
    </w:lvl>
  </w:abstractNum>
  <w:abstractNum w:abstractNumId="48">
    <w:nsid w:val="275AC794"/>
    <w:multiLevelType w:val="hybridMultilevel"/>
    <w:lvl w:ilvl="0">
      <w:lvlJc w:val="left"/>
      <w:lvlText w:val="%1."/>
      <w:numFmt w:val="decimal"/>
      <w:start w:val="5"/>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1)"/>
      <w:numFmt w:val="lowerLetter"/>
      <w:start w:val="6"/>
    </w:lvl>
  </w:abstractNum>
  <w:abstractNum w:abstractNumId="51">
    <w:nsid w:val="180115BE"/>
    <w:multiLevelType w:val="hybridMultilevel"/>
    <w:lvl w:ilvl="0">
      <w:lvlJc w:val="left"/>
      <w:lvlText w:val="(%1)"/>
      <w:numFmt w:val="lowerRoman"/>
      <w:start w:val="1"/>
    </w:lvl>
  </w:abstractNum>
  <w:abstractNum w:abstractNumId="52">
    <w:nsid w:val="235BA861"/>
    <w:multiLevelType w:val="hybridMultilevel"/>
    <w:lvl w:ilvl="0">
      <w:lvlJc w:val="left"/>
      <w:lvlText w:val="%1."/>
      <w:numFmt w:val="decimal"/>
      <w:start w:val="6"/>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lowerLetter"/>
      <w:start w:val="2"/>
    </w:lvl>
  </w:abstractNum>
  <w:abstractNum w:abstractNumId="55">
    <w:nsid w:val="15B5AF5C"/>
    <w:multiLevelType w:val="hybridMultilevel"/>
    <w:lvl w:ilvl="0">
      <w:lvlJc w:val="left"/>
      <w:lvlText w:val="%1."/>
      <w:numFmt w:val="decimal"/>
      <w:start w:val="8"/>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9"/>
    </w:lvl>
  </w:abstractNum>
  <w:abstractNum w:abstractNumId="58">
    <w:nsid w:val="10233C99"/>
    <w:multiLevelType w:val="hybridMultilevel"/>
    <w:lvl w:ilvl="0">
      <w:lvlJc w:val="left"/>
      <w:lvlText w:val="%1."/>
      <w:numFmt w:val="decimal"/>
      <w:start w:val="11"/>
    </w:lvl>
  </w:abstractNum>
  <w:abstractNum w:abstractNumId="59">
    <w:nsid w:val="3F6AB60F"/>
    <w:multiLevelType w:val="hybridMultilevel"/>
    <w:lvl w:ilvl="0">
      <w:lvlJc w:val="left"/>
      <w:lvlText w:val="%1."/>
      <w:numFmt w:val="decimal"/>
      <w:start w:val="17"/>
    </w:lvl>
  </w:abstractNum>
  <w:abstractNum w:abstractNumId="60">
    <w:nsid w:val="61574095"/>
    <w:multiLevelType w:val="hybridMultilevel"/>
    <w:lvl w:ilvl="0">
      <w:lvlJc w:val="left"/>
      <w:lvlText w:val="%1."/>
      <w:numFmt w:val="decimal"/>
      <w:start w:val="18"/>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30" Type="http://schemas.openxmlformats.org/officeDocument/2006/relationships/hyperlink" Target="https://www.sec.gov/ix?doc=/Archives/edgar/data/0001522540/000152254026000017/mq-20251231.htm#fact-identifier-6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2026-11-03T16:21:24Z</dcterms:created>
  <dcterms:modified xsi:type="dcterms:W3CDTF">2026-11-03T16:21:24Z</dcterms:modified>
</cp:coreProperties>
</file>