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Marqeta,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Jason Gardner</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609,631.00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9,396,980.00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609,631.00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9,396,980.00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11,999,943.00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Marqeta,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 Grand Avenue, 6th Floor, Oakland, CA 94612</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Jason Gardner, c/o Marqeta, Inc., 180 Grand Avenue, 6th Flr., Oakland, CA 94612. Jason Gardner is a resident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This Statement is filed by Jason Gardner, c/o Marqeta, Inc., 180 Grand Avenue, 6th Flr., Oakland, CA 94612. Jason Gardner is a resident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This Statement is filed by Jason Gardner, c/o Marqeta, Inc., 180 Grand Avenue, 6th Flr., Oakland, CA 94612. Jason Gardner is a resident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shares beneficially owned and percentage of beneficial ownership reported herein reflect the effect of the 1-for-4 reverse stock split that became effective on June 30, 2026 and include: 11,999,943 shares which includes (i) 3,556,343 shares of Class A Common Stock and 4,856,369 shares of Class B Common Stock held by the Gardner 2008 Living Trust dated March 22, 2008 for which Mr. Gardner serves as co-trustee, and exercises voting and investment control, (ii) 492,134 shares of Class B Common Stock held by the Jason Gardner 2025 GRAT dated May 14, 2025 for which Mr. Gardner is trustee, (iii) 492,134 shares of Class B Common Stock held by the Jocelyne Gardner 2025 GRAT dated May 14, 2025 for which Mr. Gardner's spouse is trustee and (iv) 609,631 shares of Class B Common Stock subject to outstanding options exercisable within 60 days of June 30, 2026. Also includes 73,332 shares of Class A Common Stock and 1,920,000 shares of Class B Common Stock held by trusts for the benefit of Mr. Gardner's children, for which shares Mr. Gardner disclaims beneficial ownership and exercises no voting or investment control. These shares of Class B Common Stock are being included for completeness.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11.51% (percentage ownership is calculated based on 95,915,584 shares of Class A Common Stock outstanding as of June 30, 2026, assuming that only the shares of Class B Common Stock held by Mr. Gardner were converted into Class A Common Stock and assumes that the 609,631 shares of common stock underlying the stock options are deemed outstanding pursuant to SEC Rule 13d-3(d)(1)(i)). In the event that all outstanding shares of Class B Common Stock were converted into shares of Class A Common Stock, the percentage ownership reported in row 11 above would be 11.46%.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609,631 shares (See item 4(a)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9,396,980 shares (See item 4(a)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609,631 shares (See item 4(a)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9,396,980 shares (See item 4(a)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Jason Gardner</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Jason Gardner</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Jason Gardner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1018</Words>
  <Characters>5235</Characters>
  <CharactersWithSpaces>6245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