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As filed with the Securities and Exchange Commission on June 1, 2021.</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333-256154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83185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Marqeta, Inc.</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4"/>
          <w:szCs w:val="24"/>
          <w:color w:val="auto"/>
        </w:rPr>
      </w:pPr>
    </w:p>
    <w:tbl>
      <w:tblPr>
        <w:tblLayout w:type="fixed"/>
        <w:tblInd w:w="900" w:type="dxa"/>
        <w:tblCellMar>
          <w:top w:w="0" w:type="dxa"/>
          <w:left w:w="0" w:type="dxa"/>
          <w:bottom w:w="0" w:type="dxa"/>
          <w:right w:w="0" w:type="dxa"/>
        </w:tblCellMar>
      </w:tblPr>
      <w:tr>
        <w:trPr>
          <w:trHeight w:val="203"/>
        </w:trPr>
        <w:tc>
          <w:tcPr>
            <w:tcW w:w="2260" w:type="dxa"/>
            <w:vAlign w:val="bottom"/>
          </w:tcPr>
          <w:p>
            <w:pPr>
              <w:jc w:val="center"/>
              <w:ind w:right="8"/>
              <w:spacing w:after="0"/>
              <w:rPr>
                <w:sz w:val="20"/>
                <w:szCs w:val="20"/>
                <w:color w:val="auto"/>
              </w:rPr>
            </w:pPr>
            <w:r>
              <w:rPr>
                <w:rFonts w:ascii="Arial" w:cs="Arial" w:eastAsia="Arial" w:hAnsi="Arial"/>
                <w:sz w:val="16"/>
                <w:szCs w:val="16"/>
                <w:b w:val="1"/>
                <w:bCs w:val="1"/>
                <w:color w:val="auto"/>
                <w:w w:val="93"/>
              </w:rPr>
              <w:t>Delaware</w:t>
            </w:r>
          </w:p>
        </w:tc>
        <w:tc>
          <w:tcPr>
            <w:tcW w:w="3620" w:type="dxa"/>
            <w:vAlign w:val="bottom"/>
            <w:gridSpan w:val="2"/>
          </w:tcPr>
          <w:p>
            <w:pPr>
              <w:jc w:val="right"/>
              <w:ind w:right="805"/>
              <w:spacing w:after="0"/>
              <w:rPr>
                <w:sz w:val="20"/>
                <w:szCs w:val="20"/>
                <w:color w:val="auto"/>
              </w:rPr>
            </w:pPr>
            <w:r>
              <w:rPr>
                <w:rFonts w:ascii="Arial" w:cs="Arial" w:eastAsia="Arial" w:hAnsi="Arial"/>
                <w:sz w:val="16"/>
                <w:szCs w:val="16"/>
                <w:b w:val="1"/>
                <w:bCs w:val="1"/>
                <w:color w:val="auto"/>
              </w:rPr>
              <w:t>7372</w:t>
            </w:r>
          </w:p>
        </w:tc>
        <w:tc>
          <w:tcPr>
            <w:tcW w:w="1360" w:type="dxa"/>
            <w:vAlign w:val="bottom"/>
          </w:tcPr>
          <w:p>
            <w:pPr>
              <w:spacing w:after="0"/>
              <w:rPr>
                <w:sz w:val="17"/>
                <w:szCs w:val="17"/>
                <w:color w:val="auto"/>
              </w:rPr>
            </w:pPr>
          </w:p>
        </w:tc>
        <w:tc>
          <w:tcPr>
            <w:tcW w:w="2320" w:type="dxa"/>
            <w:vAlign w:val="bottom"/>
          </w:tcPr>
          <w:p>
            <w:pPr>
              <w:jc w:val="right"/>
              <w:ind w:right="628"/>
              <w:spacing w:after="0"/>
              <w:rPr>
                <w:sz w:val="20"/>
                <w:szCs w:val="20"/>
                <w:color w:val="auto"/>
              </w:rPr>
            </w:pPr>
            <w:r>
              <w:rPr>
                <w:rFonts w:ascii="Arial" w:cs="Arial" w:eastAsia="Arial" w:hAnsi="Arial"/>
                <w:sz w:val="16"/>
                <w:szCs w:val="16"/>
                <w:b w:val="1"/>
                <w:bCs w:val="1"/>
                <w:color w:val="auto"/>
              </w:rPr>
              <w:t>27-4306690</w:t>
            </w:r>
          </w:p>
        </w:tc>
      </w:tr>
      <w:tr>
        <w:trPr>
          <w:trHeight w:val="203"/>
        </w:trPr>
        <w:tc>
          <w:tcPr>
            <w:tcW w:w="2260" w:type="dxa"/>
            <w:vAlign w:val="bottom"/>
          </w:tcPr>
          <w:p>
            <w:pPr>
              <w:jc w:val="center"/>
              <w:ind w:right="8"/>
              <w:spacing w:after="0"/>
              <w:rPr>
                <w:sz w:val="20"/>
                <w:szCs w:val="20"/>
                <w:color w:val="auto"/>
              </w:rPr>
            </w:pPr>
            <w:r>
              <w:rPr>
                <w:rFonts w:ascii="Arial" w:cs="Arial" w:eastAsia="Arial" w:hAnsi="Arial"/>
                <w:sz w:val="16"/>
                <w:szCs w:val="16"/>
                <w:b w:val="1"/>
                <w:bCs w:val="1"/>
                <w:color w:val="auto"/>
                <w:w w:val="92"/>
              </w:rPr>
              <w:t>(State or Other Jurisdiction of</w:t>
            </w:r>
          </w:p>
        </w:tc>
        <w:tc>
          <w:tcPr>
            <w:tcW w:w="1300" w:type="dxa"/>
            <w:vAlign w:val="bottom"/>
          </w:tcPr>
          <w:p>
            <w:pPr>
              <w:spacing w:after="0"/>
              <w:rPr>
                <w:sz w:val="17"/>
                <w:szCs w:val="17"/>
                <w:color w:val="auto"/>
              </w:rPr>
            </w:pPr>
          </w:p>
        </w:tc>
        <w:tc>
          <w:tcPr>
            <w:tcW w:w="368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95"/>
              </w:rPr>
              <w:t>(Primary Standard Industrial</w:t>
            </w:r>
          </w:p>
        </w:tc>
        <w:tc>
          <w:tcPr>
            <w:tcW w:w="2320" w:type="dxa"/>
            <w:vAlign w:val="bottom"/>
          </w:tcPr>
          <w:p>
            <w:pPr>
              <w:jc w:val="center"/>
              <w:ind w:left="68"/>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2260" w:type="dxa"/>
            <w:vAlign w:val="bottom"/>
          </w:tcPr>
          <w:p>
            <w:pPr>
              <w:jc w:val="center"/>
              <w:ind w:right="8"/>
              <w:spacing w:after="0"/>
              <w:rPr>
                <w:sz w:val="20"/>
                <w:szCs w:val="20"/>
                <w:color w:val="auto"/>
              </w:rPr>
            </w:pPr>
            <w:r>
              <w:rPr>
                <w:rFonts w:ascii="Arial" w:cs="Arial" w:eastAsia="Arial" w:hAnsi="Arial"/>
                <w:sz w:val="16"/>
                <w:szCs w:val="16"/>
                <w:b w:val="1"/>
                <w:bCs w:val="1"/>
                <w:color w:val="auto"/>
                <w:w w:val="94"/>
              </w:rPr>
              <w:t>Incorporation or Organization)</w:t>
            </w:r>
          </w:p>
        </w:tc>
        <w:tc>
          <w:tcPr>
            <w:tcW w:w="1300" w:type="dxa"/>
            <w:vAlign w:val="bottom"/>
          </w:tcPr>
          <w:p>
            <w:pPr>
              <w:spacing w:after="0"/>
              <w:rPr>
                <w:sz w:val="18"/>
                <w:szCs w:val="18"/>
                <w:color w:val="auto"/>
              </w:rPr>
            </w:pPr>
          </w:p>
        </w:tc>
        <w:tc>
          <w:tcPr>
            <w:tcW w:w="368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w w:val="91"/>
              </w:rPr>
              <w:t>Classification Code Number)</w:t>
            </w:r>
          </w:p>
        </w:tc>
        <w:tc>
          <w:tcPr>
            <w:tcW w:w="2320" w:type="dxa"/>
            <w:vAlign w:val="bottom"/>
          </w:tcPr>
          <w:p>
            <w:pPr>
              <w:jc w:val="center"/>
              <w:ind w:left="68"/>
              <w:spacing w:after="0"/>
              <w:rPr>
                <w:sz w:val="20"/>
                <w:szCs w:val="20"/>
                <w:color w:val="auto"/>
              </w:rPr>
            </w:pPr>
            <w:r>
              <w:rPr>
                <w:rFonts w:ascii="Arial" w:cs="Arial" w:eastAsia="Arial" w:hAnsi="Arial"/>
                <w:sz w:val="16"/>
                <w:szCs w:val="16"/>
                <w:b w:val="1"/>
                <w:bCs w:val="1"/>
                <w:color w:val="auto"/>
                <w:w w:val="95"/>
              </w:rPr>
              <w:t>Identification Number)</w:t>
            </w:r>
          </w:p>
        </w:tc>
      </w:tr>
      <w:tr>
        <w:trPr>
          <w:trHeight w:val="259"/>
        </w:trPr>
        <w:tc>
          <w:tcPr>
            <w:tcW w:w="2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680" w:type="dxa"/>
            <w:vAlign w:val="bottom"/>
            <w:gridSpan w:val="2"/>
          </w:tcPr>
          <w:p>
            <w:pPr>
              <w:jc w:val="center"/>
              <w:ind w:right="1340"/>
              <w:spacing w:after="0"/>
              <w:rPr>
                <w:sz w:val="20"/>
                <w:szCs w:val="20"/>
                <w:color w:val="auto"/>
              </w:rPr>
            </w:pPr>
            <w:r>
              <w:rPr>
                <w:rFonts w:ascii="Arial" w:cs="Arial" w:eastAsia="Arial" w:hAnsi="Arial"/>
                <w:sz w:val="16"/>
                <w:szCs w:val="16"/>
                <w:b w:val="1"/>
                <w:bCs w:val="1"/>
                <w:color w:val="auto"/>
                <w:w w:val="92"/>
              </w:rPr>
              <w:t>180 Grand Avenue</w:t>
            </w:r>
          </w:p>
        </w:tc>
        <w:tc>
          <w:tcPr>
            <w:tcW w:w="2320" w:type="dxa"/>
            <w:vAlign w:val="bottom"/>
          </w:tcPr>
          <w:p>
            <w:pPr>
              <w:spacing w:after="0"/>
              <w:rPr>
                <w:sz w:val="22"/>
                <w:szCs w:val="22"/>
                <w:color w:val="auto"/>
              </w:rPr>
            </w:pPr>
          </w:p>
        </w:tc>
      </w:tr>
      <w:tr>
        <w:trPr>
          <w:trHeight w:val="206"/>
        </w:trPr>
        <w:tc>
          <w:tcPr>
            <w:tcW w:w="2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80" w:type="dxa"/>
            <w:vAlign w:val="bottom"/>
            <w:gridSpan w:val="2"/>
          </w:tcPr>
          <w:p>
            <w:pPr>
              <w:jc w:val="center"/>
              <w:ind w:right="1340"/>
              <w:spacing w:after="0" w:line="205" w:lineRule="exact"/>
              <w:rPr>
                <w:sz w:val="20"/>
                <w:szCs w:val="20"/>
                <w:color w:val="auto"/>
              </w:rPr>
            </w:pPr>
            <w:r>
              <w:rPr>
                <w:rFonts w:ascii="Arial" w:cs="Arial" w:eastAsia="Arial" w:hAnsi="Arial"/>
                <w:sz w:val="14"/>
                <w:szCs w:val="14"/>
                <w:b w:val="1"/>
                <w:bCs w:val="1"/>
                <w:color w:val="auto"/>
              </w:rPr>
              <w:t>6</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 xml:space="preserve"> Floor</w:t>
            </w:r>
          </w:p>
        </w:tc>
        <w:tc>
          <w:tcPr>
            <w:tcW w:w="232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8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4"/>
              </w:rPr>
              <w:t>Oakland, CA 94612</w:t>
            </w:r>
          </w:p>
        </w:tc>
        <w:tc>
          <w:tcPr>
            <w:tcW w:w="232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3620" w:type="dxa"/>
            <w:vAlign w:val="bottom"/>
            <w:gridSpan w:val="2"/>
          </w:tcPr>
          <w:p>
            <w:pPr>
              <w:jc w:val="center"/>
              <w:ind w:left="1241"/>
              <w:spacing w:after="0"/>
              <w:rPr>
                <w:sz w:val="20"/>
                <w:szCs w:val="20"/>
                <w:color w:val="auto"/>
              </w:rPr>
            </w:pPr>
            <w:r>
              <w:rPr>
                <w:rFonts w:ascii="Arial" w:cs="Arial" w:eastAsia="Arial" w:hAnsi="Arial"/>
                <w:sz w:val="16"/>
                <w:szCs w:val="16"/>
                <w:b w:val="1"/>
                <w:bCs w:val="1"/>
                <w:color w:val="auto"/>
                <w:w w:val="93"/>
              </w:rPr>
              <w:t>(888) 462-7738</w:t>
            </w:r>
          </w:p>
        </w:tc>
        <w:tc>
          <w:tcPr>
            <w:tcW w:w="13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49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(Address, Including Zip Code, and Telephone Number, Including</w:t>
            </w:r>
          </w:p>
        </w:tc>
        <w:tc>
          <w:tcPr>
            <w:tcW w:w="232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49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Area Code, of Registrant’s Principal Executive Offices)</w:t>
            </w:r>
          </w:p>
        </w:tc>
        <w:tc>
          <w:tcPr>
            <w:tcW w:w="2320" w:type="dxa"/>
            <w:vAlign w:val="bottom"/>
          </w:tcPr>
          <w:p>
            <w:pPr>
              <w:spacing w:after="0"/>
              <w:rPr>
                <w:sz w:val="18"/>
                <w:szCs w:val="18"/>
                <w:color w:val="auto"/>
              </w:rPr>
            </w:pPr>
          </w:p>
        </w:tc>
      </w:tr>
      <w:tr>
        <w:trPr>
          <w:trHeight w:val="141"/>
        </w:trPr>
        <w:tc>
          <w:tcPr>
            <w:tcW w:w="2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236"/>
        </w:trPr>
        <w:tc>
          <w:tcPr>
            <w:tcW w:w="2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8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2"/>
              </w:rPr>
              <w:t>Jason Gardner</w:t>
            </w:r>
          </w:p>
        </w:tc>
        <w:tc>
          <w:tcPr>
            <w:tcW w:w="232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8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1"/>
              </w:rPr>
              <w:t>Founder, Chief Executive Officer</w:t>
            </w:r>
          </w:p>
        </w:tc>
        <w:tc>
          <w:tcPr>
            <w:tcW w:w="232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80" w:type="dxa"/>
            <w:vAlign w:val="bottom"/>
            <w:gridSpan w:val="2"/>
          </w:tcPr>
          <w:p>
            <w:pPr>
              <w:jc w:val="center"/>
              <w:ind w:right="1340"/>
              <w:spacing w:after="0"/>
              <w:rPr>
                <w:sz w:val="20"/>
                <w:szCs w:val="20"/>
                <w:color w:val="auto"/>
              </w:rPr>
            </w:pPr>
            <w:r>
              <w:rPr>
                <w:rFonts w:ascii="Arial" w:cs="Arial" w:eastAsia="Arial" w:hAnsi="Arial"/>
                <w:sz w:val="16"/>
                <w:szCs w:val="16"/>
                <w:b w:val="1"/>
                <w:bCs w:val="1"/>
                <w:color w:val="auto"/>
                <w:w w:val="96"/>
              </w:rPr>
              <w:t>Marqeta, Inc.</w:t>
            </w:r>
          </w:p>
        </w:tc>
        <w:tc>
          <w:tcPr>
            <w:tcW w:w="2320" w:type="dxa"/>
            <w:vAlign w:val="bottom"/>
          </w:tcPr>
          <w:p>
            <w:pPr>
              <w:spacing w:after="0"/>
              <w:rPr>
                <w:sz w:val="17"/>
                <w:szCs w:val="17"/>
                <w:color w:val="auto"/>
              </w:rPr>
            </w:pPr>
          </w:p>
        </w:tc>
      </w:tr>
      <w:tr>
        <w:trPr>
          <w:trHeight w:val="199"/>
        </w:trPr>
        <w:tc>
          <w:tcPr>
            <w:tcW w:w="2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80" w:type="dxa"/>
            <w:vAlign w:val="bottom"/>
            <w:gridSpan w:val="2"/>
          </w:tcPr>
          <w:p>
            <w:pPr>
              <w:jc w:val="center"/>
              <w:ind w:right="1340"/>
              <w:spacing w:after="0"/>
              <w:rPr>
                <w:sz w:val="20"/>
                <w:szCs w:val="20"/>
                <w:color w:val="auto"/>
              </w:rPr>
            </w:pPr>
            <w:r>
              <w:rPr>
                <w:rFonts w:ascii="Arial" w:cs="Arial" w:eastAsia="Arial" w:hAnsi="Arial"/>
                <w:sz w:val="16"/>
                <w:szCs w:val="16"/>
                <w:b w:val="1"/>
                <w:bCs w:val="1"/>
                <w:color w:val="auto"/>
                <w:w w:val="92"/>
              </w:rPr>
              <w:t>180 Grand Avenue</w:t>
            </w:r>
          </w:p>
        </w:tc>
        <w:tc>
          <w:tcPr>
            <w:tcW w:w="2320" w:type="dxa"/>
            <w:vAlign w:val="bottom"/>
          </w:tcPr>
          <w:p>
            <w:pPr>
              <w:spacing w:after="0"/>
              <w:rPr>
                <w:sz w:val="17"/>
                <w:szCs w:val="17"/>
                <w:color w:val="auto"/>
              </w:rPr>
            </w:pPr>
          </w:p>
        </w:tc>
      </w:tr>
      <w:tr>
        <w:trPr>
          <w:trHeight w:val="206"/>
        </w:trPr>
        <w:tc>
          <w:tcPr>
            <w:tcW w:w="2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80" w:type="dxa"/>
            <w:vAlign w:val="bottom"/>
            <w:gridSpan w:val="2"/>
          </w:tcPr>
          <w:p>
            <w:pPr>
              <w:jc w:val="center"/>
              <w:ind w:right="1340"/>
              <w:spacing w:after="0" w:line="205" w:lineRule="exact"/>
              <w:rPr>
                <w:sz w:val="20"/>
                <w:szCs w:val="20"/>
                <w:color w:val="auto"/>
              </w:rPr>
            </w:pPr>
            <w:r>
              <w:rPr>
                <w:rFonts w:ascii="Arial" w:cs="Arial" w:eastAsia="Arial" w:hAnsi="Arial"/>
                <w:sz w:val="14"/>
                <w:szCs w:val="14"/>
                <w:b w:val="1"/>
                <w:bCs w:val="1"/>
                <w:color w:val="auto"/>
              </w:rPr>
              <w:t>6</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 xml:space="preserve"> Floor</w:t>
            </w:r>
          </w:p>
        </w:tc>
        <w:tc>
          <w:tcPr>
            <w:tcW w:w="232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8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4"/>
              </w:rPr>
              <w:t>Oakland, CA 94612</w:t>
            </w:r>
          </w:p>
        </w:tc>
        <w:tc>
          <w:tcPr>
            <w:tcW w:w="232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3620" w:type="dxa"/>
            <w:vAlign w:val="bottom"/>
            <w:gridSpan w:val="2"/>
          </w:tcPr>
          <w:p>
            <w:pPr>
              <w:jc w:val="center"/>
              <w:ind w:left="1241"/>
              <w:spacing w:after="0"/>
              <w:rPr>
                <w:sz w:val="20"/>
                <w:szCs w:val="20"/>
                <w:color w:val="auto"/>
              </w:rPr>
            </w:pPr>
            <w:r>
              <w:rPr>
                <w:rFonts w:ascii="Arial" w:cs="Arial" w:eastAsia="Arial" w:hAnsi="Arial"/>
                <w:sz w:val="16"/>
                <w:szCs w:val="16"/>
                <w:b w:val="1"/>
                <w:bCs w:val="1"/>
                <w:color w:val="auto"/>
                <w:w w:val="93"/>
              </w:rPr>
              <w:t>(888) 462-7738</w:t>
            </w:r>
          </w:p>
        </w:tc>
        <w:tc>
          <w:tcPr>
            <w:tcW w:w="13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49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(Name, address, including zip code, and telephone number, including</w:t>
            </w:r>
          </w:p>
        </w:tc>
        <w:tc>
          <w:tcPr>
            <w:tcW w:w="232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8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89"/>
              </w:rPr>
              <w:t>area code, of agent for service)</w:t>
            </w:r>
          </w:p>
        </w:tc>
        <w:tc>
          <w:tcPr>
            <w:tcW w:w="2320" w:type="dxa"/>
            <w:vAlign w:val="bottom"/>
          </w:tcPr>
          <w:p>
            <w:pPr>
              <w:spacing w:after="0"/>
              <w:rPr>
                <w:sz w:val="18"/>
                <w:szCs w:val="18"/>
                <w:color w:val="auto"/>
              </w:rPr>
            </w:pPr>
          </w:p>
        </w:tc>
      </w:tr>
      <w:tr>
        <w:trPr>
          <w:trHeight w:val="128"/>
        </w:trPr>
        <w:tc>
          <w:tcPr>
            <w:tcW w:w="2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239"/>
        </w:trPr>
        <w:tc>
          <w:tcPr>
            <w:tcW w:w="2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8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0"/>
              </w:rPr>
              <w:t>Copies to:</w:t>
            </w:r>
          </w:p>
        </w:tc>
        <w:tc>
          <w:tcPr>
            <w:tcW w:w="2320" w:type="dxa"/>
            <w:vAlign w:val="bottom"/>
          </w:tcPr>
          <w:p>
            <w:pPr>
              <w:spacing w:after="0"/>
              <w:rPr>
                <w:sz w:val="20"/>
                <w:szCs w:val="20"/>
                <w:color w:val="auto"/>
              </w:rPr>
            </w:pPr>
          </w:p>
        </w:tc>
      </w:tr>
      <w:tr>
        <w:trPr>
          <w:trHeight w:val="149"/>
        </w:trPr>
        <w:tc>
          <w:tcPr>
            <w:tcW w:w="2260" w:type="dxa"/>
            <w:vAlign w:val="bottom"/>
          </w:tcPr>
          <w:p>
            <w:pPr>
              <w:jc w:val="center"/>
              <w:ind w:right="28"/>
              <w:spacing w:after="0"/>
              <w:rPr>
                <w:sz w:val="20"/>
                <w:szCs w:val="20"/>
                <w:color w:val="auto"/>
              </w:rPr>
            </w:pPr>
            <w:r>
              <w:rPr>
                <w:rFonts w:ascii="Arial" w:cs="Arial" w:eastAsia="Arial" w:hAnsi="Arial"/>
                <w:sz w:val="13"/>
                <w:szCs w:val="13"/>
                <w:color w:val="auto"/>
                <w:w w:val="93"/>
              </w:rPr>
              <w:t>Caine Moss</w:t>
            </w:r>
          </w:p>
        </w:tc>
        <w:tc>
          <w:tcPr>
            <w:tcW w:w="1300" w:type="dxa"/>
            <w:vAlign w:val="bottom"/>
          </w:tcPr>
          <w:p>
            <w:pPr>
              <w:spacing w:after="0"/>
              <w:rPr>
                <w:sz w:val="12"/>
                <w:szCs w:val="12"/>
                <w:color w:val="auto"/>
              </w:rPr>
            </w:pPr>
          </w:p>
        </w:tc>
        <w:tc>
          <w:tcPr>
            <w:tcW w:w="3680" w:type="dxa"/>
            <w:vAlign w:val="bottom"/>
            <w:gridSpan w:val="2"/>
          </w:tcPr>
          <w:p>
            <w:pPr>
              <w:jc w:val="center"/>
              <w:ind w:right="1120"/>
              <w:spacing w:after="0"/>
              <w:rPr>
                <w:sz w:val="20"/>
                <w:szCs w:val="20"/>
                <w:color w:val="auto"/>
              </w:rPr>
            </w:pPr>
            <w:r>
              <w:rPr>
                <w:rFonts w:ascii="Arial" w:cs="Arial" w:eastAsia="Arial" w:hAnsi="Arial"/>
                <w:sz w:val="13"/>
                <w:szCs w:val="13"/>
                <w:color w:val="auto"/>
                <w:w w:val="92"/>
              </w:rPr>
              <w:t>Seth R. Weissman</w:t>
            </w:r>
          </w:p>
        </w:tc>
        <w:tc>
          <w:tcPr>
            <w:tcW w:w="2320" w:type="dxa"/>
            <w:vAlign w:val="bottom"/>
          </w:tcPr>
          <w:p>
            <w:pPr>
              <w:jc w:val="center"/>
              <w:ind w:left="68"/>
              <w:spacing w:after="0"/>
              <w:rPr>
                <w:sz w:val="20"/>
                <w:szCs w:val="20"/>
                <w:color w:val="auto"/>
              </w:rPr>
            </w:pPr>
            <w:r>
              <w:rPr>
                <w:rFonts w:ascii="Arial" w:cs="Arial" w:eastAsia="Arial" w:hAnsi="Arial"/>
                <w:sz w:val="13"/>
                <w:szCs w:val="13"/>
                <w:color w:val="auto"/>
                <w:w w:val="92"/>
              </w:rPr>
              <w:t>Steven V. Bernard</w:t>
            </w:r>
          </w:p>
        </w:tc>
      </w:tr>
      <w:tr>
        <w:trPr>
          <w:trHeight w:val="148"/>
        </w:trPr>
        <w:tc>
          <w:tcPr>
            <w:tcW w:w="2260" w:type="dxa"/>
            <w:vAlign w:val="bottom"/>
          </w:tcPr>
          <w:p>
            <w:pPr>
              <w:jc w:val="center"/>
              <w:ind w:right="28"/>
              <w:spacing w:after="0"/>
              <w:rPr>
                <w:sz w:val="20"/>
                <w:szCs w:val="20"/>
                <w:color w:val="auto"/>
              </w:rPr>
            </w:pPr>
            <w:r>
              <w:rPr>
                <w:rFonts w:ascii="Arial" w:cs="Arial" w:eastAsia="Arial" w:hAnsi="Arial"/>
                <w:sz w:val="13"/>
                <w:szCs w:val="13"/>
                <w:color w:val="auto"/>
                <w:w w:val="99"/>
              </w:rPr>
              <w:t>Mitzi Chang</w:t>
            </w:r>
          </w:p>
        </w:tc>
        <w:tc>
          <w:tcPr>
            <w:tcW w:w="1300" w:type="dxa"/>
            <w:vAlign w:val="bottom"/>
          </w:tcPr>
          <w:p>
            <w:pPr>
              <w:spacing w:after="0"/>
              <w:rPr>
                <w:sz w:val="12"/>
                <w:szCs w:val="12"/>
                <w:color w:val="auto"/>
              </w:rPr>
            </w:pPr>
          </w:p>
        </w:tc>
        <w:tc>
          <w:tcPr>
            <w:tcW w:w="3680" w:type="dxa"/>
            <w:vAlign w:val="bottom"/>
            <w:gridSpan w:val="2"/>
          </w:tcPr>
          <w:p>
            <w:pPr>
              <w:jc w:val="center"/>
              <w:ind w:right="1120"/>
              <w:spacing w:after="0"/>
              <w:rPr>
                <w:sz w:val="20"/>
                <w:szCs w:val="20"/>
                <w:color w:val="auto"/>
              </w:rPr>
            </w:pPr>
            <w:r>
              <w:rPr>
                <w:rFonts w:ascii="Arial" w:cs="Arial" w:eastAsia="Arial" w:hAnsi="Arial"/>
                <w:sz w:val="13"/>
                <w:szCs w:val="13"/>
                <w:color w:val="auto"/>
                <w:w w:val="98"/>
              </w:rPr>
              <w:t>Alina A. Zagaytova</w:t>
            </w:r>
          </w:p>
        </w:tc>
        <w:tc>
          <w:tcPr>
            <w:tcW w:w="2320" w:type="dxa"/>
            <w:vAlign w:val="bottom"/>
          </w:tcPr>
          <w:p>
            <w:pPr>
              <w:jc w:val="center"/>
              <w:ind w:left="68"/>
              <w:spacing w:after="0"/>
              <w:rPr>
                <w:sz w:val="20"/>
                <w:szCs w:val="20"/>
                <w:color w:val="auto"/>
              </w:rPr>
            </w:pPr>
            <w:r>
              <w:rPr>
                <w:rFonts w:ascii="Arial" w:cs="Arial" w:eastAsia="Arial" w:hAnsi="Arial"/>
                <w:sz w:val="13"/>
                <w:szCs w:val="13"/>
                <w:color w:val="auto"/>
                <w:w w:val="94"/>
              </w:rPr>
              <w:t>Catherine D. Doxsee</w:t>
            </w:r>
          </w:p>
        </w:tc>
      </w:tr>
      <w:tr>
        <w:trPr>
          <w:trHeight w:val="148"/>
        </w:trPr>
        <w:tc>
          <w:tcPr>
            <w:tcW w:w="2260" w:type="dxa"/>
            <w:vAlign w:val="bottom"/>
          </w:tcPr>
          <w:p>
            <w:pPr>
              <w:jc w:val="center"/>
              <w:ind w:right="28"/>
              <w:spacing w:after="0"/>
              <w:rPr>
                <w:sz w:val="20"/>
                <w:szCs w:val="20"/>
                <w:color w:val="auto"/>
              </w:rPr>
            </w:pPr>
            <w:r>
              <w:rPr>
                <w:rFonts w:ascii="Arial" w:cs="Arial" w:eastAsia="Arial" w:hAnsi="Arial"/>
                <w:sz w:val="13"/>
                <w:szCs w:val="13"/>
                <w:color w:val="auto"/>
                <w:w w:val="93"/>
              </w:rPr>
              <w:t>Bradley C. Weber</w:t>
            </w:r>
          </w:p>
        </w:tc>
        <w:tc>
          <w:tcPr>
            <w:tcW w:w="1300" w:type="dxa"/>
            <w:vAlign w:val="bottom"/>
          </w:tcPr>
          <w:p>
            <w:pPr>
              <w:spacing w:after="0"/>
              <w:rPr>
                <w:sz w:val="12"/>
                <w:szCs w:val="12"/>
                <w:color w:val="auto"/>
              </w:rPr>
            </w:pPr>
          </w:p>
        </w:tc>
        <w:tc>
          <w:tcPr>
            <w:tcW w:w="3680" w:type="dxa"/>
            <w:vAlign w:val="bottom"/>
            <w:gridSpan w:val="2"/>
          </w:tcPr>
          <w:p>
            <w:pPr>
              <w:jc w:val="center"/>
              <w:ind w:right="1120"/>
              <w:spacing w:after="0"/>
              <w:rPr>
                <w:sz w:val="20"/>
                <w:szCs w:val="20"/>
                <w:color w:val="auto"/>
              </w:rPr>
            </w:pPr>
            <w:r>
              <w:rPr>
                <w:rFonts w:ascii="Arial" w:cs="Arial" w:eastAsia="Arial" w:hAnsi="Arial"/>
                <w:sz w:val="13"/>
                <w:szCs w:val="13"/>
                <w:color w:val="auto"/>
                <w:w w:val="94"/>
              </w:rPr>
              <w:t>Marqeta, Inc.</w:t>
            </w:r>
          </w:p>
        </w:tc>
        <w:tc>
          <w:tcPr>
            <w:tcW w:w="2320" w:type="dxa"/>
            <w:vAlign w:val="bottom"/>
          </w:tcPr>
          <w:p>
            <w:pPr>
              <w:jc w:val="center"/>
              <w:ind w:left="68"/>
              <w:spacing w:after="0"/>
              <w:rPr>
                <w:sz w:val="20"/>
                <w:szCs w:val="20"/>
                <w:color w:val="auto"/>
              </w:rPr>
            </w:pPr>
            <w:r>
              <w:rPr>
                <w:rFonts w:ascii="Arial" w:cs="Arial" w:eastAsia="Arial" w:hAnsi="Arial"/>
                <w:sz w:val="13"/>
                <w:szCs w:val="13"/>
                <w:color w:val="auto"/>
                <w:w w:val="96"/>
              </w:rPr>
              <w:t>Wilson Sonsini Goodrich &amp; Rosati, P.C.</w:t>
            </w:r>
          </w:p>
        </w:tc>
      </w:tr>
      <w:tr>
        <w:trPr>
          <w:trHeight w:val="149"/>
        </w:trPr>
        <w:tc>
          <w:tcPr>
            <w:tcW w:w="2260" w:type="dxa"/>
            <w:vAlign w:val="bottom"/>
          </w:tcPr>
          <w:p>
            <w:pPr>
              <w:jc w:val="center"/>
              <w:ind w:right="28"/>
              <w:spacing w:after="0"/>
              <w:rPr>
                <w:sz w:val="20"/>
                <w:szCs w:val="20"/>
                <w:color w:val="auto"/>
              </w:rPr>
            </w:pPr>
            <w:r>
              <w:rPr>
                <w:rFonts w:ascii="Arial" w:cs="Arial" w:eastAsia="Arial" w:hAnsi="Arial"/>
                <w:sz w:val="13"/>
                <w:szCs w:val="13"/>
                <w:color w:val="auto"/>
                <w:w w:val="97"/>
              </w:rPr>
              <w:t>Goodwin Procter LLP</w:t>
            </w:r>
          </w:p>
        </w:tc>
        <w:tc>
          <w:tcPr>
            <w:tcW w:w="1300" w:type="dxa"/>
            <w:vAlign w:val="bottom"/>
          </w:tcPr>
          <w:p>
            <w:pPr>
              <w:spacing w:after="0"/>
              <w:rPr>
                <w:sz w:val="12"/>
                <w:szCs w:val="12"/>
                <w:color w:val="auto"/>
              </w:rPr>
            </w:pPr>
          </w:p>
        </w:tc>
        <w:tc>
          <w:tcPr>
            <w:tcW w:w="3680" w:type="dxa"/>
            <w:vAlign w:val="bottom"/>
            <w:gridSpan w:val="2"/>
          </w:tcPr>
          <w:p>
            <w:pPr>
              <w:jc w:val="center"/>
              <w:ind w:right="1120"/>
              <w:spacing w:after="0"/>
              <w:rPr>
                <w:sz w:val="20"/>
                <w:szCs w:val="20"/>
                <w:color w:val="auto"/>
              </w:rPr>
            </w:pPr>
            <w:r>
              <w:rPr>
                <w:rFonts w:ascii="Arial" w:cs="Arial" w:eastAsia="Arial" w:hAnsi="Arial"/>
                <w:sz w:val="13"/>
                <w:szCs w:val="13"/>
                <w:color w:val="auto"/>
                <w:w w:val="91"/>
              </w:rPr>
              <w:t>180 Grand Avenue</w:t>
            </w:r>
          </w:p>
        </w:tc>
        <w:tc>
          <w:tcPr>
            <w:tcW w:w="2320" w:type="dxa"/>
            <w:vAlign w:val="bottom"/>
          </w:tcPr>
          <w:p>
            <w:pPr>
              <w:jc w:val="center"/>
              <w:ind w:left="68"/>
              <w:spacing w:after="0"/>
              <w:rPr>
                <w:sz w:val="20"/>
                <w:szCs w:val="20"/>
                <w:color w:val="auto"/>
              </w:rPr>
            </w:pPr>
            <w:r>
              <w:rPr>
                <w:rFonts w:ascii="Arial" w:cs="Arial" w:eastAsia="Arial" w:hAnsi="Arial"/>
                <w:sz w:val="13"/>
                <w:szCs w:val="13"/>
                <w:color w:val="auto"/>
                <w:w w:val="96"/>
              </w:rPr>
              <w:t>650 Page Mill Road</w:t>
            </w:r>
          </w:p>
        </w:tc>
      </w:tr>
      <w:tr>
        <w:trPr>
          <w:trHeight w:val="148"/>
        </w:trPr>
        <w:tc>
          <w:tcPr>
            <w:tcW w:w="2260" w:type="dxa"/>
            <w:vAlign w:val="bottom"/>
          </w:tcPr>
          <w:p>
            <w:pPr>
              <w:jc w:val="center"/>
              <w:ind w:right="8"/>
              <w:spacing w:after="0"/>
              <w:rPr>
                <w:sz w:val="20"/>
                <w:szCs w:val="20"/>
                <w:color w:val="auto"/>
              </w:rPr>
            </w:pPr>
            <w:r>
              <w:rPr>
                <w:rFonts w:ascii="Arial" w:cs="Arial" w:eastAsia="Arial" w:hAnsi="Arial"/>
                <w:sz w:val="13"/>
                <w:szCs w:val="13"/>
                <w:color w:val="auto"/>
                <w:w w:val="94"/>
              </w:rPr>
              <w:t>601 Marshall Street</w:t>
            </w:r>
          </w:p>
        </w:tc>
        <w:tc>
          <w:tcPr>
            <w:tcW w:w="1300" w:type="dxa"/>
            <w:vAlign w:val="bottom"/>
          </w:tcPr>
          <w:p>
            <w:pPr>
              <w:spacing w:after="0"/>
              <w:rPr>
                <w:sz w:val="12"/>
                <w:szCs w:val="12"/>
                <w:color w:val="auto"/>
              </w:rPr>
            </w:pPr>
          </w:p>
        </w:tc>
        <w:tc>
          <w:tcPr>
            <w:tcW w:w="3680" w:type="dxa"/>
            <w:vAlign w:val="bottom"/>
            <w:gridSpan w:val="2"/>
          </w:tcPr>
          <w:p>
            <w:pPr>
              <w:jc w:val="center"/>
              <w:ind w:right="1120"/>
              <w:spacing w:after="0"/>
              <w:rPr>
                <w:sz w:val="20"/>
                <w:szCs w:val="20"/>
                <w:color w:val="auto"/>
              </w:rPr>
            </w:pPr>
            <w:r>
              <w:rPr>
                <w:rFonts w:ascii="Arial" w:cs="Arial" w:eastAsia="Arial" w:hAnsi="Arial"/>
                <w:sz w:val="13"/>
                <w:szCs w:val="13"/>
                <w:color w:val="auto"/>
                <w:w w:val="96"/>
              </w:rPr>
              <w:t>6</w:t>
            </w:r>
            <w:r>
              <w:rPr>
                <w:rFonts w:ascii="Arial" w:cs="Arial" w:eastAsia="Arial" w:hAnsi="Arial"/>
                <w:sz w:val="11"/>
                <w:szCs w:val="11"/>
                <w:color w:val="auto"/>
                <w:w w:val="96"/>
              </w:rPr>
              <w:t>th</w:t>
            </w:r>
            <w:r>
              <w:rPr>
                <w:rFonts w:ascii="Arial" w:cs="Arial" w:eastAsia="Arial" w:hAnsi="Arial"/>
                <w:sz w:val="13"/>
                <w:szCs w:val="13"/>
                <w:color w:val="auto"/>
                <w:w w:val="96"/>
              </w:rPr>
              <w:t xml:space="preserve"> Floor</w:t>
            </w:r>
          </w:p>
        </w:tc>
        <w:tc>
          <w:tcPr>
            <w:tcW w:w="2320" w:type="dxa"/>
            <w:vAlign w:val="bottom"/>
          </w:tcPr>
          <w:p>
            <w:pPr>
              <w:jc w:val="center"/>
              <w:ind w:left="68"/>
              <w:spacing w:after="0"/>
              <w:rPr>
                <w:sz w:val="20"/>
                <w:szCs w:val="20"/>
                <w:color w:val="auto"/>
              </w:rPr>
            </w:pPr>
            <w:r>
              <w:rPr>
                <w:rFonts w:ascii="Arial" w:cs="Arial" w:eastAsia="Arial" w:hAnsi="Arial"/>
                <w:sz w:val="13"/>
                <w:szCs w:val="13"/>
                <w:color w:val="auto"/>
                <w:w w:val="97"/>
              </w:rPr>
              <w:t>Palo Alto, CA 94304</w:t>
            </w:r>
          </w:p>
        </w:tc>
      </w:tr>
      <w:tr>
        <w:trPr>
          <w:trHeight w:val="148"/>
        </w:trPr>
        <w:tc>
          <w:tcPr>
            <w:tcW w:w="2260" w:type="dxa"/>
            <w:vAlign w:val="bottom"/>
          </w:tcPr>
          <w:p>
            <w:pPr>
              <w:jc w:val="center"/>
              <w:ind w:right="28"/>
              <w:spacing w:after="0"/>
              <w:rPr>
                <w:sz w:val="20"/>
                <w:szCs w:val="20"/>
                <w:color w:val="auto"/>
              </w:rPr>
            </w:pPr>
            <w:r>
              <w:rPr>
                <w:rFonts w:ascii="Arial" w:cs="Arial" w:eastAsia="Arial" w:hAnsi="Arial"/>
                <w:sz w:val="13"/>
                <w:szCs w:val="13"/>
                <w:color w:val="auto"/>
                <w:w w:val="95"/>
              </w:rPr>
              <w:t>Redwood City, CA 94063</w:t>
            </w:r>
          </w:p>
        </w:tc>
        <w:tc>
          <w:tcPr>
            <w:tcW w:w="1300" w:type="dxa"/>
            <w:vAlign w:val="bottom"/>
          </w:tcPr>
          <w:p>
            <w:pPr>
              <w:spacing w:after="0"/>
              <w:rPr>
                <w:sz w:val="12"/>
                <w:szCs w:val="12"/>
                <w:color w:val="auto"/>
              </w:rPr>
            </w:pPr>
          </w:p>
        </w:tc>
        <w:tc>
          <w:tcPr>
            <w:tcW w:w="3680" w:type="dxa"/>
            <w:vAlign w:val="bottom"/>
            <w:gridSpan w:val="2"/>
          </w:tcPr>
          <w:p>
            <w:pPr>
              <w:jc w:val="center"/>
              <w:ind w:right="1120"/>
              <w:spacing w:after="0"/>
              <w:rPr>
                <w:sz w:val="20"/>
                <w:szCs w:val="20"/>
                <w:color w:val="auto"/>
              </w:rPr>
            </w:pPr>
            <w:r>
              <w:rPr>
                <w:rFonts w:ascii="Arial" w:cs="Arial" w:eastAsia="Arial" w:hAnsi="Arial"/>
                <w:sz w:val="13"/>
                <w:szCs w:val="13"/>
                <w:color w:val="auto"/>
                <w:w w:val="95"/>
              </w:rPr>
              <w:t>Oakland, CA 94612</w:t>
            </w:r>
          </w:p>
        </w:tc>
        <w:tc>
          <w:tcPr>
            <w:tcW w:w="2320" w:type="dxa"/>
            <w:vAlign w:val="bottom"/>
          </w:tcPr>
          <w:p>
            <w:pPr>
              <w:jc w:val="right"/>
              <w:ind w:right="588"/>
              <w:spacing w:after="0"/>
              <w:rPr>
                <w:sz w:val="20"/>
                <w:szCs w:val="20"/>
                <w:color w:val="auto"/>
              </w:rPr>
            </w:pPr>
            <w:r>
              <w:rPr>
                <w:rFonts w:ascii="Arial" w:cs="Arial" w:eastAsia="Arial" w:hAnsi="Arial"/>
                <w:sz w:val="13"/>
                <w:szCs w:val="13"/>
                <w:color w:val="auto"/>
              </w:rPr>
              <w:t>(650) 493-9300</w:t>
            </w:r>
          </w:p>
        </w:tc>
      </w:tr>
      <w:tr>
        <w:trPr>
          <w:trHeight w:val="172"/>
        </w:trPr>
        <w:tc>
          <w:tcPr>
            <w:tcW w:w="2260" w:type="dxa"/>
            <w:vAlign w:val="bottom"/>
          </w:tcPr>
          <w:p>
            <w:pPr>
              <w:jc w:val="center"/>
              <w:ind w:right="28"/>
              <w:spacing w:after="0"/>
              <w:rPr>
                <w:sz w:val="20"/>
                <w:szCs w:val="20"/>
                <w:color w:val="auto"/>
              </w:rPr>
            </w:pPr>
            <w:r>
              <w:rPr>
                <w:rFonts w:ascii="Arial" w:cs="Arial" w:eastAsia="Arial" w:hAnsi="Arial"/>
                <w:sz w:val="13"/>
                <w:szCs w:val="13"/>
                <w:color w:val="auto"/>
                <w:w w:val="94"/>
              </w:rPr>
              <w:t>(650) 752-3100</w:t>
            </w:r>
          </w:p>
        </w:tc>
        <w:tc>
          <w:tcPr>
            <w:tcW w:w="3620" w:type="dxa"/>
            <w:vAlign w:val="bottom"/>
            <w:gridSpan w:val="2"/>
          </w:tcPr>
          <w:p>
            <w:pPr>
              <w:jc w:val="right"/>
              <w:ind w:right="545"/>
              <w:spacing w:after="0"/>
              <w:rPr>
                <w:sz w:val="20"/>
                <w:szCs w:val="20"/>
                <w:color w:val="auto"/>
              </w:rPr>
            </w:pPr>
            <w:r>
              <w:rPr>
                <w:rFonts w:ascii="Arial" w:cs="Arial" w:eastAsia="Arial" w:hAnsi="Arial"/>
                <w:sz w:val="13"/>
                <w:szCs w:val="13"/>
                <w:color w:val="auto"/>
              </w:rPr>
              <w:t>(888) 462-7738</w:t>
            </w:r>
          </w:p>
        </w:tc>
        <w:tc>
          <w:tcPr>
            <w:tcW w:w="1360" w:type="dxa"/>
            <w:vAlign w:val="bottom"/>
          </w:tcPr>
          <w:p>
            <w:pPr>
              <w:spacing w:after="0"/>
              <w:rPr>
                <w:sz w:val="14"/>
                <w:szCs w:val="14"/>
                <w:color w:val="auto"/>
              </w:rPr>
            </w:pPr>
          </w:p>
        </w:tc>
        <w:tc>
          <w:tcPr>
            <w:tcW w:w="2320" w:type="dxa"/>
            <w:vAlign w:val="bottom"/>
          </w:tcPr>
          <w:p>
            <w:pPr>
              <w:spacing w:after="0"/>
              <w:rPr>
                <w:sz w:val="14"/>
                <w:szCs w:val="14"/>
                <w:color w:val="auto"/>
              </w:rPr>
            </w:pPr>
          </w:p>
        </w:tc>
      </w:tr>
    </w:tbl>
    <w:p>
      <w:pPr>
        <w:spacing w:after="0" w:line="44" w:lineRule="exact"/>
        <w:rPr>
          <w:sz w:val="24"/>
          <w:szCs w:val="24"/>
          <w:color w:val="auto"/>
        </w:rPr>
      </w:pPr>
    </w:p>
    <w:p>
      <w:pPr>
        <w:ind w:left="120"/>
        <w:spacing w:after="0"/>
        <w:rPr>
          <w:sz w:val="20"/>
          <w:szCs w:val="20"/>
          <w:color w:val="auto"/>
        </w:rPr>
      </w:pPr>
      <w:r>
        <w:rPr>
          <w:rFonts w:ascii="Arial" w:cs="Arial" w:eastAsia="Arial" w:hAnsi="Arial"/>
          <w:sz w:val="13"/>
          <w:szCs w:val="13"/>
          <w:color w:val="auto"/>
        </w:rPr>
        <w:t>Approximate date of commencement of proposed sale to the public: As soon as practicable after this registration statement becomes effective.</w:t>
      </w:r>
    </w:p>
    <w:p>
      <w:pPr>
        <w:spacing w:after="0" w:line="28"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left="120" w:right="20"/>
        <w:spacing w:after="0" w:line="16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20" w:right="2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20" w:right="2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20" w:right="20"/>
        <w:spacing w:after="0" w:line="27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57"/>
        </w:trPr>
        <w:tc>
          <w:tcPr>
            <w:tcW w:w="17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240"/>
              <w:spacing w:after="0"/>
              <w:rPr>
                <w:sz w:val="20"/>
                <w:szCs w:val="20"/>
                <w:color w:val="auto"/>
              </w:rPr>
            </w:pPr>
            <w:r>
              <w:rPr>
                <w:rFonts w:ascii="Arial" w:cs="Arial" w:eastAsia="Arial" w:hAnsi="Arial"/>
                <w:sz w:val="13"/>
                <w:szCs w:val="13"/>
                <w:color w:val="auto"/>
              </w:rPr>
              <w:t>Accelerated filer</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780" w:type="dxa"/>
            <w:vAlign w:val="bottom"/>
          </w:tcPr>
          <w:p>
            <w:pPr>
              <w:spacing w:after="0"/>
              <w:rPr>
                <w:sz w:val="20"/>
                <w:szCs w:val="20"/>
                <w:color w:val="auto"/>
              </w:rPr>
            </w:pPr>
            <w:r>
              <w:rPr>
                <w:rFonts w:ascii="Arial" w:cs="Arial" w:eastAsia="Arial" w:hAnsi="Arial"/>
                <w:sz w:val="13"/>
                <w:szCs w:val="13"/>
                <w:color w:val="auto"/>
              </w:rPr>
              <w:t>Non-Accelerated filer</w:t>
            </w:r>
          </w:p>
        </w:tc>
        <w:tc>
          <w:tcPr>
            <w:tcW w:w="37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ind w:left="3240"/>
              <w:spacing w:after="0"/>
              <w:rPr>
                <w:sz w:val="20"/>
                <w:szCs w:val="20"/>
                <w:color w:val="auto"/>
              </w:rPr>
            </w:pPr>
            <w:r>
              <w:rPr>
                <w:rFonts w:ascii="Arial" w:cs="Arial" w:eastAsia="Arial" w:hAnsi="Arial"/>
                <w:sz w:val="13"/>
                <w:szCs w:val="13"/>
                <w:color w:val="auto"/>
              </w:rPr>
              <w:t>Smaller reporting company</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7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7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r>
    </w:tbl>
    <w:p>
      <w:pPr>
        <w:spacing w:after="0" w:line="7" w:lineRule="exact"/>
        <w:rPr>
          <w:sz w:val="24"/>
          <w:szCs w:val="24"/>
          <w:color w:val="auto"/>
        </w:rPr>
      </w:pPr>
    </w:p>
    <w:p>
      <w:pPr>
        <w:ind w:left="120" w:right="2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60325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CALCULATION OF REGISTRATION FEE</w:t>
      </w:r>
    </w:p>
    <w:p>
      <w:pPr>
        <w:spacing w:after="0" w:line="59"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2240" w:type="dxa"/>
            <w:vAlign w:val="bottom"/>
            <w:tcBorders>
              <w:top w:val="single" w:sz="8" w:color="auto"/>
              <w:bottom w:val="single" w:sz="8" w:color="auto"/>
            </w:tcBorders>
          </w:tcPr>
          <w:p>
            <w:pPr>
              <w:spacing w:after="0"/>
              <w:rPr>
                <w:sz w:val="3"/>
                <w:szCs w:val="3"/>
                <w:color w:val="auto"/>
              </w:rPr>
            </w:pPr>
          </w:p>
        </w:tc>
        <w:tc>
          <w:tcPr>
            <w:tcW w:w="2200" w:type="dxa"/>
            <w:vAlign w:val="bottom"/>
            <w:tcBorders>
              <w:top w:val="single" w:sz="8" w:color="auto"/>
              <w:bottom w:val="single" w:sz="8" w:color="auto"/>
            </w:tcBorders>
          </w:tcPr>
          <w:p>
            <w:pPr>
              <w:spacing w:after="0"/>
              <w:rPr>
                <w:sz w:val="3"/>
                <w:szCs w:val="3"/>
                <w:color w:val="auto"/>
              </w:rPr>
            </w:pPr>
          </w:p>
        </w:tc>
        <w:tc>
          <w:tcPr>
            <w:tcW w:w="2200" w:type="dxa"/>
            <w:vAlign w:val="bottom"/>
            <w:tcBorders>
              <w:top w:val="single" w:sz="8" w:color="auto"/>
              <w:bottom w:val="single" w:sz="8" w:color="auto"/>
            </w:tcBorders>
          </w:tcPr>
          <w:p>
            <w:pPr>
              <w:spacing w:after="0"/>
              <w:rPr>
                <w:sz w:val="3"/>
                <w:szCs w:val="3"/>
                <w:color w:val="auto"/>
              </w:rPr>
            </w:pPr>
          </w:p>
        </w:tc>
        <w:tc>
          <w:tcPr>
            <w:tcW w:w="2200" w:type="dxa"/>
            <w:vAlign w:val="bottom"/>
            <w:tcBorders>
              <w:top w:val="single" w:sz="8" w:color="auto"/>
              <w:bottom w:val="single" w:sz="8" w:color="auto"/>
            </w:tcBorders>
          </w:tcPr>
          <w:p>
            <w:pPr>
              <w:spacing w:after="0"/>
              <w:rPr>
                <w:sz w:val="3"/>
                <w:szCs w:val="3"/>
                <w:color w:val="auto"/>
              </w:rPr>
            </w:pPr>
          </w:p>
        </w:tc>
        <w:tc>
          <w:tcPr>
            <w:tcW w:w="21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24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5"/>
              </w:rPr>
              <w:t>Proposed Maximum</w:t>
            </w:r>
          </w:p>
        </w:tc>
        <w:tc>
          <w:tcPr>
            <w:tcW w:w="22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5"/>
              </w:rPr>
              <w:t>Proposed Maximum</w:t>
            </w: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Title of Each Class of Securities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 to be</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Aggregate Offering Price</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Aggregate Offering</w:t>
            </w:r>
          </w:p>
        </w:tc>
        <w:tc>
          <w:tcPr>
            <w:tcW w:w="2180" w:type="dxa"/>
            <w:vAlign w:val="bottom"/>
          </w:tcPr>
          <w:p>
            <w:pPr>
              <w:jc w:val="center"/>
              <w:ind w:left="11"/>
              <w:spacing w:after="0"/>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75"/>
        </w:trPr>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to be Registered</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Registered</w:t>
            </w:r>
            <w:r>
              <w:rPr>
                <w:rFonts w:ascii="Arial" w:cs="Arial" w:eastAsia="Arial" w:hAnsi="Arial"/>
                <w:sz w:val="11"/>
                <w:szCs w:val="11"/>
                <w:b w:val="1"/>
                <w:bCs w:val="1"/>
                <w:color w:val="auto"/>
                <w:w w:val="91"/>
              </w:rPr>
              <w:t>(1)</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Per Share</w:t>
            </w:r>
            <w:r>
              <w:rPr>
                <w:rFonts w:ascii="Arial" w:cs="Arial" w:eastAsia="Arial" w:hAnsi="Arial"/>
                <w:sz w:val="11"/>
                <w:szCs w:val="11"/>
                <w:b w:val="1"/>
                <w:bCs w:val="1"/>
                <w:color w:val="auto"/>
                <w:w w:val="94"/>
              </w:rPr>
              <w:t>(2)</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Price</w:t>
            </w:r>
            <w:r>
              <w:rPr>
                <w:rFonts w:ascii="Arial" w:cs="Arial" w:eastAsia="Arial" w:hAnsi="Arial"/>
                <w:sz w:val="11"/>
                <w:szCs w:val="11"/>
                <w:b w:val="1"/>
                <w:bCs w:val="1"/>
                <w:color w:val="auto"/>
                <w:w w:val="95"/>
              </w:rPr>
              <w:t>(1)(2)</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Registration Fee</w:t>
            </w:r>
            <w:r>
              <w:rPr>
                <w:rFonts w:ascii="Arial" w:cs="Arial" w:eastAsia="Arial" w:hAnsi="Arial"/>
                <w:sz w:val="11"/>
                <w:szCs w:val="11"/>
                <w:b w:val="1"/>
                <w:bCs w:val="1"/>
                <w:color w:val="auto"/>
                <w:w w:val="93"/>
              </w:rPr>
              <w:t>(3)</w:t>
            </w:r>
          </w:p>
        </w:tc>
        <w:tc>
          <w:tcPr>
            <w:tcW w:w="0" w:type="dxa"/>
            <w:vAlign w:val="bottom"/>
          </w:tcPr>
          <w:p>
            <w:pPr>
              <w:spacing w:after="0"/>
              <w:rPr>
                <w:sz w:val="1"/>
                <w:szCs w:val="1"/>
                <w:color w:val="auto"/>
              </w:rPr>
            </w:pPr>
          </w:p>
        </w:tc>
      </w:tr>
      <w:tr>
        <w:trPr>
          <w:trHeight w:val="123"/>
        </w:trPr>
        <w:tc>
          <w:tcPr>
            <w:tcW w:w="224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w w:val="95"/>
              </w:rPr>
              <w:t>Class A Common Stock, $0.0001 par</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52,272,727</w:t>
            </w:r>
          </w:p>
        </w:tc>
        <w:tc>
          <w:tcPr>
            <w:tcW w:w="220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value per share</w:t>
            </w:r>
          </w:p>
        </w:tc>
        <w:tc>
          <w:tcPr>
            <w:tcW w:w="2200" w:type="dxa"/>
            <w:vAlign w:val="bottom"/>
            <w:tcBorders>
              <w:bottom w:val="single" w:sz="8" w:color="auto"/>
              <w:right w:val="single" w:sz="8" w:color="auto"/>
            </w:tcBorders>
            <w:vMerge w:val="continue"/>
          </w:tcPr>
          <w:p>
            <w:pPr>
              <w:spacing w:after="0"/>
              <w:rPr>
                <w:sz w:val="14"/>
                <w:szCs w:val="14"/>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$24.00</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$1,254,545,448</w:t>
            </w:r>
          </w:p>
        </w:tc>
        <w:tc>
          <w:tcPr>
            <w:tcW w:w="218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color w:val="auto"/>
                <w:w w:val="92"/>
              </w:rPr>
              <w:t>$136,871</w:t>
            </w:r>
          </w:p>
        </w:tc>
        <w:tc>
          <w:tcPr>
            <w:tcW w:w="0" w:type="dxa"/>
            <w:vAlign w:val="bottom"/>
          </w:tcPr>
          <w:p>
            <w:pPr>
              <w:spacing w:after="0"/>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4"/>
          <w:szCs w:val="24"/>
          <w:color w:val="auto"/>
        </w:rPr>
      </w:pPr>
    </w:p>
    <w:p>
      <w:pPr>
        <w:ind w:left="660" w:hanging="544"/>
        <w:spacing w:after="0"/>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6,818,181 shares of Class A common stock that the underwriters have the option to purchase from the registrant.</w:t>
      </w:r>
    </w:p>
    <w:p>
      <w:pPr>
        <w:spacing w:after="0" w:line="11" w:lineRule="exact"/>
        <w:rPr>
          <w:rFonts w:ascii="Arial" w:cs="Arial" w:eastAsia="Arial" w:hAnsi="Arial"/>
          <w:sz w:val="13"/>
          <w:szCs w:val="13"/>
          <w:color w:val="auto"/>
        </w:rPr>
      </w:pPr>
    </w:p>
    <w:p>
      <w:pPr>
        <w:ind w:left="660" w:hanging="544"/>
        <w:spacing w:after="0"/>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w:t>
      </w:r>
    </w:p>
    <w:p>
      <w:pPr>
        <w:ind w:left="660" w:hanging="544"/>
        <w:spacing w:after="0"/>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registrant previously paid $10,910 of the registration fee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8" w:lineRule="exact"/>
        <w:rPr>
          <w:sz w:val="24"/>
          <w:szCs w:val="24"/>
          <w:color w:val="auto"/>
        </w:rPr>
      </w:pPr>
    </w:p>
    <w:p>
      <w:pPr>
        <w:jc w:val="both"/>
        <w:ind w:left="120" w:right="20" w:firstLine="551"/>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CC062A"/>
        </w:rPr>
        <w:t>Subject to Completion, dated June 1, 2021.</w:t>
      </w: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45,454,546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205105</wp:posOffset>
            </wp:positionV>
            <wp:extent cx="1517015"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0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Marqeta, Inc.</w:t>
      </w: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is an initial public offering of shares of Class A common stock of Marqeta, Inc.</w:t>
      </w:r>
    </w:p>
    <w:p>
      <w:pPr>
        <w:spacing w:after="0" w:line="194"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Prior to this offering, there has been no public market for our Class A common stock. It is currently estimated that the initial public offering price will be between $20.00 and $24.00 per share. We have applied to list our Class A common stock on the Nasdaq Global Select Market under the symbol “MQ.”</w:t>
      </w:r>
    </w:p>
    <w:p>
      <w:pPr>
        <w:spacing w:after="0" w:line="131"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6"/>
          <w:szCs w:val="16"/>
          <w:color w:val="auto"/>
        </w:rPr>
        <w:t>Following this offering, we will have two classes of common stock: Class A common stock and Class B common stock. The rights of the holders of Class A common stock and Class B common stock are identical, except with respect to voting and conversion rights. Each share of Class A common stock is entitled to one vote. Each share of Class B common stock is entitled to 10 votes and is convertible at any time into one share of Class A common stock. All shares of our capital stock outstanding immediately prior to this offering, including all shares held by our executive officers, employees and directors, and their respective affiliates, will be reclassified into shares of our Class B common stock immediately prior to the consummation of this offering. The holders of our outstanding Class B common stock will hold approximately 99.1% of the voting power of our outstanding capital stock following this offering.</w:t>
      </w:r>
    </w:p>
    <w:p>
      <w:pPr>
        <w:spacing w:after="0" w:line="16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184150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the section titled “</w:t>
      </w:r>
      <w:hyperlink w:anchor="page2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21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234950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5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6"/>
              </w:rPr>
              <w:t>Per Share</w:t>
            </w:r>
          </w:p>
        </w:tc>
        <w:tc>
          <w:tcPr>
            <w:tcW w:w="26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Total</w:t>
            </w:r>
          </w:p>
        </w:tc>
      </w:tr>
      <w:tr>
        <w:trPr>
          <w:trHeight w:val="19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3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23"/>
                <w:szCs w:val="23"/>
                <w:color w:val="auto"/>
                <w:vertAlign w:val="superscript"/>
              </w:rPr>
              <w:t>(1)</w:t>
            </w:r>
          </w:p>
        </w:tc>
        <w:tc>
          <w:tcPr>
            <w:tcW w:w="4320" w:type="dxa"/>
            <w:vAlign w:val="bottom"/>
            <w:gridSpan w:val="2"/>
          </w:tcPr>
          <w:p>
            <w:pPr>
              <w:ind w:left="36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4320" w:type="dxa"/>
            <w:vAlign w:val="bottom"/>
            <w:gridSpan w:val="2"/>
            <w:shd w:val="clear" w:color="auto" w:fill="CCEEFF"/>
          </w:tcPr>
          <w:p>
            <w:pPr>
              <w:ind w:left="36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See the section titled “Underwriting” for additional information regarding compensation payable to the underwriters.</w:t>
      </w:r>
    </w:p>
    <w:p>
      <w:pPr>
        <w:spacing w:after="0" w:line="172"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The underwriters have the option to purchase up to an additional 6,818,181 shares of Class A common stock from us at the initial public offering price less the underwriting discount.</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6140" w:type="dxa"/>
            <w:vAlign w:val="bottom"/>
          </w:tcPr>
          <w:p>
            <w:pPr>
              <w:spacing w:after="0"/>
              <w:rPr>
                <w:sz w:val="20"/>
                <w:szCs w:val="20"/>
                <w:color w:val="auto"/>
              </w:rPr>
            </w:pPr>
            <w:r>
              <w:rPr>
                <w:rFonts w:ascii="Arial" w:cs="Arial" w:eastAsia="Arial" w:hAnsi="Arial"/>
                <w:sz w:val="16"/>
                <w:szCs w:val="16"/>
                <w:color w:val="auto"/>
                <w:w w:val="96"/>
              </w:rPr>
              <w:t>The underwriters expect to deliver the shares against payment in New York, New York on</w:t>
            </w:r>
          </w:p>
        </w:tc>
        <w:tc>
          <w:tcPr>
            <w:tcW w:w="780" w:type="dxa"/>
            <w:vAlign w:val="bottom"/>
          </w:tcPr>
          <w:p>
            <w:pPr>
              <w:jc w:val="right"/>
              <w:spacing w:after="0"/>
              <w:rPr>
                <w:sz w:val="20"/>
                <w:szCs w:val="20"/>
                <w:color w:val="auto"/>
              </w:rPr>
            </w:pPr>
            <w:r>
              <w:rPr>
                <w:rFonts w:ascii="Arial" w:cs="Arial" w:eastAsia="Arial" w:hAnsi="Arial"/>
                <w:sz w:val="16"/>
                <w:szCs w:val="16"/>
                <w:color w:val="auto"/>
              </w:rPr>
              <w:t>, 2021.</w:t>
            </w:r>
          </w:p>
        </w:tc>
      </w:tr>
    </w:tbl>
    <w:p>
      <w:pPr>
        <w:spacing w:after="0" w:line="226" w:lineRule="exact"/>
        <w:rPr>
          <w:sz w:val="20"/>
          <w:szCs w:val="20"/>
          <w:color w:val="auto"/>
        </w:rPr>
      </w:pPr>
    </w:p>
    <w:p>
      <w:pPr>
        <w:ind w:left="120"/>
        <w:spacing w:after="0"/>
        <w:tabs>
          <w:tab w:leader="none" w:pos="98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3"/>
          <w:szCs w:val="23"/>
          <w:b w:val="1"/>
          <w:bCs w:val="1"/>
          <w:color w:val="auto"/>
        </w:rPr>
        <w:t>J.P. Morgan</w:t>
      </w:r>
    </w:p>
    <w:p>
      <w:pPr>
        <w:spacing w:after="0" w:line="225" w:lineRule="exact"/>
        <w:rPr>
          <w:sz w:val="20"/>
          <w:szCs w:val="20"/>
          <w:color w:val="auto"/>
        </w:rPr>
      </w:pPr>
    </w:p>
    <w:p>
      <w:pPr>
        <w:ind w:left="1340"/>
        <w:spacing w:after="0"/>
        <w:tabs>
          <w:tab w:leader="none" w:pos="3060" w:val="left"/>
          <w:tab w:leader="none" w:pos="4680" w:val="left"/>
          <w:tab w:leader="none" w:pos="750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22"/>
          <w:szCs w:val="22"/>
          <w:b w:val="1"/>
          <w:bCs w:val="1"/>
          <w:color w:val="auto"/>
        </w:rPr>
        <w:t>William Blair</w:t>
      </w:r>
      <w:r>
        <w:rPr>
          <w:sz w:val="20"/>
          <w:szCs w:val="20"/>
          <w:color w:val="auto"/>
        </w:rPr>
        <w:tab/>
      </w:r>
      <w:r>
        <w:rPr>
          <w:rFonts w:ascii="Arial" w:cs="Arial" w:eastAsia="Arial" w:hAnsi="Arial"/>
          <w:sz w:val="21"/>
          <w:szCs w:val="21"/>
          <w:b w:val="1"/>
          <w:bCs w:val="1"/>
          <w:color w:val="auto"/>
        </w:rPr>
        <w:t>KeyBanc Capital Markets</w:t>
      </w:r>
    </w:p>
    <w:p>
      <w:pPr>
        <w:spacing w:after="0" w:line="167" w:lineRule="exact"/>
        <w:rPr>
          <w:sz w:val="20"/>
          <w:szCs w:val="20"/>
          <w:color w:val="auto"/>
        </w:rPr>
      </w:pPr>
    </w:p>
    <w:p>
      <w:pPr>
        <w:ind w:left="2540"/>
        <w:spacing w:after="0"/>
        <w:tabs>
          <w:tab w:leader="none" w:pos="3660" w:val="left"/>
          <w:tab w:leader="none" w:pos="4600" w:val="left"/>
          <w:tab w:leader="none" w:pos="6920" w:val="left"/>
        </w:tabs>
        <w:rPr>
          <w:sz w:val="20"/>
          <w:szCs w:val="20"/>
          <w:color w:val="auto"/>
        </w:rPr>
      </w:pPr>
      <w:r>
        <w:rPr>
          <w:rFonts w:ascii="Arial" w:cs="Arial" w:eastAsia="Arial" w:hAnsi="Arial"/>
          <w:sz w:val="20"/>
          <w:szCs w:val="20"/>
          <w:b w:val="1"/>
          <w:bCs w:val="1"/>
          <w:color w:val="auto"/>
        </w:rPr>
        <w:t>Nomura</w:t>
      </w:r>
      <w:r>
        <w:rPr>
          <w:sz w:val="20"/>
          <w:szCs w:val="20"/>
          <w:color w:val="auto"/>
        </w:rPr>
        <w:tab/>
      </w:r>
      <w:r>
        <w:rPr>
          <w:rFonts w:ascii="Arial" w:cs="Arial" w:eastAsia="Arial" w:hAnsi="Arial"/>
          <w:sz w:val="20"/>
          <w:szCs w:val="20"/>
          <w:b w:val="1"/>
          <w:bCs w:val="1"/>
          <w:color w:val="auto"/>
        </w:rPr>
        <w:t>HSBC</w:t>
      </w:r>
      <w:r>
        <w:rPr>
          <w:sz w:val="20"/>
          <w:szCs w:val="20"/>
          <w:color w:val="auto"/>
        </w:rPr>
        <w:tab/>
      </w:r>
      <w:r>
        <w:rPr>
          <w:rFonts w:ascii="Arial" w:cs="Arial" w:eastAsia="Arial" w:hAnsi="Arial"/>
          <w:sz w:val="20"/>
          <w:szCs w:val="20"/>
          <w:b w:val="1"/>
          <w:bCs w:val="1"/>
          <w:color w:val="auto"/>
        </w:rPr>
        <w:t>R. Seelaus &amp; Co., LLC</w:t>
      </w:r>
      <w:r>
        <w:rPr>
          <w:sz w:val="20"/>
          <w:szCs w:val="20"/>
          <w:color w:val="auto"/>
        </w:rPr>
        <w:tab/>
      </w:r>
      <w:r>
        <w:rPr>
          <w:rFonts w:ascii="Arial" w:cs="Arial" w:eastAsia="Arial" w:hAnsi="Arial"/>
          <w:sz w:val="18"/>
          <w:szCs w:val="18"/>
          <w:b w:val="1"/>
          <w:bCs w:val="1"/>
          <w:color w:val="auto"/>
        </w:rPr>
        <w:t>Siebert Williams 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236855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4480"/>
        <w:spacing w:after="0"/>
        <w:tabs>
          <w:tab w:leader="none" w:pos="636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4"/>
          <w:szCs w:val="14"/>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220345</wp:posOffset>
            </wp:positionV>
            <wp:extent cx="6557645" cy="9095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220345</wp:posOffset>
            </wp:positionV>
            <wp:extent cx="6557645" cy="90951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220345</wp:posOffset>
            </wp:positionV>
            <wp:extent cx="6875145" cy="9095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5145"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60" w:type="dxa"/>
            <w:vAlign w:val="bottom"/>
            <w:gridSpan w:val="4"/>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80" w:type="dxa"/>
            <w:vAlign w:val="bottom"/>
            <w:gridSpan w:val="3"/>
          </w:tcPr>
          <w:p>
            <w:pPr>
              <w:jc w:val="center"/>
              <w:ind w:right="4300"/>
              <w:spacing w:after="0"/>
              <w:rPr>
                <w:sz w:val="20"/>
                <w:szCs w:val="20"/>
                <w:color w:val="auto"/>
              </w:rPr>
            </w:pPr>
            <w:r>
              <w:rPr>
                <w:rFonts w:ascii="Arial" w:cs="Arial" w:eastAsia="Arial" w:hAnsi="Arial"/>
                <w:sz w:val="18"/>
                <w:szCs w:val="18"/>
                <w:b w:val="1"/>
                <w:bCs w:val="1"/>
                <w:color w:val="auto"/>
                <w:w w:val="85"/>
              </w:rPr>
              <w:t>Prospectus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220" w:type="dxa"/>
            <w:vAlign w:val="bottom"/>
            <w:gridSpan w:val="17"/>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2220" w:type="dxa"/>
            <w:vAlign w:val="bottom"/>
            <w:gridSpan w:val="17"/>
            <w:vMerge w:val="continue"/>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70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Special Note Regarding Forward-Looking Statements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Industry and Market Data</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Use of Proceeds</w:t>
              </w:r>
            </w:hyperlink>
          </w:p>
        </w:tc>
        <w:tc>
          <w:tcPr>
            <w:tcW w:w="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Dividend Policy</w:t>
              </w:r>
            </w:hyperlink>
          </w:p>
        </w:tc>
        <w:tc>
          <w:tcPr>
            <w:tcW w:w="10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Capitalization</w:t>
              </w:r>
            </w:hyperlink>
          </w:p>
        </w:tc>
        <w:tc>
          <w:tcPr>
            <w:tcW w:w="12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Dilution</w:t>
              </w:r>
            </w:hyperlink>
          </w:p>
        </w:tc>
        <w:tc>
          <w:tcPr>
            <w:tcW w:w="162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Selected Consolidated Financial and Other Data</w:t>
              </w:r>
            </w:hyperlink>
          </w:p>
        </w:tc>
        <w:tc>
          <w:tcPr>
            <w:tcW w:w="7180" w:type="dxa"/>
            <w:vAlign w:val="bottom"/>
            <w:gridSpan w:val="6"/>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gridSpan w:val="2"/>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Letter from Jason Gardner, Founder and Chief Executive Officer</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107">
              <w:r>
                <w:rPr>
                  <w:rFonts w:ascii="Arial" w:cs="Arial" w:eastAsia="Arial" w:hAnsi="Arial"/>
                  <w:sz w:val="18"/>
                  <w:szCs w:val="18"/>
                  <w:color w:val="0000EE"/>
                  <w:w w:val="84"/>
                </w:rPr>
                <w:t>Business</w:t>
              </w:r>
            </w:hyperlink>
          </w:p>
        </w:tc>
        <w:tc>
          <w:tcPr>
            <w:tcW w:w="1580" w:type="dxa"/>
            <w:vAlign w:val="bottom"/>
            <w:tcBorders>
              <w:top w:val="single" w:sz="8" w:color="0000EE"/>
            </w:tcBorders>
            <w:gridSpan w:val="14"/>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35">
              <w:r>
                <w:rPr>
                  <w:rFonts w:ascii="Arial" w:cs="Arial" w:eastAsia="Arial" w:hAnsi="Arial"/>
                  <w:sz w:val="18"/>
                  <w:szCs w:val="18"/>
                  <w:color w:val="0000EE"/>
                  <w:w w:val="87"/>
                </w:rPr>
                <w:t>Management</w:t>
              </w:r>
            </w:hyperlink>
          </w:p>
        </w:tc>
        <w:tc>
          <w:tcPr>
            <w:tcW w:w="128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Executive Compensation</w:t>
              </w:r>
            </w:hyperlink>
          </w:p>
        </w:tc>
        <w:tc>
          <w:tcPr>
            <w:tcW w:w="4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Certain Relationships and Related Party Transactions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Principal Stockholders</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gridSpan w:val="17"/>
          </w:tcPr>
          <w:p>
            <w:pPr>
              <w:spacing w:after="0" w:line="196" w:lineRule="exact"/>
              <w:rPr>
                <w:rFonts w:ascii="Arial" w:cs="Arial" w:eastAsia="Arial" w:hAnsi="Arial"/>
                <w:sz w:val="18"/>
                <w:szCs w:val="18"/>
                <w:color w:val="0000EE"/>
                <w:w w:val="99"/>
              </w:rPr>
            </w:pPr>
            <w:hyperlink w:anchor="page165">
              <w:r>
                <w:rPr>
                  <w:rFonts w:ascii="Arial" w:cs="Arial" w:eastAsia="Arial" w:hAnsi="Arial"/>
                  <w:sz w:val="18"/>
                  <w:szCs w:val="18"/>
                  <w:color w:val="0000EE"/>
                  <w:w w:val="99"/>
                </w:rPr>
                <w:t>Description of Capital Stock</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72">
              <w:r>
                <w:rPr>
                  <w:rFonts w:ascii="Arial" w:cs="Arial" w:eastAsia="Arial" w:hAnsi="Arial"/>
                  <w:sz w:val="18"/>
                  <w:szCs w:val="18"/>
                  <w:color w:val="0000EE"/>
                  <w:w w:val="90"/>
                </w:rPr>
                <w:t>Shares Eligible for Future Sale</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Material U.S. Federal Income Tax Consequences to Non-U.S. Holders of our Class A Common Stock</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Underwriting</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gridSpan w:val="17"/>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Legal Matters</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Experts</w:t>
              </w:r>
            </w:hyperlink>
          </w:p>
        </w:tc>
        <w:tc>
          <w:tcPr>
            <w:tcW w:w="12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89">
              <w:r>
                <w:rPr>
                  <w:rFonts w:ascii="Arial" w:cs="Arial" w:eastAsia="Arial" w:hAnsi="Arial"/>
                  <w:sz w:val="18"/>
                  <w:szCs w:val="18"/>
                  <w:color w:val="0000EE"/>
                  <w:w w:val="95"/>
                </w:rPr>
                <w:t>Additional Information</w:t>
              </w:r>
            </w:hyperlink>
          </w:p>
        </w:tc>
        <w:tc>
          <w:tcPr>
            <w:tcW w:w="54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90">
              <w:r>
                <w:rPr>
                  <w:rFonts w:ascii="Arial" w:cs="Arial" w:eastAsia="Arial" w:hAnsi="Arial"/>
                  <w:sz w:val="18"/>
                  <w:szCs w:val="18"/>
                  <w:color w:val="0000EE"/>
                  <w:w w:val="89"/>
                </w:rPr>
                <w:t>Index to Consolidated Financial Statements</w:t>
              </w:r>
            </w:hyperlink>
          </w:p>
        </w:tc>
        <w:tc>
          <w:tcPr>
            <w:tcW w:w="7500" w:type="dxa"/>
            <w:vAlign w:val="bottom"/>
            <w:gridSpan w:val="7"/>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53"/>
        </w:trPr>
        <w:tc>
          <w:tcPr>
            <w:tcW w:w="2220" w:type="dxa"/>
            <w:vAlign w:val="bottom"/>
            <w:gridSpan w:val="17"/>
          </w:tcPr>
          <w:p>
            <w:pPr>
              <w:spacing w:after="0"/>
              <w:rPr>
                <w:sz w:val="20"/>
                <w:szCs w:val="20"/>
                <w:color w:val="auto"/>
              </w:rPr>
            </w:pPr>
            <w:r>
              <w:rPr>
                <w:rFonts w:ascii="Arial" w:cs="Arial" w:eastAsia="Arial" w:hAnsi="Arial"/>
                <w:sz w:val="18"/>
                <w:szCs w:val="18"/>
                <w:b w:val="1"/>
                <w:bCs w:val="1"/>
                <w:color w:val="auto"/>
              </w:rPr>
              <w:t>Through and including</w:t>
            </w:r>
          </w:p>
        </w:tc>
        <w:tc>
          <w:tcPr>
            <w:tcW w:w="8780" w:type="dxa"/>
            <w:vAlign w:val="bottom"/>
            <w:gridSpan w:val="10"/>
          </w:tcPr>
          <w:p>
            <w:pPr>
              <w:ind w:left="640"/>
              <w:spacing w:after="0"/>
              <w:rPr>
                <w:sz w:val="20"/>
                <w:szCs w:val="20"/>
                <w:color w:val="auto"/>
              </w:rPr>
            </w:pPr>
            <w:r>
              <w:rPr>
                <w:rFonts w:ascii="Arial" w:cs="Arial" w:eastAsia="Arial" w:hAnsi="Arial"/>
                <w:sz w:val="18"/>
                <w:szCs w:val="18"/>
                <w:b w:val="1"/>
                <w:bCs w:val="1"/>
                <w:color w:val="auto"/>
                <w:w w:val="89"/>
              </w:rPr>
              <w:t>, 2021 (the 25th day after the date of this prospectus), all dealers effecting transactions in these securities,</w:t>
            </w:r>
          </w:p>
        </w:tc>
        <w:tc>
          <w:tcPr>
            <w:tcW w:w="0" w:type="dxa"/>
            <w:vAlign w:val="bottom"/>
          </w:tcPr>
          <w:p>
            <w:pPr>
              <w:spacing w:after="0"/>
              <w:rPr>
                <w:sz w:val="1"/>
                <w:szCs w:val="1"/>
                <w:color w:val="auto"/>
              </w:rPr>
            </w:pPr>
          </w:p>
        </w:tc>
      </w:tr>
    </w:tbl>
    <w:p>
      <w:pPr>
        <w:jc w:val="both"/>
        <w:ind w:left="120" w:right="2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or the SEC. Neither we nor any of the underwriters have authorized anyone to provide any information or make any representations other than those contained in this prospectus or in any free writing prospectus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prospects may have changed since such date.</w:t>
      </w:r>
    </w:p>
    <w:p>
      <w:pPr>
        <w:spacing w:after="0" w:line="17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“Marqeta,” “the company,” “we,” “us,” and “our” in this prospectus refer to Marqeta, Inc. and its consolidated subsidiary.</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or Klarna, modern card issuing helps move money to the payment card that Affirm or Klarna uses to seamlessly pay the merchant.</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receive money from your friend through Square’s Cash App, modern card issuing helps move the funds to your debit card, making it instantly available to you to make purchases.</w:t>
      </w:r>
    </w:p>
    <w:p>
      <w:pPr>
        <w:spacing w:after="0" w:line="170"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7"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66" w:lineRule="exact"/>
        <w:rPr>
          <w:sz w:val="20"/>
          <w:szCs w:val="20"/>
          <w:color w:val="auto"/>
        </w:rPr>
      </w:pPr>
    </w:p>
    <w:p>
      <w:pPr>
        <w:jc w:val="both"/>
        <w:ind w:left="300"/>
        <w:spacing w:after="0" w:line="275" w:lineRule="auto"/>
        <w:rPr>
          <w:sz w:val="20"/>
          <w:szCs w:val="20"/>
          <w:color w:val="auto"/>
        </w:rPr>
      </w:pPr>
      <w:r>
        <w:rPr>
          <w:rFonts w:ascii="Arial" w:cs="Arial" w:eastAsia="Arial" w:hAnsi="Arial"/>
          <w:sz w:val="17"/>
          <w:szCs w:val="17"/>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103% for the year ended December 31, 2020 and our dollar-based net revenue retention</w:t>
      </w:r>
      <w:r>
        <w:rPr>
          <w:rFonts w:ascii="Arial" w:cs="Arial" w:eastAsia="Arial" w:hAnsi="Arial"/>
          <w:sz w:val="14"/>
          <w:szCs w:val="14"/>
          <w:color w:val="auto"/>
        </w:rPr>
        <w:t>1</w:t>
      </w:r>
      <w:r>
        <w:rPr>
          <w:rFonts w:ascii="Arial" w:cs="Arial" w:eastAsia="Arial" w:hAnsi="Arial"/>
          <w:sz w:val="17"/>
          <w:szCs w:val="17"/>
          <w:color w:val="auto"/>
        </w:rPr>
        <w:t xml:space="preserve"> of over 200% for each of the years ended December 31, 2019 and 2020.</w:t>
      </w:r>
    </w:p>
    <w:p>
      <w:pPr>
        <w:spacing w:after="0" w:line="176"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In the three months ended March 31, 2021, the Marqeta Platform processed $24.0 billion of total processing volume, or TPV, up 167% from $9.0 billion in the three months ended March 31, 2020. In 2020, the Marqeta Platform processed $60.1 billion of TPV up 177% from $21.7 billion in 2019. The full year 2020 TPV is less than 1% of the annual $6.7 trillion of transaction volume conducted through U.S. issuers in 2020, as estimated by The Nilson Report, and a fraction of the $30 trillion of value exchanged annually across global Card Networks in 2019,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7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pacing w:after="0" w:line="18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We have grown and scaled rapidly in recent periods. Our total net revenue was $143.3 million and $290.3 million for the years ended December 31, 2019 and 2020, respectively, an increase of 103%. For the three months ended March 31, 2020 and 2021, our net revenue was $48.4 million and $108.0 million, respectively, an increase of 123%. We incurred net losses of $58.2 million and $47.7 million for the years ended December 31, 2019 and 2020, respectively, a decrease of 18%. For the three months ended March 31, 2020 and 2021, we incurred net losses of $14.5 million and $12.8 million, respectively, a decrease of 12%.</w:t>
      </w:r>
    </w:p>
    <w:p>
      <w:pPr>
        <w:spacing w:after="0" w:line="156" w:lineRule="exact"/>
        <w:rPr>
          <w:sz w:val="20"/>
          <w:szCs w:val="20"/>
          <w:color w:val="auto"/>
        </w:rPr>
      </w:pPr>
    </w:p>
    <w:p>
      <w:pPr>
        <w:jc w:val="both"/>
        <w:ind w:left="600" w:hanging="302"/>
        <w:spacing w:after="0" w:line="233" w:lineRule="auto"/>
        <w:tabs>
          <w:tab w:leader="none" w:pos="600" w:val="left"/>
        </w:tabs>
        <w:numPr>
          <w:ilvl w:val="0"/>
          <w:numId w:val="2"/>
        </w:numPr>
        <w:rPr>
          <w:rFonts w:ascii="Arial" w:cs="Arial" w:eastAsia="Arial" w:hAnsi="Arial"/>
          <w:sz w:val="12"/>
          <w:szCs w:val="12"/>
          <w:color w:val="auto"/>
        </w:rPr>
      </w:pPr>
      <w:r>
        <w:rPr>
          <w:rFonts w:ascii="Arial" w:cs="Arial" w:eastAsia="Arial" w:hAnsi="Arial"/>
          <w:sz w:val="14"/>
          <w:szCs w:val="14"/>
          <w:color w:val="auto"/>
        </w:rPr>
        <w:t>Dollar-based net revenue retention measures our ability to increase net revenue across our existing 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Trends in Our Favor</w:t>
      </w:r>
    </w:p>
    <w:p>
      <w:pPr>
        <w:spacing w:after="0" w:line="121"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projects electronic payments will represent 46% of the total global transaction volume by 2025, up from 31% in 2017. We believe that the COVID-19 pandemic has accelerated these shifts to digital payments. Indeed, Bain &amp; Company estimates that because of the effects of the COVID-19 pandemic, the percentage of global digital transaction volumes in 2025 will increase from 57% to 67%. According to McKinsey, a half-decade of change has happened in a few months as a result of the COVID-19 pandemic, with global cash payments dropping four to five times the annual decline rates seen over the last few years as consumers and businesses purchase a wider range of goods and services online.</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believe these digital commerce and electronic payment trends are the precursors to increased TPV across the Marqeta Platform.</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According to McKinsey, 60% of global digital commerce is expected to be made up of alternative payments by 2023. With this evolution, software companies are partnering with payments companies to provide simple, scalable, and configurable payment services across multiple geographies to meet their end users’ needs.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84" w:lineRule="exact"/>
        <w:rPr>
          <w:sz w:val="20"/>
          <w:szCs w:val="20"/>
          <w:color w:val="auto"/>
        </w:rPr>
      </w:pPr>
    </w:p>
    <w:p>
      <w:pPr>
        <w:jc w:val="both"/>
        <w:ind w:left="30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5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The proliferation of digital commerce required consumers and businesses to become comfortable with digital payments. Two decades after PayPal transformed online payments, consumers and businesses are increasingly turning to digital payments, digital banks, and payment technology companies for a wide range of financial services. Because of the COVID-19 pandemic, more people are willing to rely on digital payments for a wider variety of services. PYMNTS research finds that 40% of all U.S. consumers—approximately 99 million people—do not plan to resume regular in-store shopping.</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66"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27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While the acquirer-facing side of the payments ecosystem has seen significant technology innovation over the last several years, the issuer-facing side has remained largely stagnant. There are approximately 300 Acquiring 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consuming—ultimately stifling innovation.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300"/>
        <w:spacing w:after="0" w:line="275" w:lineRule="auto"/>
        <w:rPr>
          <w:sz w:val="20"/>
          <w:szCs w:val="20"/>
          <w:color w:val="auto"/>
        </w:rPr>
      </w:pPr>
      <w:r>
        <w:rPr>
          <w:rFonts w:ascii="Arial" w:cs="Arial" w:eastAsia="Arial" w:hAnsi="Arial"/>
          <w:sz w:val="17"/>
          <w:szCs w:val="17"/>
          <w:color w:val="auto"/>
        </w:rPr>
        <w:t>Today’s card issuers include technology-centric companies that are looking to digitally integrate payment cards into their platforms and process a rapidly growing number of complex payments transactions. Twenty-first 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 processing platform that overcomes legacy technology constraints while also being able to integrate seamlessly with Issuing Banks and Card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92"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96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4796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Platform and Products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Platform has a number of key attributes, including:</w:t>
      </w:r>
    </w:p>
    <w:p>
      <w:pPr>
        <w:spacing w:after="0" w:line="131" w:lineRule="exact"/>
        <w:rPr>
          <w:sz w:val="20"/>
          <w:szCs w:val="20"/>
          <w:color w:val="auto"/>
        </w:rPr>
      </w:pPr>
    </w:p>
    <w:p>
      <w:pPr>
        <w:jc w:val="both"/>
        <w:ind w:left="10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cards. Marqeta’s intuitive and feature-rich Platform is instantly available in our testing environment so developers can build cutting-edge embedded payment capabilities.</w:t>
      </w:r>
    </w:p>
    <w:p>
      <w:pPr>
        <w:spacing w:after="0" w:line="89"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Simple: </w:t>
      </w:r>
      <w:r>
        <w:rPr>
          <w:rFonts w:ascii="Arial" w:cs="Arial" w:eastAsia="Arial" w:hAnsi="Arial"/>
          <w:sz w:val="18"/>
          <w:szCs w:val="18"/>
          <w:color w:val="auto"/>
        </w:rPr>
        <w:t>Our Platform makes payment transactions simple by working behind the scenes to translate the complex into intuitive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developer-friendly user experiences. We provide direct integrations with the Card Networks, including Visa, Mastercard, and PULSE, which is part of the Discover Global Network, enabling developers to use Marqeta’s single unified platform for all of their payments integrations.</w:t>
      </w:r>
    </w:p>
    <w:p>
      <w:pPr>
        <w:spacing w:after="0" w:line="92"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confidence. As a global platform built on a single codebase to support our Customers worldwide, we have a build-once, deploy-anywhere model, offering seamless integration with global and local Card Networks.</w:t>
      </w:r>
    </w:p>
    <w:p>
      <w:pPr>
        <w:spacing w:after="0" w:line="89"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financing at the point-of-sale in the lending industry. Our Platform’s configurability significantly expands the categories of businesses that can begin issuing their own cards to solve complex payment needs.</w:t>
      </w:r>
    </w:p>
    <w:p>
      <w:pPr>
        <w:spacing w:after="0" w:line="89"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Innovative: </w:t>
      </w:r>
      <w:r>
        <w:rPr>
          <w:rFonts w:ascii="Arial" w:cs="Arial" w:eastAsia="Arial" w:hAnsi="Arial"/>
          <w:sz w:val="18"/>
          <w:szCs w:val="18"/>
          <w:color w:val="auto"/>
        </w:rPr>
        <w:t>Marqeta is a hub for innovation. Instant card issuance, provisioning to digital wallets, JIT Funding, and dynamic spend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enable our Customers to operate with unmatched speed and control.</w:t>
      </w:r>
    </w:p>
    <w:p>
      <w:pPr>
        <w:spacing w:after="0" w:line="75"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Trusted: </w:t>
      </w:r>
      <w:r>
        <w:rPr>
          <w:rFonts w:ascii="Arial" w:cs="Arial" w:eastAsia="Arial" w:hAnsi="Arial"/>
          <w:sz w:val="18"/>
          <w:szCs w:val="18"/>
          <w:color w:val="auto"/>
        </w:rPr>
        <w:t>Our Platform is trusted by some of the world’s largest financial institutions and commerce disruptors to perform at scale. From</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initiation through completion, the Marqeta Platform incorporates real-time confirmation of payments to our Customers in seconds. We meet the highest standards of Payment Card Industry, or PCI, compliance and provide a trusted environment for card issuing and payment processing with security, transparency, and real-time information.</w:t>
      </w:r>
    </w:p>
    <w:p>
      <w:pPr>
        <w:spacing w:after="0" w:line="18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6160" w:hanging="179"/>
        <w:spacing w:after="0" w:line="25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Marqeta Issuing:</w:t>
      </w:r>
      <w:r>
        <w:rPr>
          <w:rFonts w:ascii="Arial" w:cs="Arial" w:eastAsia="Arial" w:hAnsi="Arial"/>
          <w:sz w:val="18"/>
          <w:szCs w:val="18"/>
          <w:color w:val="auto"/>
        </w:rPr>
        <w:t xml:space="preserve"> We enable our Customers to issue physical, virtual, and tokenized cards. With approximately 320 million cards issued through the Marqeta Platform as of March 31, 2021, across a deep and varied Customer base, we have significant industry experience supporting card programs of multiple types and sizes.</w:t>
      </w:r>
    </w:p>
    <w:p>
      <w:pPr>
        <w:spacing w:after="0" w:line="98" w:lineRule="exact"/>
        <w:rPr>
          <w:sz w:val="20"/>
          <w:szCs w:val="20"/>
          <w:color w:val="auto"/>
        </w:rPr>
      </w:pPr>
    </w:p>
    <w:p>
      <w:pPr>
        <w:jc w:val="both"/>
        <w:ind w:left="6160" w:hanging="179"/>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Marqeta Processing:</w:t>
      </w:r>
      <w:r>
        <w:rPr>
          <w:rFonts w:ascii="Arial" w:cs="Arial" w:eastAsia="Arial" w:hAnsi="Arial"/>
          <w:sz w:val="18"/>
          <w:szCs w:val="18"/>
          <w:color w:val="auto"/>
        </w:rPr>
        <w:t xml:space="preserve"> Our Platform can process transactions with control and speed for our Customers, leveraging certain of our core competencies.</w:t>
      </w:r>
    </w:p>
    <w:p>
      <w:pPr>
        <w:spacing w:after="0" w:line="89" w:lineRule="exact"/>
        <w:rPr>
          <w:sz w:val="20"/>
          <w:szCs w:val="20"/>
          <w:color w:val="auto"/>
        </w:rPr>
      </w:pPr>
    </w:p>
    <w:p>
      <w:pPr>
        <w:jc w:val="both"/>
        <w:ind w:left="6160" w:hanging="179"/>
        <w:spacing w:after="0" w:line="275"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Marqeta Applications:</w:t>
      </w:r>
      <w:r>
        <w:rPr>
          <w:rFonts w:ascii="Arial" w:cs="Arial" w:eastAsia="Arial" w:hAnsi="Arial"/>
          <w:sz w:val="17"/>
          <w:szCs w:val="17"/>
          <w:color w:val="auto"/>
        </w:rPr>
        <w:t xml:space="preserve"> Using the Marqeta Platform, Customers can leverage applications that cover the entire payments lifecycle, including development tools; program administration; and fraud, cases, and chargebacks. These applications help ensure their programs are as successful as possible.</w:t>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2</w:t>
      </w:r>
      <w:r>
        <w:rPr>
          <w:rFonts w:ascii="Arial" w:cs="Arial" w:eastAsia="Arial" w:hAnsi="Arial"/>
          <w:sz w:val="18"/>
          <w:szCs w:val="18"/>
          <w:color w:val="auto"/>
        </w:rPr>
        <w:t xml:space="preserve"> and during the twelve-month period ending December 31, 2020, we processed approximately 1.6 billion transactions on our Platform across the globe.</w:t>
      </w:r>
    </w:p>
    <w:p>
      <w:pPr>
        <w:spacing w:after="0" w:line="187"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We employ a usage-based model, based on processing volume,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Our Platform enables new and existing Customers to create innovative and configurable card issuing programs and to increase their processing volumes. Additionally, as we expand our use cases, product offerings, and global footprint, we help our Customers expand into new verticals, programs, markets, and geographies. We have experienced significant success with this strategy to date. We achieved year-over-year net revenue growth of 103% for the year ended December 31, 2020 and dollar-based net revenue retention of over 200% for each of the years ended December 31, 2019 and 2020.</w:t>
      </w:r>
    </w:p>
    <w:p>
      <w:pPr>
        <w:spacing w:after="0" w:line="29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We believe we have the first-mover advantage and have leveraged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strong brand recognition and capture significant market share in an industry where customer retention is key and innovation can provide outsized rewards. We believe being first in the market and one of the only modern platforms focused on issuing and processing gives us a deep moat of</w:t>
      </w:r>
    </w:p>
    <w:p>
      <w:pPr>
        <w:spacing w:after="0" w:line="155" w:lineRule="exact"/>
        <w:rPr>
          <w:sz w:val="20"/>
          <w:szCs w:val="20"/>
          <w:color w:val="auto"/>
        </w:rPr>
      </w:pPr>
    </w:p>
    <w:p>
      <w:pPr>
        <w:ind w:left="600" w:hanging="302"/>
        <w:spacing w:after="0"/>
        <w:tabs>
          <w:tab w:leader="none" w:pos="600" w:val="left"/>
        </w:tabs>
        <w:numPr>
          <w:ilvl w:val="0"/>
          <w:numId w:val="4"/>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30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4305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technology, customer, and industry expertise. Our modern Platform offers multiple issuing and processing innovations, including open APIs, JIT Funding, and Tokenization as a Service. We continue to innovate on our Platform, and we believe that this innovation, coupled with our deep expertise, keeps us in a market-leading position.</w:t>
      </w:r>
    </w:p>
    <w:p>
      <w:pPr>
        <w:spacing w:after="0" w:line="76" w:lineRule="exact"/>
        <w:rPr>
          <w:sz w:val="20"/>
          <w:szCs w:val="20"/>
          <w:color w:val="auto"/>
        </w:rPr>
      </w:pPr>
    </w:p>
    <w:p>
      <w:pPr>
        <w:jc w:val="both"/>
        <w:ind w:left="300"/>
        <w:spacing w:after="0" w:line="290" w:lineRule="auto"/>
        <w:rPr>
          <w:sz w:val="20"/>
          <w:szCs w:val="20"/>
          <w:color w:val="auto"/>
        </w:rPr>
      </w:pPr>
      <w:r>
        <w:rPr>
          <w:rFonts w:ascii="Arial" w:cs="Arial" w:eastAsia="Arial" w:hAnsi="Arial"/>
          <w:sz w:val="16"/>
          <w:szCs w:val="16"/>
          <w:b w:val="1"/>
          <w:bCs w:val="1"/>
          <w:i w:val="1"/>
          <w:iCs w:val="1"/>
          <w:color w:val="auto"/>
        </w:rPr>
        <w:t xml:space="preserve">Widening the Gap via Continuous Innovation: </w:t>
      </w:r>
      <w:r>
        <w:rPr>
          <w:rFonts w:ascii="Arial" w:cs="Arial" w:eastAsia="Arial" w:hAnsi="Arial"/>
          <w:sz w:val="16"/>
          <w:szCs w:val="16"/>
          <w:color w:val="auto"/>
        </w:rPr>
        <w:t>We believe that we continually increase our market-leading position by innovating on our flexible,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software development kits, or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57"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b w:val="1"/>
          <w:bCs w:val="1"/>
          <w:i w:val="1"/>
          <w:iCs w:val="1"/>
          <w:color w:val="auto"/>
        </w:rPr>
        <w:t xml:space="preserve">Enduring Customer Relationships: </w:t>
      </w:r>
      <w:r>
        <w:rPr>
          <w:rFonts w:ascii="Arial" w:cs="Arial" w:eastAsia="Arial" w:hAnsi="Arial"/>
          <w:sz w:val="17"/>
          <w:szCs w:val="17"/>
          <w:color w:val="auto"/>
        </w:rPr>
        <w:t>Our dollar-based net revenue retention was over 200% for each of the years ended December 31, 2019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2020, illustrating the 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7"/>
          <w:szCs w:val="17"/>
          <w:i w:val="1"/>
          <w:iCs w:val="1"/>
          <w:color w:val="auto"/>
        </w:rPr>
        <w:t>technically</w:t>
      </w:r>
      <w:r>
        <w:rPr>
          <w:rFonts w:ascii="Arial" w:cs="Arial" w:eastAsia="Arial" w:hAnsi="Arial"/>
          <w:sz w:val="17"/>
          <w:szCs w:val="17"/>
          <w:color w:val="auto"/>
        </w:rPr>
        <w:t xml:space="preserve"> integrated within their products and solutions, </w:t>
      </w:r>
      <w:r>
        <w:rPr>
          <w:rFonts w:ascii="Arial" w:cs="Arial" w:eastAsia="Arial" w:hAnsi="Arial"/>
          <w:sz w:val="17"/>
          <w:szCs w:val="17"/>
          <w:i w:val="1"/>
          <w:iCs w:val="1"/>
          <w:color w:val="auto"/>
        </w:rPr>
        <w:t>operationally</w:t>
      </w:r>
      <w:r>
        <w:rPr>
          <w:rFonts w:ascii="Arial" w:cs="Arial" w:eastAsia="Arial" w:hAnsi="Arial"/>
          <w:sz w:val="17"/>
          <w:szCs w:val="17"/>
          <w:color w:val="auto"/>
        </w:rPr>
        <w:t xml:space="preserve"> integrated as Customers develop core processes around our tools and platform, and </w:t>
      </w:r>
      <w:r>
        <w:rPr>
          <w:rFonts w:ascii="Arial" w:cs="Arial" w:eastAsia="Arial" w:hAnsi="Arial"/>
          <w:sz w:val="17"/>
          <w:szCs w:val="17"/>
          <w:i w:val="1"/>
          <w:iCs w:val="1"/>
          <w:color w:val="auto"/>
        </w:rPr>
        <w:t>culturally</w:t>
      </w:r>
      <w:r>
        <w:rPr>
          <w:rFonts w:ascii="Arial" w:cs="Arial" w:eastAsia="Arial" w:hAnsi="Arial"/>
          <w:sz w:val="17"/>
          <w:szCs w:val="17"/>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70" w:lineRule="exact"/>
        <w:rPr>
          <w:sz w:val="20"/>
          <w:szCs w:val="20"/>
          <w:color w:val="auto"/>
        </w:rPr>
      </w:pPr>
    </w:p>
    <w:p>
      <w:pPr>
        <w:jc w:val="both"/>
        <w:ind w:left="300"/>
        <w:spacing w:after="0" w:line="296" w:lineRule="auto"/>
        <w:rPr>
          <w:sz w:val="20"/>
          <w:szCs w:val="20"/>
          <w:color w:val="auto"/>
        </w:rPr>
      </w:pPr>
      <w:r>
        <w:rPr>
          <w:rFonts w:ascii="Arial" w:cs="Arial" w:eastAsia="Arial" w:hAnsi="Arial"/>
          <w:sz w:val="16"/>
          <w:szCs w:val="16"/>
          <w:b w:val="1"/>
          <w:bCs w:val="1"/>
          <w:i w:val="1"/>
          <w:iCs w:val="1"/>
          <w:color w:val="auto"/>
        </w:rPr>
        <w:t xml:space="preserve">People-centric Culture and Values: </w:t>
      </w:r>
      <w:r>
        <w:rPr>
          <w:rFonts w:ascii="Arial" w:cs="Arial" w:eastAsia="Arial" w:hAnsi="Arial"/>
          <w:sz w:val="16"/>
          <w:szCs w:val="16"/>
          <w:color w:val="auto"/>
        </w:rPr>
        <w:t>Nothing is more powerful than a unified team focused on collective results. We believe our culture of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 We also believe our culture helps us hire and retain best-in-class talent. We believe we have created an environment where everyone belongs, and employees are empowered to do the best work of their lives.</w:t>
      </w:r>
    </w:p>
    <w:p>
      <w:pPr>
        <w:spacing w:after="0" w:line="161"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aggregate effect of these strengths and advantages is a strong competitive moat, predicated on our scale, Customer relationships, and the technological complexities that we have managed to streamline over time, while remaining agile, extensible, and innovative.</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left="300"/>
        <w:spacing w:after="0" w:line="273" w:lineRule="auto"/>
        <w:rPr>
          <w:sz w:val="20"/>
          <w:szCs w:val="20"/>
          <w:color w:val="auto"/>
        </w:rPr>
      </w:pPr>
      <w:r>
        <w:rPr>
          <w:rFonts w:ascii="Arial" w:cs="Arial" w:eastAsia="Arial" w:hAnsi="Arial"/>
          <w:sz w:val="17"/>
          <w:szCs w:val="17"/>
          <w:color w:val="auto"/>
        </w:rPr>
        <w:t>We believe the opportunity within payments and modern card issuing is tremendous. Euromonitor projects that global money movement will exceed $74 trillion in 2021, representing approximately 4 trillion individual payment transactions. The Nilson Report estimates that in 2019, approximately one-tenth of these transactions was carried out across global network cards, representing approximately $30 trillion of value exchanged. In 2020, the Marqeta Platform processed $60.1 billion of volume. This is less than 1% of the annual $6.7 trillion of transaction volume conducted through U.S. issuers in 2020, as estimated by The Nilson Report. We believe that our share of this massive opportunity will continue to increase due to our unique Platform, competitive advantages, and a strong culture of innovation.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16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transaction volumes today. Based on the Edgar Dunn study, these new verticals represented over $2 trillion of card transaction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on our Platform and TPV both rapidly grow. Today, the top 20 U.S. issuers support the processing of more than $4.5 trillion in annual payments volume, according to The Nilson Report. Our Platform is sought out by large financial institutions to improve their existing offerings and stay competitive with digitally native new market entrants.</w:t>
      </w: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market opportunity is tremendous, and we intend to expand our addressable market and increase our revenue by pursuing the following strategies:</w:t>
      </w:r>
    </w:p>
    <w:p>
      <w:pPr>
        <w:spacing w:after="0" w:line="76" w:lineRule="exact"/>
        <w:rPr>
          <w:sz w:val="20"/>
          <w:szCs w:val="20"/>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 With Our Existing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Onboard New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 Our Global Reach</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New Products and Services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Platform</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 In Our People</w:t>
      </w:r>
    </w:p>
    <w:p>
      <w:pPr>
        <w:spacing w:after="0" w:line="3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Culture &amp; Values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874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5874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These risks include, but are not limited to, the following:</w:t>
      </w:r>
    </w:p>
    <w:p>
      <w:pPr>
        <w:spacing w:after="0" w:line="76" w:lineRule="exact"/>
        <w:rPr>
          <w:sz w:val="20"/>
          <w:szCs w:val="20"/>
          <w:color w:val="auto"/>
        </w:rPr>
      </w:pPr>
    </w:p>
    <w:p>
      <w:pPr>
        <w:ind w:left="1020" w:hanging="19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experienced rapid net revenue growth in recent periods and our recent net revenue growth rates may not be indicative of our future net revenue growth.</w:t>
      </w:r>
    </w:p>
    <w:p>
      <w:pPr>
        <w:spacing w:after="0" w:line="75" w:lineRule="exact"/>
        <w:rPr>
          <w:rFonts w:ascii="Arial" w:cs="Arial" w:eastAsia="Arial" w:hAnsi="Arial"/>
          <w:sz w:val="18"/>
          <w:szCs w:val="18"/>
          <w:color w:val="auto"/>
        </w:rPr>
      </w:pPr>
    </w:p>
    <w:p>
      <w:pPr>
        <w:ind w:left="1020" w:right="20" w:hanging="195"/>
        <w:spacing w:after="0" w:line="30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net revenue growth depends on our ability to retain existing Customers, drive increased TPV on our Platform, and attract new Customers in a cost-effective manner.</w:t>
      </w:r>
    </w:p>
    <w:p>
      <w:pPr>
        <w:spacing w:after="0" w:line="75" w:lineRule="exact"/>
        <w:rPr>
          <w:rFonts w:ascii="Arial" w:cs="Arial" w:eastAsia="Arial" w:hAnsi="Arial"/>
          <w:sz w:val="18"/>
          <w:szCs w:val="18"/>
          <w:color w:val="auto"/>
        </w:rPr>
      </w:pPr>
    </w:p>
    <w:p>
      <w:pPr>
        <w:ind w:left="1020" w:hanging="195"/>
        <w:spacing w:after="0" w:line="30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generate significant net revenue from our largest Customer, Square, Inc., or Square, and the loss or decline in net revenue from Square could adversely affect our business, results of operations, and financial condition.</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recent growth, ongoing changes in our industry, and our transaction mix make it difficult to forecast our net revenue and evaluate our business and future prospects.</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net losses, we anticipate increasing operating expenses in the future, and we may not be able to achieve and maintain profitability.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96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hanging="195"/>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global COVID-19 pandemic could adversely affect our business, results of operations, and financial condition.</w:t>
      </w:r>
    </w:p>
    <w:p>
      <w:pPr>
        <w:spacing w:after="0" w:line="130"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89" w:lineRule="exact"/>
        <w:rPr>
          <w:rFonts w:ascii="Arial" w:cs="Arial" w:eastAsia="Arial" w:hAnsi="Arial"/>
          <w:sz w:val="18"/>
          <w:szCs w:val="18"/>
          <w:color w:val="auto"/>
        </w:rPr>
      </w:pPr>
    </w:p>
    <w:p>
      <w:pPr>
        <w:jc w:val="both"/>
        <w:ind w:left="1020" w:hanging="195"/>
        <w:spacing w:after="0" w:line="25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18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results of operations, financial condition, and prospects may be harmed.</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 the investor relations page on our website, blog posts on our website, press releases, public conference calls, webcasts, our twitter feed (@Marqeta), our Instagram page (@lifeatmarqeta), our Facebook page, and our LinkedIn page.</w:t>
      </w:r>
    </w:p>
    <w:p>
      <w:pPr>
        <w:spacing w:after="0" w:line="184"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70"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Any updates to the list of disclosure channels through which we will announce information will be posted on the investor relations page on our website. Information contained on or accessible through our website is not incorporated by reference into this prospectus, and inclusion of our website address in this prospectus is an inactive textual reference only. You should not consider information contained on our website to be part of this prospectus or in deciding whether to purchase shares of our Class A common stock.</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were incorporated in 2010 under the name Marqeta, Inc. as a Delaware corporation. Our principal executive offices are located at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 and our telephone number is (888) 462-7738. Our website address is www.marqeta.com. Information contained on or that can be accessed through our website does not constitute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“Marqeta” is our registered trademark in the United States, Canada, the European Union, the United Kingdom, and Norway. Other trademarks and trade names referred to in this prospectus are the property of their respective owners.</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have elected to take advantage of certain exemptions from various public reporting requirements, including the requirement that our internal control over financial reporting be audited by our independent registered public accounting firm pursuant to Section 404 of the Sarbanes-Oxley Act of 2002, or the Sarbanes Oxley Act, certain requirements related to the disclosure of executive compensation in this prospectus and in our periodic reports and proxy statements, and the requirement that we hold a nonbinding advisory vote on executive compensation and any golden parachute payments. We may take advantage of these exemptions until we are no longer an emerging growth company.</w:t>
      </w:r>
    </w:p>
    <w:p>
      <w:pPr>
        <w:spacing w:after="0" w:line="178"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8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For certain risks related to our status as an emerging growth company, see the section titled “Risk Factors—Risks Relating to Our Initial Public Offering and Ownership of Our Common Stock—We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16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5"/>
          <w:szCs w:val="15"/>
          <w:color w:val="auto"/>
        </w:rPr>
        <w:t>45,454,546 shares</w:t>
      </w:r>
    </w:p>
    <w:p>
      <w:pPr>
        <w:spacing w:after="0" w:line="26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Class A common stock to be outstanding after this offering</w:t>
      </w:r>
      <w:r>
        <w:rPr>
          <w:sz w:val="20"/>
          <w:szCs w:val="20"/>
          <w:color w:val="auto"/>
        </w:rPr>
        <w:tab/>
      </w:r>
      <w:r>
        <w:rPr>
          <w:rFonts w:ascii="Arial" w:cs="Arial" w:eastAsia="Arial" w:hAnsi="Arial"/>
          <w:sz w:val="15"/>
          <w:szCs w:val="15"/>
          <w:color w:val="auto"/>
        </w:rPr>
        <w:t>45,454,546 shares</w:t>
      </w:r>
    </w:p>
    <w:p>
      <w:pPr>
        <w:spacing w:after="0" w:line="26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Class B common stock to be outstanding after this offering</w:t>
      </w:r>
      <w:r>
        <w:rPr>
          <w:sz w:val="20"/>
          <w:szCs w:val="20"/>
          <w:color w:val="auto"/>
        </w:rPr>
        <w:tab/>
      </w:r>
      <w:r>
        <w:rPr>
          <w:rFonts w:ascii="Arial" w:cs="Arial" w:eastAsia="Arial" w:hAnsi="Arial"/>
          <w:sz w:val="15"/>
          <w:szCs w:val="15"/>
          <w:color w:val="auto"/>
        </w:rPr>
        <w:t>484,791,355 shares</w:t>
      </w:r>
    </w:p>
    <w:p>
      <w:pPr>
        <w:spacing w:after="0" w:line="26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Option to purchase additional shares of Class A common stock from us</w:t>
      </w:r>
      <w:r>
        <w:rPr>
          <w:sz w:val="20"/>
          <w:szCs w:val="20"/>
          <w:color w:val="auto"/>
        </w:rPr>
        <w:tab/>
      </w:r>
      <w:r>
        <w:rPr>
          <w:rFonts w:ascii="Arial" w:cs="Arial" w:eastAsia="Arial" w:hAnsi="Arial"/>
          <w:sz w:val="16"/>
          <w:szCs w:val="16"/>
          <w:color w:val="auto"/>
        </w:rPr>
        <w:t>We have granted the underwriters an option, exercisable for 30 days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after the date of this prospectus, to purchase up to an additional</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6,818,181 shares from us.</w:t>
      </w:r>
    </w:p>
    <w:p>
      <w:pPr>
        <w:sectPr>
          <w:pgSz w:w="11900" w:h="16838" w:orient="portrait"/>
          <w:cols w:equalWidth="0" w:num="1">
            <w:col w:w="10940"/>
          </w:cols>
          <w:pgMar w:left="320" w:top="459" w:right="639" w:bottom="1440" w:gutter="0" w:footer="0" w:header="0"/>
        </w:sectPr>
      </w:pPr>
    </w:p>
    <w:p>
      <w:pPr>
        <w:spacing w:after="0" w:line="238" w:lineRule="exact"/>
        <w:rPr>
          <w:sz w:val="20"/>
          <w:szCs w:val="20"/>
          <w:color w:val="auto"/>
        </w:rPr>
      </w:pPr>
    </w:p>
    <w:p>
      <w:pPr>
        <w:ind w:left="400" w:hanging="107"/>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530,245,901 shares (or 537,064,082 shares if the underwriters’ option to purchase additional shares in this offering is exercised in full).</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principal purposes of this offering are to increase our capitalization, increase our financial flexibility, create a public market for our Class A common stock and enable access to the public equity markets for our stockholders and us. We estimate that the net proceeds from the sale of shares of our Class A common stock that we are selling in this offering will be approximately $921.5 million (or approximately $1,061.8 million if the underwriters’ option to purchase additional shares in this offering is exercised in full), based upon an assumed initial public offering price of $22.00 per share, which is the midpoint of the estimated offering price range set forth on the cover page of this prospectus, and after deducting estimated underwriting discounts and commissions and estimated offering expenses payable by us and tax withholdings related to the settlement of RSUs.</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intend to use the net proceeds of this offering for working capital, other general corporate purposes, and to fund our growth strategies discussed in this prospectus. We may also use a portion of the net proceeds to acquire or invest in complementary businesses, products, services, technologies, or other assets. We do not, however, have agreements or commitments to enter into any acquisitions or investments at this time. See the section titled “Use of Proceeds” for additional information.</w:t>
      </w:r>
    </w:p>
    <w:p>
      <w:pPr>
        <w:spacing w:after="0" w:line="200" w:lineRule="exact"/>
        <w:rPr>
          <w:sz w:val="20"/>
          <w:szCs w:val="20"/>
          <w:color w:val="auto"/>
        </w:rPr>
      </w:pPr>
    </w:p>
    <w:p>
      <w:pPr>
        <w:sectPr>
          <w:pgSz w:w="11900" w:h="16838" w:orient="portrait"/>
          <w:cols w:equalWidth="0" w:num="2">
            <w:col w:w="5660" w:space="160"/>
            <w:col w:w="5120"/>
          </w:cols>
          <w:pgMar w:left="320" w:top="459" w:right="6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40"/>
          </w:cols>
          <w:pgMar w:left="320" w:top="459" w:right="63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764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have two classes of common stock: Class A common stock and Class B common stock.</w:t>
      </w:r>
    </w:p>
    <w:p>
      <w:pPr>
        <w:spacing w:after="0" w:line="197"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ind w:left="5820"/>
        <w:spacing w:after="0"/>
        <w:rPr>
          <w:sz w:val="20"/>
          <w:szCs w:val="20"/>
          <w:color w:val="auto"/>
        </w:rPr>
      </w:pPr>
      <w:r>
        <w:rPr>
          <w:rFonts w:ascii="Arial" w:cs="Arial" w:eastAsia="Arial" w:hAnsi="Arial"/>
          <w:sz w:val="16"/>
          <w:szCs w:val="16"/>
          <w:color w:val="auto"/>
        </w:rPr>
        <w:t>Shares of our Class A common stock are entitled to one vote per share.</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Shares of our Class B common stock are entitled to 10 votes per share.</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Holders of our Class A common stock and Class B common stock will</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generally vote together as a single class, unless otherwise required by</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law or our amended and restated certificate of incorporation that will</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 in effect on the completion of this offering. The holders of our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outstanding Class B common stock will hold approximately 99.1% of</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voting power of our outstanding capital stock following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completion of this offering and will have the ability to control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outcome  of  matters  submitted  to  our  stockholders  for  approval,</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including the election of our directors and the approval of any change</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in control transaction. See the sections titled “Principal Stockholders”</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“Description of Capital Stock” for additional information.</w:t>
      </w:r>
    </w:p>
    <w:p>
      <w:pPr>
        <w:sectPr>
          <w:pgSz w:w="11900" w:h="16838" w:orient="portrait"/>
          <w:cols w:equalWidth="0" w:num="1">
            <w:col w:w="10940"/>
          </w:cols>
          <w:pgMar w:left="320" w:top="459" w:right="639" w:bottom="1440" w:gutter="0" w:footer="0" w:header="0"/>
          <w:type w:val="continuous"/>
        </w:sectPr>
      </w:pPr>
    </w:p>
    <w:p>
      <w:pPr>
        <w:spacing w:after="0" w:line="23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Concentration of ownership</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completion of this offering, our executive officers and directors, and their affiliates, will beneficially own, in the aggregate, approximately 32.0% of our outstanding shares of common stock, representing approximately 34.5% of the voting power of our outstanding shares of common stock.</w:t>
      </w:r>
    </w:p>
    <w:p>
      <w:pPr>
        <w:spacing w:after="0" w:line="200"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Arial" w:cs="Arial" w:eastAsia="Arial" w:hAnsi="Arial"/>
          <w:sz w:val="18"/>
          <w:szCs w:val="18"/>
          <w:color w:val="auto"/>
        </w:rPr>
        <w:t>See the section titled “Risk Factors” for a discussion of factors you should carefully consider before deciding to invest in our Class A common stock.</w:t>
      </w:r>
    </w:p>
    <w:p>
      <w:pPr>
        <w:spacing w:after="0" w:line="200"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Proposed 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“MQ.”</w:t>
      </w:r>
    </w:p>
    <w:p>
      <w:pPr>
        <w:spacing w:after="0" w:line="200"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spacing w:after="0" w:line="39"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no shares of our Class A common stock and 484,791,355 shares of our Class B common stock outstanding including our redeemable convertible preferred stock on as-converted basis as of March 31, 2021, and excludes:</w:t>
      </w:r>
    </w:p>
    <w:p>
      <w:pPr>
        <w:spacing w:after="0" w:line="89" w:lineRule="exact"/>
        <w:rPr>
          <w:sz w:val="20"/>
          <w:szCs w:val="20"/>
          <w:color w:val="auto"/>
        </w:rPr>
      </w:pPr>
    </w:p>
    <w:p>
      <w:pPr>
        <w:ind w:left="1020" w:right="20" w:hanging="195"/>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24,332,915 shares of our Class B common stock issuable upon the exercise of options to purchase shares of our Class B common stock that were outstanding as of March 31, 2021, with a weighted-average exercise price of $2.92 per share;</w:t>
      </w:r>
    </w:p>
    <w:p>
      <w:pPr>
        <w:spacing w:after="0" w:line="75"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5,764,108 RSUs for shares of our Class B common stock that are issuable upon satisfaction of both service and liquidity conditions outstanding as of March 31, 2021, for which the service condition was not yet satisfied as of March 31,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25,033,190 shares of our Class B common stock issuable upon the exercise of options to purchase common stock granted after March 31, 2021, with a weighted-average exercise price of $21.617 per share;</w:t>
      </w:r>
    </w:p>
    <w:p>
      <w:pPr>
        <w:spacing w:after="0" w:line="75"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3,165,872 RSUs for shares of our Class B common stock that are issuable upon satisfaction of only service conditions that were granted after March 31, 2021;</w:t>
      </w:r>
    </w:p>
    <w:p>
      <w:pPr>
        <w:spacing w:after="0" w:line="75" w:lineRule="exact"/>
        <w:rPr>
          <w:rFonts w:ascii="Arial" w:cs="Arial" w:eastAsia="Arial" w:hAnsi="Arial"/>
          <w:sz w:val="18"/>
          <w:szCs w:val="18"/>
          <w:color w:val="auto"/>
        </w:rPr>
      </w:pPr>
    </w:p>
    <w:p>
      <w:pPr>
        <w:ind w:left="1020" w:right="20" w:hanging="195"/>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March 31, 2021, with a weighted-average exercise price of $0.295 per share;</w:t>
      </w:r>
    </w:p>
    <w:p>
      <w:pPr>
        <w:spacing w:after="0" w:line="51" w:lineRule="exact"/>
        <w:rPr>
          <w:rFonts w:ascii="Arial" w:cs="Arial" w:eastAsia="Arial" w:hAnsi="Arial"/>
          <w:sz w:val="17"/>
          <w:szCs w:val="17"/>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669,528 shares of Class B common stock issuable upon the exercise of common stock warrants held by Silicon Valley Bank outstanding as of March 31, 2021, with a weighted-average exercise price of $0.053 per share;</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1020" w:hanging="195"/>
        <w:spacing w:after="0" w:line="25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Technologies, Inc., or Uber, dated September 15, 2020, with an exercise price of $0.01 per share, 22,500 of which are currently exercisable and 727,500 of which are exercisable upon attaining certain milestones over a five-year period, including the launch of certain Uber card programs on our Platform, achievement of annual transaction count thresholds and completion of certain joint marketing activities, or the Uber Warrant Milestones;</w:t>
      </w:r>
    </w:p>
    <w:p>
      <w:pPr>
        <w:spacing w:after="0" w:line="93"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certain milestones relating to Square’s creation of a specified percentage of new cardholders on our Platform each year over a three-year period, or the Square Warrant Milestones;</w:t>
      </w:r>
    </w:p>
    <w:p>
      <w:pPr>
        <w:spacing w:after="0" w:line="92"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Business Corporation, or Ramp, dated March 31, 2021, with an exercise price of $0.01 per share, none of which are currently exercisable and all of which are exercisable upon attaining certain milestones relating to Ramp’s creation of a specified percentage of new cardholders on our Platform each year over a three-year period, or the Ramp Warrant Milestones;</w:t>
      </w:r>
    </w:p>
    <w:p>
      <w:pPr>
        <w:spacing w:after="0" w:line="92"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2,863,310 shares of our Class B common stock reserved for future issuance pursuant to our Amended and Restated 2011 Equity Incentive Plan, as amended, or our 2011 Plan; and</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66,000,000 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1440" w:right="20" w:hanging="399"/>
        <w:spacing w:after="0" w:line="277" w:lineRule="auto"/>
        <w:tabs>
          <w:tab w:leader="none" w:pos="1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60,000,000 shares of our Class A common stock reserved for future issuance under our 2021 Stock Option and Incentive Plan, or our 2021 Plan; and</w:t>
      </w:r>
    </w:p>
    <w:p>
      <w:pPr>
        <w:spacing w:after="0" w:line="75" w:lineRule="exact"/>
        <w:rPr>
          <w:rFonts w:ascii="Arial" w:cs="Arial" w:eastAsia="Arial" w:hAnsi="Arial"/>
          <w:sz w:val="18"/>
          <w:szCs w:val="18"/>
          <w:color w:val="auto"/>
        </w:rPr>
      </w:pPr>
    </w:p>
    <w:p>
      <w:pPr>
        <w:ind w:left="1440" w:right="20" w:hanging="399"/>
        <w:spacing w:after="0" w:line="277" w:lineRule="auto"/>
        <w:tabs>
          <w:tab w:leader="none" w:pos="1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6,000,000 shares of our Class A common stock reserved for future issuance under our 2021 Employee Stock Purchase Plan, or our ESPP.</w:t>
      </w:r>
    </w:p>
    <w:p>
      <w:pPr>
        <w:spacing w:after="0" w:line="170"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2021 Plan and ESPP each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 Employee Benefits and Stock Plans.”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21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3021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20" w:hanging="19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020" w:hanging="195"/>
        <w:spacing w:after="0" w:line="30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redeemable convertible preferred stock into an aggregate of 351,844,340 shares of our Class B common stock, the conversion of which will occur immediately prior to the completion of this offering;</w:t>
      </w:r>
    </w:p>
    <w:p>
      <w:pPr>
        <w:spacing w:after="0" w:line="51" w:lineRule="exact"/>
        <w:rPr>
          <w:rFonts w:ascii="Arial" w:cs="Arial" w:eastAsia="Arial" w:hAnsi="Arial"/>
          <w:sz w:val="17"/>
          <w:szCs w:val="17"/>
          <w:color w:val="auto"/>
        </w:rPr>
      </w:pPr>
    </w:p>
    <w:p>
      <w:pPr>
        <w:ind w:left="1020" w:hanging="195"/>
        <w:spacing w:after="0" w:line="30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reclassification of our outstanding existing common stock into an equivalent number of shares of our Class B common stock and the authorization of our Class A common stock, which will occur immediately prior to the completion of this offering;</w:t>
      </w:r>
    </w:p>
    <w:p>
      <w:pPr>
        <w:spacing w:after="0" w:line="51" w:lineRule="exact"/>
        <w:rPr>
          <w:rFonts w:ascii="Arial" w:cs="Arial" w:eastAsia="Arial" w:hAnsi="Arial"/>
          <w:sz w:val="17"/>
          <w:szCs w:val="17"/>
          <w:color w:val="auto"/>
        </w:rPr>
      </w:pPr>
    </w:p>
    <w:p>
      <w:pPr>
        <w:jc w:val="both"/>
        <w:ind w:left="1020" w:hanging="195"/>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automatic conversion of the redeemable convertible preferred and common stock warrants to Class B common stock warrants, and the resulting remeasurement and reclassification of the redeemable convertible preferred stock warrant liabilities to additional paid-in capital, which will occur immediately prior to the completion of this offering;</w:t>
      </w:r>
    </w:p>
    <w:p>
      <w:pPr>
        <w:spacing w:after="0" w:line="89"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issuance of 428,675 shares of our Class B common stock issuable pursuant to the vesting and settlement of 739,095 RSUs for which the service condition was satisfied as of March 31, 2021, and for which we expect the liquidity condition to be satisfied in connection with this offering (based on an assumed 42% tax withholding rate);</w:t>
      </w:r>
    </w:p>
    <w:p>
      <w:pPr>
        <w:spacing w:after="0" w:line="89"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6,818,181 shares of Class A common stock from us in this offering; and</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or settlement of outstanding RSUs subsequent to March 31,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21"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The following tables summarize our consolidated financial and other data. We derived the summary consolidated statements of operations data for the years ended December 31, 2019 and 2020, and the consolidated balance sheet data as of December 31, 2020 from our audited consolidated financial statements included elsewhere in this prospectus. We derived the summary consolidated statements of operations data for the three months ended March 31, 2020 and 2021, and the consolidated balance sheet data as of March 31, 2021 from our unaudited consolidated financial statements included elsewhere in this prospectus. In our opinion, such financial statements include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summary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0" w:type="dxa"/>
            <w:vAlign w:val="bottom"/>
            <w:gridSpan w:val="13"/>
          </w:tcPr>
          <w:p>
            <w:pPr>
              <w:jc w:val="right"/>
              <w:ind w:right="551"/>
              <w:spacing w:after="0" w:line="142" w:lineRule="exact"/>
              <w:rPr>
                <w:sz w:val="20"/>
                <w:szCs w:val="20"/>
                <w:color w:val="auto"/>
              </w:rPr>
            </w:pPr>
            <w:r>
              <w:rPr>
                <w:rFonts w:ascii="Arial" w:cs="Arial" w:eastAsia="Arial" w:hAnsi="Arial"/>
                <w:sz w:val="14"/>
                <w:szCs w:val="14"/>
                <w:b w:val="1"/>
                <w:bCs w:val="1"/>
                <w:color w:val="auto"/>
              </w:rPr>
              <w:t>(in thousands, except per share amounts or as noted)</w:t>
            </w: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143,267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3"/>
              </w:rPr>
              <w:t>$290,292</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48,388</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107,983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58,126</w:t>
            </w:r>
          </w:p>
        </w:tc>
        <w:tc>
          <w:tcPr>
            <w:tcW w:w="200" w:type="dxa"/>
            <w:vAlign w:val="bottom"/>
            <w:shd w:val="clear" w:color="auto" w:fill="CCEEFF"/>
          </w:tcPr>
          <w:p>
            <w:pPr>
              <w:spacing w:after="0"/>
              <w:rPr>
                <w:sz w:val="18"/>
                <w:szCs w:val="18"/>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49,857</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44,839</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All other operating expenses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5"/>
              </w:rPr>
              <w:t>(58,863)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(10,652)</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(2,167)</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(58,200</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(47,695)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(14,530)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(12,838)</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Net loss per share attributable to Class A and Class B common stockholders,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80" w:type="dxa"/>
            <w:vAlign w:val="bottom"/>
          </w:tcPr>
          <w:p>
            <w:pPr>
              <w:spacing w:after="0" w:line="201" w:lineRule="exact"/>
              <w:rPr>
                <w:sz w:val="20"/>
                <w:szCs w:val="20"/>
                <w:color w:val="auto"/>
              </w:rPr>
            </w:pPr>
            <w:r>
              <w:rPr>
                <w:rFonts w:ascii="Arial" w:cs="Arial" w:eastAsia="Arial" w:hAnsi="Arial"/>
                <w:sz w:val="18"/>
                <w:szCs w:val="18"/>
                <w:color w:val="auto"/>
                <w:w w:val="93"/>
              </w:rPr>
              <w:t>Weighted-average shares used in computing net loss per share attributable to</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Class A and Class B common stockholders, basic and diluted</w:t>
            </w:r>
            <w:r>
              <w:rPr>
                <w:rFonts w:ascii="Arial" w:cs="Arial" w:eastAsia="Arial" w:hAnsi="Arial"/>
                <w:sz w:val="15"/>
                <w:szCs w:val="15"/>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113,852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122,933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118,478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130,841</w:t>
            </w:r>
          </w:p>
        </w:tc>
        <w:tc>
          <w:tcPr>
            <w:tcW w:w="2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 forma net loss attributable to Class A and Class B common stockholders,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(55,542)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(29,730)</w:t>
            </w:r>
          </w:p>
        </w:tc>
      </w:tr>
      <w:tr>
        <w:trPr>
          <w:trHeight w:val="202"/>
        </w:trPr>
        <w:tc>
          <w:tcPr>
            <w:tcW w:w="20" w:type="dxa"/>
            <w:vAlign w:val="bottom"/>
          </w:tcPr>
          <w:p>
            <w:pPr>
              <w:spacing w:after="0"/>
              <w:rPr>
                <w:sz w:val="17"/>
                <w:szCs w:val="17"/>
                <w:color w:val="auto"/>
              </w:rPr>
            </w:pPr>
          </w:p>
        </w:tc>
        <w:tc>
          <w:tcPr>
            <w:tcW w:w="5780" w:type="dxa"/>
            <w:vAlign w:val="bottom"/>
          </w:tcPr>
          <w:p>
            <w:pPr>
              <w:spacing w:after="0" w:line="201" w:lineRule="exact"/>
              <w:rPr>
                <w:sz w:val="20"/>
                <w:szCs w:val="20"/>
                <w:color w:val="auto"/>
              </w:rPr>
            </w:pPr>
            <w:r>
              <w:rPr>
                <w:rFonts w:ascii="Arial" w:cs="Arial" w:eastAsia="Arial" w:hAnsi="Arial"/>
                <w:sz w:val="18"/>
                <w:szCs w:val="18"/>
                <w:color w:val="auto"/>
                <w:w w:val="98"/>
              </w:rPr>
              <w:t>Pro forma net loss per share attributable to Class A and Class B common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stockholders, basic and diluted (unaudited)</w:t>
            </w:r>
            <w:r>
              <w:rPr>
                <w:rFonts w:ascii="Arial" w:cs="Arial" w:eastAsia="Arial" w:hAnsi="Arial"/>
                <w:sz w:val="15"/>
                <w:szCs w:val="15"/>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shares used in computing pro forma net loss per share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attributable to Class A and Class B common stockholders, basic and diluted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469,360</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483,415</w:t>
            </w:r>
          </w:p>
        </w:tc>
        <w:tc>
          <w:tcPr>
            <w:tcW w:w="200" w:type="dxa"/>
            <w:vAlign w:val="bottom"/>
            <w:shd w:val="clear" w:color="auto" w:fill="CCEEFF"/>
          </w:tcPr>
          <w:p>
            <w:pPr>
              <w:spacing w:after="0"/>
              <w:rPr>
                <w:sz w:val="20"/>
                <w:szCs w:val="20"/>
                <w:color w:val="auto"/>
              </w:rPr>
            </w:pPr>
          </w:p>
        </w:tc>
      </w:tr>
    </w:tbl>
    <w:p>
      <w:pPr>
        <w:spacing w:after="0" w:line="179" w:lineRule="exact"/>
        <w:rPr>
          <w:sz w:val="20"/>
          <w:szCs w:val="20"/>
          <w:color w:val="auto"/>
        </w:rPr>
      </w:pPr>
    </w:p>
    <w:p>
      <w:pPr>
        <w:jc w:val="both"/>
        <w:ind w:left="820" w:hanging="522"/>
        <w:spacing w:after="0" w:line="265"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Compensation and benefits include share-based compensation expense of $21.8 million, $28.2 million, $3.7 million and $11.4 million for the years ended December 31, 2019 and December 31, 2020, and the three months ended March 31, 2020 and 2021, respectively. Following this offering, our future operating expenses, particularly in the quarter in which this offering is completed, will include substantial share-based compensation expense with respect to our RSUs as well as any other share-based awards we may grant in the future.</w:t>
      </w:r>
    </w:p>
    <w:p>
      <w:pPr>
        <w:spacing w:after="0" w:line="1" w:lineRule="exact"/>
        <w:rPr>
          <w:rFonts w:ascii="Arial" w:cs="Arial" w:eastAsia="Arial" w:hAnsi="Arial"/>
          <w:sz w:val="16"/>
          <w:szCs w:val="16"/>
          <w:color w:val="auto"/>
        </w:rPr>
      </w:pPr>
    </w:p>
    <w:p>
      <w:pPr>
        <w:ind w:left="820" w:hanging="522"/>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820" w:hanging="522"/>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 for the detailed calculation.</w:t>
      </w: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As of March 31, 2021</w:t>
            </w: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Actual</w:t>
            </w: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90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forma</w:t>
            </w:r>
            <w:r>
              <w:rPr>
                <w:rFonts w:ascii="Arial" w:cs="Arial" w:eastAsia="Arial" w:hAnsi="Arial"/>
                <w:sz w:val="12"/>
                <w:szCs w:val="12"/>
                <w:b w:val="1"/>
                <w:bCs w:val="1"/>
                <w:color w:val="auto"/>
                <w:w w:val="96"/>
              </w:rPr>
              <w:t>(1)</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adjusted</w:t>
            </w:r>
            <w:r>
              <w:rPr>
                <w:rFonts w:ascii="Arial" w:cs="Arial" w:eastAsia="Arial" w:hAnsi="Arial"/>
                <w:sz w:val="12"/>
                <w:szCs w:val="12"/>
                <w:b w:val="1"/>
                <w:bCs w:val="1"/>
                <w:color w:val="auto"/>
                <w:w w:val="98"/>
              </w:rPr>
              <w:t>(2)(3)</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2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20" w:type="dxa"/>
            <w:vAlign w:val="bottom"/>
            <w:gridSpan w:val="2"/>
          </w:tcPr>
          <w:p>
            <w:pPr>
              <w:jc w:val="right"/>
              <w:ind w:right="68"/>
              <w:spacing w:after="0"/>
              <w:rPr>
                <w:sz w:val="20"/>
                <w:szCs w:val="20"/>
                <w:color w:val="auto"/>
              </w:rPr>
            </w:pPr>
            <w:r>
              <w:rPr>
                <w:rFonts w:ascii="Arial" w:cs="Arial" w:eastAsia="Arial" w:hAnsi="Arial"/>
                <w:sz w:val="18"/>
                <w:szCs w:val="18"/>
                <w:color w:val="auto"/>
              </w:rPr>
              <w:t>$ 247,630</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$247,630</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$1,173,012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7,800</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7,800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Marketable securities</w:t>
            </w:r>
          </w:p>
        </w:tc>
        <w:tc>
          <w:tcPr>
            <w:tcW w:w="3320" w:type="dxa"/>
            <w:vAlign w:val="bottom"/>
            <w:gridSpan w:val="2"/>
          </w:tcPr>
          <w:p>
            <w:pPr>
              <w:jc w:val="right"/>
              <w:ind w:right="68"/>
              <w:spacing w:after="0"/>
              <w:rPr>
                <w:sz w:val="20"/>
                <w:szCs w:val="20"/>
                <w:color w:val="auto"/>
              </w:rPr>
            </w:pPr>
            <w:r>
              <w:rPr>
                <w:rFonts w:ascii="Arial" w:cs="Arial" w:eastAsia="Arial" w:hAnsi="Arial"/>
                <w:sz w:val="18"/>
                <w:szCs w:val="18"/>
                <w:color w:val="auto"/>
              </w:rPr>
              <w:t>140,145</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140,145</w:t>
            </w:r>
          </w:p>
        </w:tc>
        <w:tc>
          <w:tcPr>
            <w:tcW w:w="900" w:type="dxa"/>
            <w:vAlign w:val="bottom"/>
          </w:tcPr>
          <w:p>
            <w:pPr>
              <w:jc w:val="right"/>
              <w:spacing w:after="0"/>
              <w:rPr>
                <w:sz w:val="20"/>
                <w:szCs w:val="20"/>
                <w:color w:val="auto"/>
              </w:rPr>
            </w:pPr>
            <w:r>
              <w:rPr>
                <w:rFonts w:ascii="Arial" w:cs="Arial" w:eastAsia="Arial" w:hAnsi="Arial"/>
                <w:sz w:val="18"/>
                <w:szCs w:val="18"/>
                <w:color w:val="auto"/>
              </w:rPr>
              <w:t>140,145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289,370</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282,541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Total assets</w:t>
            </w:r>
          </w:p>
        </w:tc>
        <w:tc>
          <w:tcPr>
            <w:tcW w:w="3320" w:type="dxa"/>
            <w:vAlign w:val="bottom"/>
            <w:gridSpan w:val="2"/>
          </w:tcPr>
          <w:p>
            <w:pPr>
              <w:jc w:val="right"/>
              <w:ind w:right="68"/>
              <w:spacing w:after="0"/>
              <w:rPr>
                <w:sz w:val="20"/>
                <w:szCs w:val="20"/>
                <w:color w:val="auto"/>
              </w:rPr>
            </w:pPr>
            <w:r>
              <w:rPr>
                <w:rFonts w:ascii="Arial" w:cs="Arial" w:eastAsia="Arial" w:hAnsi="Arial"/>
                <w:sz w:val="18"/>
                <w:szCs w:val="18"/>
                <w:color w:val="auto"/>
              </w:rPr>
              <w:t>481,803</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481,803</w:t>
            </w:r>
          </w:p>
        </w:tc>
        <w:tc>
          <w:tcPr>
            <w:tcW w:w="900" w:type="dxa"/>
            <w:vAlign w:val="bottom"/>
          </w:tcPr>
          <w:p>
            <w:pPr>
              <w:jc w:val="right"/>
              <w:spacing w:after="0"/>
              <w:rPr>
                <w:sz w:val="20"/>
                <w:szCs w:val="20"/>
                <w:color w:val="auto"/>
              </w:rPr>
            </w:pPr>
            <w:r>
              <w:rPr>
                <w:rFonts w:ascii="Arial" w:cs="Arial" w:eastAsia="Arial" w:hAnsi="Arial"/>
                <w:sz w:val="18"/>
                <w:szCs w:val="18"/>
                <w:color w:val="auto"/>
              </w:rPr>
              <w:t>1,402,439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193,497</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195,499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320" w:type="dxa"/>
            <w:vAlign w:val="bottom"/>
            <w:gridSpan w:val="2"/>
          </w:tcPr>
          <w:p>
            <w:pPr>
              <w:jc w:val="right"/>
              <w:ind w:right="68"/>
              <w:spacing w:after="0"/>
              <w:rPr>
                <w:sz w:val="20"/>
                <w:szCs w:val="20"/>
                <w:color w:val="auto"/>
              </w:rPr>
            </w:pPr>
            <w:r>
              <w:rPr>
                <w:rFonts w:ascii="Arial" w:cs="Arial" w:eastAsia="Arial" w:hAnsi="Arial"/>
                <w:sz w:val="18"/>
                <w:szCs w:val="18"/>
                <w:color w:val="auto"/>
              </w:rPr>
              <w:t>501,881</w:t>
            </w:r>
          </w:p>
        </w:tc>
        <w:tc>
          <w:tcPr>
            <w:tcW w:w="10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(213,575)</w:t>
            </w: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286,304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820" w:hanging="522"/>
        <w:spacing w:after="0" w:line="264"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pro forma column in the consolidated balance sheet data table above gives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 (iv) the reclassification of the redeemable convertible preferred stock warrant liabilities to additional paid-in capital, (v) the net issuance of 428,675 shares of our common stock issuable pursuant to the vesting and settlement of 739,095 RSUs for which the service condition was satisfied as of March 31, 2021, and for which we expect the liquidity condition to be satisfied in connection with this offering (based on an assumed 42% tax withholding rate), (vi) the increase in other accrued liabilities and an equivalent decrease in additional paid-in capital of $6.8 million in connection with tax withholding and remittance obligations related to such RSUs, based upon the initial public offering price of $22.00 per share, which is the midpoint of the estimated offering price range set forth on the cover page of this prospectus, all of which will occur immediately prior to the completion of this offering, as if such actions had occurred on December 31, 2020, and (vii) $19.2 million of cumulative share-based compensation expense related to the RSUs for which the service condition was satisfied as of March 31, 2021 and for which we expect the liquidity condition to be satisfied in connection with this offering.</w:t>
      </w:r>
    </w:p>
    <w:p>
      <w:pPr>
        <w:spacing w:after="0" w:line="5" w:lineRule="exact"/>
        <w:rPr>
          <w:rFonts w:ascii="Arial" w:cs="Arial" w:eastAsia="Arial" w:hAnsi="Arial"/>
          <w:sz w:val="16"/>
          <w:szCs w:val="16"/>
          <w:color w:val="auto"/>
        </w:rPr>
      </w:pPr>
    </w:p>
    <w:p>
      <w:pPr>
        <w:ind w:left="820" w:hanging="522"/>
        <w:spacing w:after="0"/>
        <w:tabs>
          <w:tab w:leader="none" w:pos="8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pro forma as adjusted column in the balance sheet data table above gives effect to (a) the pro forma adjustments set forth in footnote (1) above and</w:t>
      </w:r>
    </w:p>
    <w:p>
      <w:pPr>
        <w:spacing w:after="0" w:line="30" w:lineRule="exact"/>
        <w:rPr>
          <w:rFonts w:ascii="Arial" w:cs="Arial" w:eastAsia="Arial" w:hAnsi="Arial"/>
          <w:sz w:val="15"/>
          <w:szCs w:val="15"/>
          <w:color w:val="auto"/>
        </w:rPr>
      </w:pPr>
    </w:p>
    <w:p>
      <w:pPr>
        <w:jc w:val="both"/>
        <w:ind w:left="820" w:right="20"/>
        <w:spacing w:after="0" w:line="264" w:lineRule="auto"/>
        <w:rPr>
          <w:rFonts w:ascii="Arial" w:cs="Arial" w:eastAsia="Arial" w:hAnsi="Arial"/>
          <w:sz w:val="15"/>
          <w:szCs w:val="15"/>
          <w:color w:val="auto"/>
        </w:rPr>
      </w:pPr>
      <w:r>
        <w:rPr>
          <w:rFonts w:ascii="Arial" w:cs="Arial" w:eastAsia="Arial" w:hAnsi="Arial"/>
          <w:sz w:val="16"/>
          <w:szCs w:val="16"/>
          <w:color w:val="auto"/>
        </w:rPr>
        <w:t>(b) our receipt of estimated net proceeds from the sale and issuance by us of 45,454,546 shares of our Class A common stock in this offering, based on an assumed initial public offering price of $22.00 per share, which is the midpoint of the estimated offering price range set forth on the cover page of this prospectus, after deducting the estimated underwriting discounts and commissions and estimated offering expenses payable by us, and the use of proceeds to satisfy the withholding tax and remittance obligations described above.</w:t>
      </w:r>
    </w:p>
    <w:p>
      <w:pPr>
        <w:jc w:val="both"/>
        <w:ind w:left="820" w:hanging="522"/>
        <w:spacing w:after="0" w:line="287" w:lineRule="auto"/>
        <w:tabs>
          <w:tab w:leader="none" w:pos="8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Each $1.00 increase or decrease in the assumed initial public offering price of $22.00 per share, which is the midpoint of the estimated offering price range set forth on the cover page of this prospectus, would increase or decrease, as applicable, our cash, cash equivalents and marketable securities, total assets, and total stockholders’ equity (deficit) by approximately $42.2 million, assuming that the number of shares offered by us, as set forth on the cover page of this prospectus, remains the same and after deducting the estimated underwriting discounts and commissions and estimated offering expenses payable by us and tax withholdings related to the settlement of RSUs. Similarly, each increase or decrease of 1.0 million shares in the number of shares of our Class A common stock offered by us would increase or decrease, as applicable, our cash, cash equivalents and marketable securities, total assets, and total stockholders’ equity (deficit) by approximately $20.6 million, assuming the assumed initial public offering price remains the same,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621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3621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6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March 31,</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23,998</w:t>
            </w:r>
          </w:p>
        </w:tc>
        <w:tc>
          <w:tcPr>
            <w:tcW w:w="2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loss (in thousands)</w:t>
            </w:r>
          </w:p>
        </w:tc>
        <w:tc>
          <w:tcPr>
            <w:tcW w:w="2380" w:type="dxa"/>
            <w:vAlign w:val="bottom"/>
            <w:gridSpan w:val="3"/>
          </w:tcPr>
          <w:p>
            <w:pPr>
              <w:jc w:val="right"/>
              <w:ind w:right="708"/>
              <w:spacing w:after="0"/>
              <w:rPr>
                <w:sz w:val="20"/>
                <w:szCs w:val="20"/>
                <w:color w:val="auto"/>
              </w:rPr>
            </w:pPr>
            <w:r>
              <w:rPr>
                <w:rFonts w:ascii="Arial" w:cs="Arial" w:eastAsia="Arial" w:hAnsi="Arial"/>
                <w:sz w:val="18"/>
                <w:szCs w:val="18"/>
                <w:color w:val="auto"/>
              </w:rPr>
              <w:t>$(58,200)</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$(47,695)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(14,530)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(12,838)</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3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(40)%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2380" w:type="dxa"/>
            <w:vAlign w:val="bottom"/>
            <w:gridSpan w:val="3"/>
          </w:tcPr>
          <w:p>
            <w:pPr>
              <w:jc w:val="right"/>
              <w:ind w:right="708"/>
              <w:spacing w:after="0"/>
              <w:rPr>
                <w:sz w:val="20"/>
                <w:szCs w:val="20"/>
                <w:color w:val="auto"/>
              </w:rPr>
            </w:pPr>
            <w:r>
              <w:rPr>
                <w:rFonts w:ascii="Arial" w:cs="Arial" w:eastAsia="Arial" w:hAnsi="Arial"/>
                <w:sz w:val="18"/>
                <w:szCs w:val="18"/>
                <w:color w:val="auto"/>
              </w:rPr>
              <w:t>$(34,026)</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$(15,378)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(10,411)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1,647</w:t>
            </w:r>
          </w:p>
        </w:tc>
        <w:tc>
          <w:tcPr>
            <w:tcW w:w="2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238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(24)%</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179" w:lineRule="exact"/>
        <w:rPr>
          <w:sz w:val="20"/>
          <w:szCs w:val="20"/>
          <w:color w:val="auto"/>
        </w:rPr>
      </w:pPr>
    </w:p>
    <w:p>
      <w:pPr>
        <w:ind w:left="820" w:hanging="522"/>
        <w:spacing w:after="0"/>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Total Processing Volume (TPV) represents the total dollar amount of payments processed through our Platform, net of returns and chargebacks.</w:t>
      </w:r>
    </w:p>
    <w:p>
      <w:pPr>
        <w:spacing w:after="0" w:line="33" w:lineRule="exact"/>
        <w:rPr>
          <w:rFonts w:ascii="Arial" w:cs="Arial" w:eastAsia="Arial" w:hAnsi="Arial"/>
          <w:sz w:val="15"/>
          <w:szCs w:val="15"/>
          <w:color w:val="auto"/>
        </w:rPr>
      </w:pPr>
    </w:p>
    <w:p>
      <w:pPr>
        <w:jc w:val="both"/>
        <w:ind w:left="820" w:right="20" w:hanging="522"/>
        <w:spacing w:after="0" w:line="264"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an equity method investment.</w:t>
      </w:r>
    </w:p>
    <w:p>
      <w:pPr>
        <w:ind w:left="820" w:hanging="522"/>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Operations—Key Operating Metric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 DEFINED TERMS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Acquirer Processor</w:t>
      </w:r>
      <w:r>
        <w:rPr>
          <w:rFonts w:ascii="Arial" w:cs="Arial" w:eastAsia="Arial" w:hAnsi="Arial"/>
          <w:sz w:val="18"/>
          <w:szCs w:val="18"/>
          <w:color w:val="auto"/>
        </w:rPr>
        <w:t>. An Acquirer Processor provides the technology that facilitates the flow of card payment information through Card Networks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Issuing Bank.</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Acquiring Bank</w:t>
      </w:r>
      <w:r>
        <w:rPr>
          <w:rFonts w:ascii="Arial" w:cs="Arial" w:eastAsia="Arial" w:hAnsi="Arial"/>
          <w:sz w:val="18"/>
          <w:szCs w:val="18"/>
          <w:color w:val="auto"/>
        </w:rPr>
        <w:t>. An Acquiring Bank is the financial institution that merchants use to hold funds and manage their business. The Acquiring Bank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with an Acquirer Processor to provide access to the Card Networks.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Card issuer</w:t>
      </w:r>
      <w:r>
        <w:rPr>
          <w:rFonts w:ascii="Arial" w:cs="Arial" w:eastAsia="Arial" w:hAnsi="Arial"/>
          <w:sz w:val="18"/>
          <w:szCs w:val="18"/>
          <w:color w:val="auto"/>
        </w:rPr>
        <w:t>. A card issuer is a business that issues customized card products to its end users.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Card Network</w:t>
      </w:r>
      <w:r>
        <w:rPr>
          <w:rFonts w:ascii="Arial" w:cs="Arial" w:eastAsia="Arial" w:hAnsi="Arial"/>
          <w:sz w:val="18"/>
          <w:szCs w:val="18"/>
          <w:color w:val="auto"/>
        </w:rPr>
        <w:t>. A Card Network provides the infrastructure for settlement and card payment information that flows between the Issuer Processor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Acquirer Processor.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w:t>
      </w:r>
      <w:r>
        <w:rPr>
          <w:rFonts w:ascii="Arial" w:cs="Arial" w:eastAsia="Arial" w:hAnsi="Arial"/>
          <w:sz w:val="18"/>
          <w:szCs w:val="18"/>
          <w:color w:val="auto"/>
        </w:rPr>
        <w:t>. A Customer is a current contracted customer of Marqeta.</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Interchange Fees</w:t>
      </w:r>
      <w:r>
        <w:rPr>
          <w:rFonts w:ascii="Arial" w:cs="Arial" w:eastAsia="Arial" w:hAnsi="Arial"/>
          <w:sz w:val="18"/>
          <w:szCs w:val="18"/>
          <w:color w:val="auto"/>
        </w:rPr>
        <w:t>. Interchange Fees are transaction-based and volume-based fees set by a Card Network and paid by an Acquiring Bank to the Issuing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that issued the payment card used to purchase goods or services from a merchant. Our agreements with Issuing Banks provide that we receive 100% of the Interchange Fees for processing our Customer’s card transactions.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Issuer Processor</w:t>
      </w:r>
      <w:r>
        <w:rPr>
          <w:rFonts w:ascii="Arial" w:cs="Arial" w:eastAsia="Arial" w:hAnsi="Arial"/>
          <w:sz w:val="18"/>
          <w:szCs w:val="18"/>
          <w:color w:val="auto"/>
        </w:rPr>
        <w:t>. An Issuer Processor provides a technology platform, ledger, and infrastructure to support a card issuer and connects with a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facilitate payment transactions.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Issuing Bank</w:t>
      </w:r>
      <w:r>
        <w:rPr>
          <w:rFonts w:ascii="Arial" w:cs="Arial" w:eastAsia="Arial" w:hAnsi="Arial"/>
          <w:sz w:val="18"/>
          <w:szCs w:val="18"/>
          <w:color w:val="auto"/>
        </w:rPr>
        <w:t>. An Issuing Bank is the financial institution that issues a payment card (credit, debit, or prepaid) either on its own behalf or on behalf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 issuer.</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 xml:space="preserve">Just-In-Time Funding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JIT Funding</w:t>
      </w:r>
      <w:r>
        <w:rPr>
          <w:rFonts w:ascii="Arial" w:cs="Arial" w:eastAsia="Arial" w:hAnsi="Arial"/>
          <w:sz w:val="18"/>
          <w:szCs w:val="18"/>
          <w:color w:val="auto"/>
        </w:rPr>
        <w:t>. A feature of the Marqeta Platform that allows Customers to programmatically authorize and fund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while participating in the approval decision in real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Marqeta Platform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Platform</w:t>
      </w:r>
      <w:r>
        <w:rPr>
          <w:rFonts w:ascii="Arial" w:cs="Arial" w:eastAsia="Arial" w:hAnsi="Arial"/>
          <w:sz w:val="18"/>
          <w:szCs w:val="18"/>
          <w:color w:val="auto"/>
        </w:rPr>
        <w:t>. Refers to our modern card issuing platform.</w:t>
      </w:r>
    </w:p>
    <w:p>
      <w:pPr>
        <w:spacing w:after="0" w:line="22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Modern card issuing</w:t>
      </w:r>
      <w:r>
        <w:rPr>
          <w:rFonts w:ascii="Arial" w:cs="Arial" w:eastAsia="Arial" w:hAnsi="Arial"/>
          <w:sz w:val="17"/>
          <w:szCs w:val="17"/>
          <w:color w:val="auto"/>
        </w:rPr>
        <w:t>. Modern card issuing is secure card issuing and processing delivered via an open API platform that enables card issuers to create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customized payment card products that leverage a just-in-time funding feature, authorizing their end users’ transactions in real-time.</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Processing volume</w:t>
      </w:r>
      <w:r>
        <w:rPr>
          <w:rFonts w:ascii="Arial" w:cs="Arial" w:eastAsia="Arial" w:hAnsi="Arial"/>
          <w:sz w:val="18"/>
          <w:szCs w:val="18"/>
          <w:color w:val="auto"/>
        </w:rPr>
        <w:t>. Processing volume refers to the dollar amount of payments processed through the Marqeta Platform, net of returns and chargebacks,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contribute to our TPV.</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Revenue Share</w:t>
      </w:r>
      <w:r>
        <w:rPr>
          <w:rFonts w:ascii="Arial" w:cs="Arial" w:eastAsia="Arial" w:hAnsi="Arial"/>
          <w:sz w:val="16"/>
          <w:szCs w:val="16"/>
          <w:color w:val="auto"/>
        </w:rPr>
        <w:t>. Revenue Share refers to provisions in our Customer contracts under which we share a portion of Interchange Fees with our Customers.</w:t>
      </w:r>
    </w:p>
    <w:p>
      <w:pPr>
        <w:spacing w:after="0" w:line="24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 xml:space="preserve">Tokenization as a Service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TaaS</w:t>
      </w:r>
      <w:r>
        <w:rPr>
          <w:rFonts w:ascii="Arial" w:cs="Arial" w:eastAsia="Arial" w:hAnsi="Arial"/>
          <w:sz w:val="17"/>
          <w:szCs w:val="17"/>
          <w:color w:val="auto"/>
        </w:rPr>
        <w:t>. A Marqeta product that allows a card issuer to provision a token to a digital wallet (e.g., Apple Pay, Google Pay,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Samsung Pay), allowing an end user to securely store card information in the digital wallet. Customers that use our Tokenization as a Service benefit from our Platform, tokenization expertise, and built-in certifications with digital wallets and the Card Networks.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Total processing volume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TPV</w:t>
      </w:r>
      <w:r>
        <w:rPr>
          <w:rFonts w:ascii="Arial" w:cs="Arial" w:eastAsia="Arial" w:hAnsi="Arial"/>
          <w:sz w:val="16"/>
          <w:szCs w:val="16"/>
          <w:color w:val="auto"/>
        </w:rPr>
        <w:t>. TPV is the total dollar amount of payments processed through the Marqeta Platform, net of returns and chargebacks.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on our Platform</w:t>
      </w:r>
      <w:r>
        <w:rPr>
          <w:rFonts w:ascii="Arial" w:cs="Arial" w:eastAsia="Arial" w:hAnsi="Arial"/>
          <w:sz w:val="18"/>
          <w:szCs w:val="18"/>
          <w:color w:val="auto"/>
        </w:rPr>
        <w:t>. Refers to the number of transactions we process on our Platform.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The risks and uncertainties described below may not be the only ones we face. If any of the risks actually occur, our business, results of operations, financial condition, and prospects could be adversely affected. In that event, the trading price of our Class A common stock could decline, and you could lose part or all of your investment.</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experienced rapid net revenue growth in recent periods and our recent net revenue growth rates may not be indicative of our future net revenue growth.</w:t>
      </w:r>
    </w:p>
    <w:p>
      <w:pPr>
        <w:spacing w:after="0" w:line="6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have experienced rapid growth in recent periods. Our net revenue was $143.3 million and $290.3 million for the years ended December 31, 2019 and 2020, respectively, representing a growth rate of 103%. Our net revenue was $48.4 million and $108.0 million during the three months ended March 30, 2020 and 2021, respectively, representing a growth rate of 123%. In future periods, we may not be able to sustain net revenue growth consistent with recent history, or at all. Further, because we operate in an evolving payments industry, our ability to grow and innovate is important to our success. We believe our net revenue growth depends on several factors, including, but not limited to, our ability to:</w:t>
      </w:r>
    </w:p>
    <w:p>
      <w:pPr>
        <w:spacing w:after="0" w:line="82" w:lineRule="exact"/>
        <w:rPr>
          <w:sz w:val="20"/>
          <w:szCs w:val="20"/>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new customers, or Customers, and retain existing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the services we offer;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use of our Platform and our offerings, TPV and the number of transactions on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 levels of service and Customer satisfaction;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 and increase our net revenue and gross profit by continuing to innovate and expanding our product and service offerings;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diversify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 and grow our network of vendors and partners, including Issuing Banks, Card Networks, and other vendors and partners;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and retain talented employees at all levels of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adapt to changes in laws and regulations applicable to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adapt to changing macroeconomic conditions and evolving conditions in the payments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introduce and grow widespread adoption of our Platform in new markets outside of the United States;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legacy issuing platforms and modern payments technology companies.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are unable to accomplish these objectives, our net revenue growth may be adversely affected.</w:t>
      </w:r>
    </w:p>
    <w:p>
      <w:pPr>
        <w:spacing w:after="0" w:line="225"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also expect our operating expenses to increase in future periods, and if our net revenue growth does not increase to offset these anticipated increases in our operating expenses, our business, results of operations, and financial condition will be adversely affected, and we may not be able to achieve or maintain profitability. We have also encountered in the past, and expect to encounter in the future, risks and uncertainties frequently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experienced by growing companies in evolving industries. If our assumptions regarding these risks and uncertainties, which we use to plan and operate our business, are incorrect or change, or if we do not address these risks successfully, our growth rates may slow and our business would suffer. In the near term, we expect our TPV and net revenue growth rates to be variable as a result of the COVID-19 pandemic, and we are unable to predict the duration, degree, or volatility of future growth with any certainty.</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6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have experienced, and expect to continue to experience, rapid growth, which has placed, and may continue to place, significant demands on our management and our operational and financial resources. For example, our headcount has grown from 233 employees as of December 31, 2018 to 509 employees as of December 31, 2020. We have recently established offices in the United Kingdom and as our employees increasingly work from geographic areas across the globe, we plan to continue to expand our international presence and operations into other countries in the future. We have also experienced significant growth in the number of Customers using our Platform, the number of card programs and solutions we manage for our Customers, and TPV on our Platform.</w:t>
      </w:r>
    </w:p>
    <w:p>
      <w:pPr>
        <w:spacing w:after="0" w:line="192"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To manage operations and personnel growth, we will need to continue to grow and improve our operational, financial, and management controls and our reporting systems and procedures. We will require significant capital expenditures and the allocation of valuable management resources to expand our systems and infrastructure before our net revenue increases without any assurances that our net revenue will increase. We also believe that our corporate culture has been and will continue to be a valuable component of our success. As we expand our business and mature as a public company, we may find it difficult to maintain our corporate culture while managing this growth. Failure to manage our anticipated growth and organizational changes in a manner that preserves the key aspects of our culture could reduce our ability to recruit and retain personnel, innovate, operate effectively, and execute on our business strategy, potentially adversely affecting our business, results of operations, and financial condition. Additionally, as a result of the COVID-19 pandemic, our global workforce has been working remotely, with expected future phased office re-openings, potentially limiting our employees’ ability to perform certain job functions and, over time, negatively impacting corporate culture.</w:t>
      </w:r>
    </w:p>
    <w:p>
      <w:pPr>
        <w:spacing w:after="0" w:line="16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as more of our employees are located in new jurisdictions, we will be required to invest resources and to monitor continually changing local regulations and requirements, and we may experience a resulting increase in our expenses, decrease in employee productivity, and changes in our corporate culture.</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Customer base continues to grow, we will need to expand our account management and Customer service teams and continue to scale our Platform. If we are not able to continue to provide high levels of Customer service, our reputation, as well as our business, results of operations, and financial condition, could be adversely affected.</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Future net revenue growth depends on our ability to retain existing Customers, drive increased TPV on our Platform, and attract new Customers in a cost-effective manner.</w:t>
      </w:r>
    </w:p>
    <w:p>
      <w:pPr>
        <w:spacing w:after="0" w:line="62"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net revenue growth substantially depends on our ability to maintain and grow our relationships with existing Customers and increase the volume of transactions processed on our Platform. If our prospective and existing Customers do not recognize or continue to recognize the need for and benefits of our Platform and our products, they may decide to adopt alternative products and services to satisfy their business needs. To grow our business and extend our market position, we intend to focus on educating potential Customers about the benefits of our Platform, expanding the capabilities of our Platform and our product offerings, and bringing new products and services to market to increase market acceptance and use of our Platform.</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Some of our Customer contracts provide for a termination clause that allows our Customers to terminate their contract at any time following a limited notice period. In addition, our Customers generally are not subject to any minimum volume commitments under their contracts and have no obligation to continue using our Platform, products, or services. We cannot assure you that Customers will continue to use our Platform or that we will be able to continue processing transactions on our Platform at the same rate as we have in the past. Customers may terminate or reduce their use of our Platform for any number of reasons, including their level of satisfaction with our products and services, the effectiveness of our support services, our pricing and the pricing and quality of competing products or services, or the effects of global economic conditions. The loss of Customers or reductions in their processing volumes, particularly any loss of or reductions by Square, may adversely affect our business, results of operations, and financial condition. Our growth may decline in the future if Customers are not satisfied with our Platform or our ability to meet our Customers’ needs and expectations. Further, the complexity and costs associated with switching processing volume to our competitors may not ultimately prevent a Customer from switching to another provider. To achieve continued growth, we must not only maintain our relationships with our existing Customers, but also encourage them to increase adoption and usage of our products. For example, Customers can have multiple card programs on our Platform across different use cases and geographies. If Customers do not renew their contracts or broaden their use of our services, our growth may slow or stop and our business, results of operations, and financial condition may be materially and adversely affected.</w:t>
      </w:r>
    </w:p>
    <w:p>
      <w:pPr>
        <w:spacing w:after="0" w:line="186"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In addition to capitalizing on the potential net revenue embedded within our existing Customer base, we must continue to attract new Customers to promote growth. Our growth depends on developing new use cases and industry verticals across new geographies. We may face additional challenges that are unique to the markets we target and we may not be able to acquire new Customers in a cost-effective manner. To reach new Customers, we may need to spend significantly more on sales and marketing to generate awareness of our Platform and educate potential Customers on the value of our Platform. We may also need to adapt our existing technology and offerings or develop new or innovative capabilities to meet the particular needs of Customers in these new use cases or new markets, and there can be no assurance that we will be successful in these efforts. We may not have adequate financial or technological resources to develop effective and secure products and services that will satisfy the demands of Customers in these new markets. If we fail to attract new Customers, including Customers in new use cases, industry verticals, and geographies, and to expand our Platform in a way that serves the needs of these new Customers, then we may not be able to continue to grow our net revenue.</w:t>
      </w:r>
    </w:p>
    <w:p>
      <w:pPr>
        <w:spacing w:after="0" w:line="27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62"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We were founded in 2010, and we provide a single, global, cloud-based, open-API Platform for modern card issuing and payment processing. We provide card issuing, payment processing, risk management, data insights, and a variety of controls, customizations, and features through our Platform. Our modern card issuing Platform is situated in the evolving financial technology and payments industries that are intensely competitive and subject to rapidly evolving technology, shifting customer needs, new market entrants, and introductions of new products and services. We face competition along several dimensions, including providers with legacy technology platforms, such as Global Payments (TSYS), Fiserv (First Data), and Fidelity National Information Services; vertical-focused providers, such as Wex and Comdata; and emerging providers, such as Adyen and Stripe. We believe the principal competitive factors in our market include industry expertise, platform and product features and functionality, ability to build new technology and keep pace with innovation, scalability, extensibility, product pricing, security and reliability, brand recognition and reputation, agility, and speed to market. We expect competition to increase in the future as established and emerging companies continue to enter the markets we serve or attempt to address the problems that our Platform addresses. Moreover, as we expand the scope of our Platform, we may face additional competition.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 larger and more mature intellectual property portfolios, and substantially greater financial, technical, and other resources. Such competitors with greater financial and operating resources may be able to respond more quickly and effectively than we can to new or changing opportunities, technologies, standards, customer requirements, or regulatory developments. In addition, there has been a recent increase in large merger and acquisition transactions in the payments industry, and future mergers and acquisitions by these companies may lead to even larger competitors with more resources.</w:t>
      </w:r>
    </w:p>
    <w:p>
      <w:pPr>
        <w:spacing w:after="0" w:line="16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Conditions in our markets could also change rapidly and significantly as a result of technological advancements, partnering by our competitors, or continuing market consolidation, and it is uncertain how our markets will evolve. New commerce disruptors or large financial institutions that are making significant investments in research and development may develop similar or superior products and technologies that compete with our Platform. Our existing and potential Customers also may choose to build some of the functionality our Platform provides, potentially limiting or eliminating their demand for our Platform. These competitive pressures in our markets or our failure to compete effectively may result in price reductions, fewer Customers, reduced net revenue, gross profit, and gross margins, increased net losses, and loss of market share. Any failure to meet and address these factors could adversely affect our business, results of operations, and financial condition.</w:t>
      </w:r>
    </w:p>
    <w:p>
      <w:pPr>
        <w:spacing w:after="0" w:line="28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currently generate significant net revenue from our largest Customer, Square, and the loss or decline in net revenue from Square could adversely affect our business, results of operations, and financial condition.</w:t>
      </w:r>
    </w:p>
    <w:p>
      <w:pPr>
        <w:spacing w:after="0" w:line="6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 small number of Customers account for a large percentage of our net revenue. For the years ended December 31, 2019 and 2020, Square accounted for 60% and 70% of our net revenue, respectively. For the three months ended March 31, 2020 and 2021, we generated 66% and 73%, respectively, of our net revenue from Square.</w:t>
      </w:r>
    </w:p>
    <w:p>
      <w:pPr>
        <w:spacing w:after="0" w:line="18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Although we expect the net revenue from our largest Customer will decrease over time as a percentage of our total net revenue as we generate more net revenue from other Customers, we expect that net revenue from a relatively small group of Customers will continue to account for a significant portion of our net revenue in the near term. In the event that any of our largest Customers stop using our Platform or use our Platform in a reduced capacity, our business, results of operations, and financial condition could be adversely affected. In addition, any publicity associated with the loss of any of these Customers may adversely affect our reputation and could make it more difficult to attract and retain other Customers.</w:t>
      </w:r>
    </w:p>
    <w:p>
      <w:pPr>
        <w:spacing w:after="0" w:line="176"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Our Customer contracts generally do not contain long-term commitments from our Customers, and our Customers may be able to terminate their agreements with us prior to expiration of the contract’s term. The current term of our agreement with Square for Square Card expires in December 2024, and the current term of our agreement with Square for Cash App expires in March 2024, and each agreement automatically renews thereafter for successive one-year periods. Furthermore, while certain of our customer contracts have minimum volume commitments, others do not. There can be no assurance that we will be able to continue our relationships with our Customers on the same or more favorable terms in future periods or that our relationships will continue beyond the terms of our existing contracts with them. In addition, the processing volume from Square has in the past fluctuated from period to period and may fluctuate or decline in future periods. Our net revenue and results of operations could suffer if, among other things, Square does not continue to use our products, uses fewer of our products, reduces its processing volume, or renegotiates, terminates or fails to renew, or to renew on similar or favorable terms, its agreement with us.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recent growth, ongoing changes in our industry, and our transaction mix make it difficult to forecast our net revenue and evaluate our business and future prospects.</w:t>
      </w:r>
    </w:p>
    <w:p>
      <w:pPr>
        <w:spacing w:after="0" w:line="6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launched our Platform publicly in 2014, and much of our growth has occurred in recent periods. This recent growth makes it difficult to effectively assess or forecast our future prospects, particularly in an evolving industry. Our modern card issuing Platform represents a substantial departure from the traditional card issuing methods and the payment processing solutions offered by traditional providers. While our business has grown rapidly, the market for our Platform, products, and services may not develop as we expect or in a manner that is favorable to our business. As a result of ongoing changes in our evolving industry, our ability to forecast our future results of operations and plan for and model future growth is limited and subject to a number of uncertainties. In particular, forecasting our future results of operations can be challenging because our net revenue depends in part on our Customers’ end users, and our transaction mix adds further complexity. Our transaction mix refers to the proportion of signature debit versus Personal Identification Number, or PIN, debit transactions and consumer versus commercial transactions that make up our TPV. In general, transactions that require a signature of the cardholder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analysts, causing our business to suffer and our Class A common stock trading price to decline.</w:t>
      </w:r>
    </w:p>
    <w:p>
      <w:pPr>
        <w:spacing w:after="0" w:line="28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maintain profitability.</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We have incurred significant net losses in each year since our inception, including net losses of $58.2 million and $47.7 million in the years ended December 31, 2019 and 2020, respectively, and net losses of $14.5 million and $12.8 million in the three months ended March 31, 2020 and 2021, respectively. We expect to continue to incur net losses for the foreseeable future and we may not achieve or maintain profitability in the future. Because the market for our Platform, products, and services is evolving, it is difficult for us to predict our future results of operations or the limits of our market opportunity. We expect our operating expenses to significantly increase over the next several years as we hire additional personnel, expand our operations and infrastructure, both domestically and internationally, continue to enhance our Platform and develop and expand its capabilities, expand our products and services, and expand and improve our application programming interface, or API. These initiatives may be more costly than we expect and may not result in increased net revenue. In addition, when we become a public company, we will incur additional significant legal, accounting, and other expenses that we did not incur as a private company. Any failure to increase our net revenue sufficiently to keep pace with our initiatives, investments, and other expenses could prevent us from achieving or maintaining profitability or positive cash flow on a consistent basis in future periods. If we fail to achieve or maintain profitability,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8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From time to time, we may make decisions that may reduce our short-term operating results if we believe those decisions will improve the experiences of our Customers, end users, and other users of our products and services, which we believe will improve our operating results over the long term. These decisions may not be consistent with investors’ expectations and may not produce the long-term benefits that we expect, and this may materially and adversely affect our business.</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quarterly results of operations may fluctuate from quarter to quarter as a result of a number of factors, many of which are outside of our control and may be difficult to predict, including, but not limited to:</w:t>
      </w:r>
    </w:p>
    <w:p>
      <w:pPr>
        <w:spacing w:after="0" w:line="76" w:lineRule="exact"/>
        <w:rPr>
          <w:sz w:val="20"/>
          <w:szCs w:val="20"/>
          <w:color w:val="auto"/>
        </w:rPr>
      </w:pPr>
    </w:p>
    <w:p>
      <w:pPr>
        <w:jc w:val="right"/>
        <w:ind w:left="5540" w:right="5420" w:hanging="4884"/>
        <w:spacing w:after="0" w:line="535" w:lineRule="auto"/>
        <w:tabs>
          <w:tab w:leader="none" w:pos="878"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demand for our Platform, products, and services by our Customers; 25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success in engaging and retaining existing Customers and attracting new Customers;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transaction mix or volume processed on the different Card Networks used and the resultant mix of interchange and transaction fees earned;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success in increasing our Customers’ processing volumes;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demand for our Customers’ products by their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and success of new capabilities by us or by our competitors or any other change in the competitive landscape of our market;</w:t>
      </w:r>
    </w:p>
    <w:p>
      <w:pPr>
        <w:spacing w:after="0" w:line="14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the terms of and performance under our Customer contracts, including concessions, or payments to Customers resulting from our failure to meet certain service level commitments, which are generally based on our Platform uptime, API response time, and/or transaction success rate;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reductions in pricing as a result of negotiations with our larger Customers;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remain competitive;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expenses and recognition of net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 in certain Customers’ processing volumes that are subject to seasonal fluctuations;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breaches, and technical difficulties involving our Platform or interruptions or disruptions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Card Networks to set interchange rates;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hiring new employees;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the grant or vesting of equity awards to employees, directors, or consultants and the recognition of associated expenses;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timing and extent of increases in share-based compensation expense (including with respect to the CEO Long-Term Performance Award);</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businesses, talent, technologies, or intellectual property, including potentially significant amortization costs and possible write-downs;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tax charges as a result of non-compliance with federal, state, or local tax regulations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generally accepted accounting standards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 pandemics, such as the COVID-19 pandemic, influenza, and other highly communicable diseases or viruses;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impact of market and economic volatility caused by the COVID-19 pandemic on our business and the businesses of our Customers;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 on consumer demand and spending patterns;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conditions resulting from geopolitical uncertainty and instability.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You should not rely on our past results as an indicator of our future performance.</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or investors’ expectations, or those of analysts that cover us, with respect to net revenue or other key metrics for a particular period. If we fail to meet or exceed such expectations for these or any other reasons, the trading price of our Class A common stock could fall, and we could face costly lawsuits, including securities class action suits.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COVID-19 pandemic could adversely affect our business, results of operations, and financial condition.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March 2020, the World Health Organization declared the novel strain of coronavirus, COVID-19, a global pandemic. This contagious disease outbreak has continued to spread and the related public health measures, including orders to shelter in place, travel restrictions, and mandated business closures, have adversely affected workforces, organizations, Customers, economies, and financial markets globally, leading to an economic downturn and increased market volatility.</w:t>
      </w:r>
    </w:p>
    <w:p>
      <w:pPr>
        <w:spacing w:after="0" w:line="18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outbreak, as well as intensified measures undertaken to contain the spread of COVID-19, has impacted our day-to-day operations. Like many other companies, our workforce is currently working remotely and assisting new and existing Customers who are also generally working remotely. All of our currently planned Customer, employee, and industry events have been shifted to virtual-only experiences, and we may deem it advisable to similarly alter, postpone, or cancel additional Customer, vendor, employee, or industry events in the future. Live event attendance and sponsorship is one of the ways we connect with prospective Customers. We rely on events, such as Money20/20, for a portion of our lead generation. Because our solution is technical and requires in-depth discussions around Customer use cases, it can be challenging to acquire new Customers through predominantly online outreach, such as virtual events, email, and targeted ads. The COVID-19 pandemic and the cancellation or postponement of live events may impair our ability to acquire new Customers and prospects until live events return. In addition, we may incur increased workforce costs, including costs associated with remote working, implementing additional personnel and workplace safety protocols when the majority of our employees return to an office, and workplace or labor claims and disputes related to COVID-19.</w:t>
      </w:r>
    </w:p>
    <w:p>
      <w:pPr>
        <w:spacing w:after="0" w:line="185"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continued spread of COVID-19 could also have an adverse impact on our vendors, partners, and Customers, therefore materially and adversely impacting our business, results of operations, and overall financial performance in future periods. For example, we have experienced, and may continue to experience, a decrease in processing volumes from certain Customers, particularly those in industries that are heavily impacted by shelter-in-place orders, such as travel; delayed sales cycles, including Customers and prospective Customers delaying contract signing or contract renewals; and delays in launching strategic partnerships and opportunities. These disruptions could continue to adversely affect our business, results of operations, and financial condition, and could have other currently unforeseen negative impacts on us.</w:t>
      </w:r>
    </w:p>
    <w:p>
      <w:pPr>
        <w:spacing w:after="0" w:line="178"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 part due to the COVID-19 pandemic, we have also experienced increased processing volumes for some of our Customers that provide services such as on-demand food and grocery deliveries. As a result, our net revenue growth in recent periods has increased, as additional consumers have shifted to using these services. If this trend in consumer demand and spending patterns slows or reverses as shelter-in-place restrictions ease and as the pandemic subsides, our net revenue growth may be adversely affected. While we have developed and continue to develop plans to help mitigate the potential negative impact of the outbreak on our business, these efforts may not be effective and a protracted economic downturn will likely limit the effectiveness of our mitigation efforts. It is not possible for us to predict the duration or magnitude of the adverse results of the COVID-19 pandemic and its effects on our business, results of operations, or financial condition at this time. To the extent the COVID-19 pandemic adversely affects our business, results of operations, and financial condition, it may also have the effect of heightening many of the other risks described in this “Risk Factors” section.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76"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If we are unable to maintain the quality of our relationships with financial institutions, including Issuing Banks and Card Networks, that provide certain services that are an important part of our product offering, or fail to comply with our contractual requirements with these financial institutions, our business would be adversely affected. We partner with Issuing Banks, who issue payment cards to our Customers and settle payment transactions on such cards. A significant portion of our payment transactions are settled through one Issuing Bank, Sutton Bank. For the years ended December 31, 2019 and 2020 and the three months ended March 31, 2020 and 2021, approximately 97%, 96%, 95%, and 94%, respectively, of TPV was settled through Sutton Bank. If Sutton Bank terminates our agreement with them or is unable or unwilling to process our transactions for any reason, we may be required to switch some or all of our processing volume to one or more other Issuing Banks, including to any of the three other U.S. Issuing Banks that we currently settle payment transactions with. Switching a significant portion or all of our processing volume to another Issuing Bank, including contracting with additional Issuing Banks, would take time and could result in additional costs, including increased operating expenses, and termination fees under our agreement with Sutton Bank if unilaterally terminated by us without Sutton Bank’s consent. We could also lose Customers if we do not have another Issuing Bank who is willing to support such Customers. Diversifying our contractual relationships and operations with Issuing Banks may increase the complexity of our operations and may also lead to increased costs. We also have agreements directly with Card Networks, such as Visa, Mastercard, and PULSE, which is part of the Discover Global Network, that, among other things, provide for certain monetary incentives to us based on the processing volume of our Customers’ transactions routed through the respective Card Network. If we were to lose our certification with a Card Network, we could lose Customers because our Customers would need to switch to a different Card Network, would have fewer Card Networks to choose from for their card programs, and may be able to obtain more favorable interchange rates from Card Networks that we are not certified with.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services, impose additional costs or requirements on us, or give preferential treatment to competitive services, including their own services. If we are unsuccessful in establishing, renegotiating, or maintaining relationships with Issuing Banks and Card Networks, our business may be adversely affected.</w:t>
      </w:r>
    </w:p>
    <w:p>
      <w:pPr>
        <w:spacing w:after="0" w:line="185"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Our agreements with Issuing Banks and Card Networks require us to comply with Card Network operating rules. The Card Networks set these network rules and have discretion to interpret the rules and change them at any time. While changes in the network rules usually relate to pricing, other types of changes could require us to take certain steps to comply or adapt. For example, we began to issue cards with chips built in when a network rule changed to enable chip and PIN transactions. The termination of the card association registrations held by us or any of the Issuing Banks or any changes to these network rules or how they are interpreted could have a significant impact on our business and financial condition. Any changes to or interpretations of the network rules that are inconsistent with the way we or our Issuing Banks currently operate may require us to make changes to our business that could be costly or difficult to implement. If we fail to make such changes or otherwise resolve the issue with the Card Networks, the Card Networks could fine us or prohibit us from processing payment cards. In addition, violations of the network rules or any failure to maintain good relationships with the Card Networks could impact our ability to receive incentives from them, increase our costs, or otherwise adversely affect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Unfavorable conditions in our industry or the global economy could adversely affect our business, results of operations, and financial condition.</w:t>
      </w:r>
    </w:p>
    <w:p>
      <w:pPr>
        <w:spacing w:after="0" w:line="14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performance is subject to economic conditions and their impact on levels of spending by businesses and their customers. Our net revenue is dependent on the usage of our Platform, which in turn is influenced by the volume of business our Customers conduct. To the extent that weak economic conditions result in a reduced volume of business for our Customers and prospective Customers, demand for, and use of, our Platform, products,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services may decline. If spending by their customers declines, our Customers could process fewer payments with us or, if our Customers cease to operate, they could stop using our Platform and our products and services altogether. Furthermore, weak economic conditions may make it more difficult to collect on outstanding accounts receivable. If, as a result of a weak economy, our Customers reduce their use of our Platform, or prospective Customers delay adoption or elect not to adopt our Platform, our business, results of operations, and financial condition could be adversely affected.</w:t>
      </w:r>
    </w:p>
    <w:p>
      <w:pPr>
        <w:spacing w:after="0" w:line="2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Performance issues in our Platform or our Platform’s transaction processing could diminish demand for our Platform or products, adversely affect our business and results of operations, and subject us to liabilities.</w:t>
      </w:r>
    </w:p>
    <w:p>
      <w:pPr>
        <w:spacing w:after="0" w:line="62"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is designed to process a high number of transactions and deliver reports and other information related to those transactions at high processing speeds. Our Customers use our Platform for important aspects of their businesses. Our Issuing Banks use reports and information from our Platform in part to settle card transactions with the Card Networks. Any performance issues, including errors, defects, or disruptions in our Platform or our Platform’s transaction processing, could damage our Customers’ businesses and, in turn, hurt our brand and reputation and erode Customer trust. The risk of performance issues has increased in recent periods due to the significant increase in our TPV. This risk of performance issues further increases with new product launches and geographical expansion. We release regular updates to our Platform, which have in the past contained, and may in the future contain, undetected errors, failures, vulnerabilities, and bugs. Additionally, we may experience errors, inaccuracies, or omissions in our processing, reconciling or reporting of transactions. Further, we may be unable to replenish the supply of payment cards issued to our Customers before it is depleted, such that our Customers could run out of cards for a short period of time. Real or perceived errors, failures, or bugs in our Platform or our Platform’s transaction processing could result in negative publicity, loss of or delay in market acceptance of our Platform or our products, loss of competitive position, lower Customer retention, claims by Customers, Card Networks, Issuing Banks, or other partners or vendors for losses sustained by them, or other claims, regulatory fines, or proceedings.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Platform or operations. As a result, our reputation and our brand could be harmed, and our business, results of operations, and financial condition may be adversely affected.</w:t>
      </w:r>
    </w:p>
    <w:p>
      <w:pPr>
        <w:spacing w:after="0" w:line="27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Systems failures and interruptions in the availability of our Platform may adversely affect our business, results of operations, and financial condition.</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Our continued growth depends on the efficient operation of our Platform without interruption or degradation of performance. Our business involves processing large numbers of transactions, the movement of large sums of money on an aggregate basis, and the management of large amounts of data, and a system outage or data loss could have a material adverse effect on our business, results of operations, and financial condition. We may experience service interruptions, data loss, outages, and other performance problems due to a variety of factors, including infrastructure changes or failures, introductions of new functionality, human or software errors, capacity constraints, denial-of-service attacks, ransomware attacks, or other security-related incidents. For example, on August 30, 2020, a major internet service and bandwidth provider experienced a significant outage that impacted us as well as a significant number of other services and providers across the internet. During this outage, the functionality of our Platform was affected, including denial of certain Customer transactions and connectivity issues. In some instances, we may not be able to identify the cause or causes of these performance problems immediately or in short order, and we may face difficulties remediating and otherwise responding to any such issues. We may not be able to maintain the level of service uptime and performance needed by our Customers, especially as TPV increases. We have experienced high growth in TPV over the past several years and expect such growth may continue for the coming years; however, if we are unable to maintain sufficient processing capacity, Customers could face longer processing times or even downtime. Furthermore, any efforts to further scale the Platform or increase its complexity to handle a larger number or more complicated transactions could result in performance issues, including downtime. If our Platform is unavailable or if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Customers are unable to access the Platform within a reasonable amount of time, or at all, our business would be adversely affected. Our Customers rely on the full-time availability of our Platform to process payment transactions, and an outage on our Platform could impair the ability of our Customers to operate their business and generate revenue. Therefore, any system failure, outage, performance problem, or interruption in the availability of our Platform would negatively impact our brand, reputation, and Customer satisfaction, and could subject us to financial penalties and liabilities.</w:t>
      </w:r>
    </w:p>
    <w:p>
      <w:pPr>
        <w:spacing w:after="0" w:line="157"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Moreover, we depend on services from various third-party vendors to maintain our infrastructure, including data center facilities and cloud storage platforms. We conduct vendor due diligence; however, if a service provider fails to develop and maintain sufficient internal control processes or fails to provide sufficient capacity to support our Platform or otherwise experiences service outages, such failure could interrupt the operation of our Platform, potentially adversely affecting our Customers or their perception of our Platform’s reliability and adversely affecting the business of Customers using our Platform. Any disruptions in these services, including as a result of actions outside of our control, would significantly impact the continued performance of our Platform. In the future, these services may not be available to us on commercially reasonable terms, or at all. Any loss of the right to use any of these services could result in decreased functionality of our Platform until equivalent technology is either developed by us or, if available from another provider, is identified, obtained, and integrated into our infrastructure. If we do not accurately predict our infrastructure capacity requirements, our Customers could experience service shortfalls. We may also be unable to effectively address capacity constraints, upgrade our systems as needed, and continually develop our technology and network architecture to accommodate actual and anticipated changes in technology.</w:t>
      </w:r>
    </w:p>
    <w:p>
      <w:pPr>
        <w:spacing w:after="0" w:line="16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Further, our Customer contracts typically provide for service level commitments. If we suffer extended periods of downtime for our Platform or are otherwise unable to meet these commitments, then we are contractually obligated to provide a service credit, which may be based on a percentage of the processing volume on the day of an incident or the fees charged on the day of an incident, or it may be based on our overall monthly transaction success rate and the incentive payments or fees from that month. We have experienced incidents requiring us to pay service level credits in the past, such as in January and February 2019 when transactions for one of our Customers were slowed and/or interrupted for several hours. In addition, the performance and availability of the cloud-based solutions that provide cloud infrastructures for our Platform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 and erode Customer trust.</w:t>
      </w:r>
    </w:p>
    <w:p>
      <w:pPr>
        <w:spacing w:after="0" w:line="18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Any of the above circumstances or events may harm our reputation, cause Customers to terminate their agreements with us, impair our ability to renew contracts with Customers and grow our Customer base, subject us to financial penalties and liabilities, and otherwise adversely affect our business, results of operations, and financial condition.</w:t>
      </w:r>
    </w:p>
    <w:p>
      <w:pPr>
        <w:spacing w:after="0" w:line="292"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We, our Customers, our vendors, and others who use or interact with our Platform obtain and process a large amount of sensitive data. Any real or perceived improper or unauthorized use of, disclosure of, or access to such data could expose us to liability and damage our reputation.</w:t>
      </w:r>
    </w:p>
    <w:p>
      <w:pPr>
        <w:spacing w:after="0" w:line="16"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Our operations depend on receiving, storing, processing, and transmitting sensitive information pertaining to our business, employees, Customers, and end users. The confidentiality, security, and integrity of such sensitive business information residing on our systems is important to our business. Any unauthorized access, intrusion, infiltration, network disruption, denial of service, or similar incident could disrupt the integrity, continuity, security, and trust of our systems or data, or the systems or data of our Customers or vendors. These incidents are often difficult to detect and are constantly evolving, and we or our Customers or vendors may face difficulties or delays in identifying or otherwise responding to any incident. Unauthorized parties have attempted and may continue to attempt to gain access to our Platform, systems, or facilities, and those of our Customers, partners,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and vendors, through various means and with increasing sophistication. These events could create costly claims and litigation, significant financial liability, regulatory investigations or proceedings, increased regulatory scrutiny, financial sanctions, a loss of confidence in our ability to serve Customers and cause current or potential Customers to choose another service provider, all of which could have a material adverse impact on our business. In addition, we expect to continue to invest significant resources to maintain and enhance our information security and controls or to investigate and remediate any security vulnerabilities. Although we believe that we maintain a robust data security program, including a responsible disclosure program, and that none of the incidents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Customers or vendors, could have a material adverse effect on our business, results of operations, and financial condition.</w:t>
      </w:r>
    </w:p>
    <w:p>
      <w:pPr>
        <w:spacing w:after="0" w:line="194"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Under Card Network rules and our contracts with our Issuing Banks, if there is a breach of payment card information that we store or that is stored by our Customers or other third parties that we do business with, we could be liable to the Issuing Banks for certain of their costs and expenses. Additionally, if our own confidential business information were improperly disclosed, our business could be materially and adversely affected. The reliability and security of our Platform is a core component of our business. Any perceived or actual breach of security, regardless of how it occurs or the extent of the breach, could have a significant impact on our reputation as a trusted brand, cause us to lose existing Customers, prevent us from obtaining new Customers, require us to expend significant funds to remedy problems caused by breaches and to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vendor providing services to us or our Customers could have similar effects.</w:t>
      </w:r>
    </w:p>
    <w:p>
      <w:pPr>
        <w:spacing w:after="0" w:line="18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While we maintain cybersecurity insurance, subject to applicable deductibles and policy limitations, our insurance may be insufficient to cover all liabilities incurred by such attacks. We cannot be certain that our insurance coverage will be adequate for privacy, data security, and data protection liabilities actually incurred,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premiums, or deductibles could have a material adverse effect on our business, results of operations,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business depends on a strong and trusted brand, and any failure to maintain, protect, enhance, and market our brand would hurt our business.</w:t>
      </w:r>
    </w:p>
    <w:p>
      <w:pPr>
        <w:spacing w:after="0" w:line="15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have developed a strong and trusted brand that has contributed significantly to the success of our business. We believe that maintaining and promoting our brand in a cost-effective manner is important to achieving widespread acceptance of our Platform and the products and services we offer, expanding our base of Customers and end users, and increasing our TPV. Our brand is predicated on the idea that we offer modern payment solutions to our Customers and our Platform helps enable them to successfully operate their businesses. We are dedicated to building and maintaining a Platform our Customers can trust and creating solutions for our Customers who choose to build and grow their businesses with our card programs and other services. Maintaining and promoting our brand will depend largely on our ability to continue to provide a useful, reliable, secure, and innovative Platform, as well as our ability to maintain trust and be a payments processing innovator and leader. We may, from time to time, introduce, or make changes to, our Platform, products, services, privacy practices, or other practices or terms of service that Customers do not like, which may materially and adversely affect our brand. Brand promotion activities may not generate Customer awareness or increase net revenue, and even if they do, any increase in net revenue may not offset the expenses we incur in building our brand. In addition, due to the COVID-19 pandemic and the restrictions on travel, we are not able to organize certain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marketing and promotional events and in-person meetings to facilitate Customer adoption and generate leads with potential Customers. If we fail to successfully promote and maintain our brand or if we incur excessive expense in this effort, our business could be materially and adversely affected.</w:t>
      </w:r>
    </w:p>
    <w:p>
      <w:pPr>
        <w:spacing w:after="0" w:line="124"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Harm to our brand can arise from many sources, including failure by us or our partners and vendors to satisfy expectations of service and quality, inadequate protection or misuse of sensitive information, compliance failures and claims, litigation and other claims, and misconduct by our vendors or other counterparties. We may also be the target of incomplete, inaccurate, and misleading or false statements about our company and our business that could damage our brand and deter Customers from adopting our services. Any negative publicity about our company, our industry, the quality and reliability of our Platform, our risk management processes, changes to our products and services, our ability to effectively manage and resolve Customer complaints, our privacy, data protection, and information security practices, litigation, regulatory activity, policy positions, or the experience of our Customers with our Platform, products, and services could adversely affect our reputation and the confidence in and use of our Platform, products, and services. If we do not successfully maintain a strong and trusted brand, our business could be materially and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Many of our Customers depend on our Customer support team to assist them in launching and deploying our card programs effectively, help them resolve issues quickly, and provide ongoing support. Our direct, ongoing interactions with our Customers help us tailor offerings to them at scale and in the context of their usage. Our Customer support team also helps increase awareness and usage of our Platform while helping Customers address inquiries and issues. If we do not devote sufficient resources or are otherwise unsuccessful in assisting our Customers effectively, it could adversely affect our ability to retain existing Customers and could prevent prospective Customers from adopting our Platform. We may be unable to respond quickly enough to accommodate short-term increases in demand for Customer support. Increased demand for Customer support, without corresponding net revenue, could increase costs and adversely affect our business, results of operations, and financial condition. Our sales are highly dependent on our business reputation and on positive recommendations from Customers.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18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base, we need to be able to provide efficient Customer support that meets the needs of Customers on our Platform globally and at scale. The number of Customers and end users using our Platform, TPV, the products and services we offer, and usage of our Platform by Customers have all grown significantly and this has put additional pressure on our support organization. If we are unable to provide efficient Customer support globally and at scale, our ability to grow our operations may be adversely affected and we may need to hire additional support personnel, potentially adversely affecting our results of operations.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adapt to rapid technological change and develop enhancements and new capabilities for our Platform, our ability to remain competitive could be impaired.</w:t>
      </w:r>
    </w:p>
    <w:p>
      <w:pPr>
        <w:spacing w:after="0" w:line="62"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We compete in an industry that is characterized by rapid technological change, frequent introductions of new products and services, and evolving industry standards and regulatory requirements. Our ability to attract new Customers and increase net revenue from Customers will depend in significant part on our ability to adapt to industry standards, anticipate trends, and continue to enhance our Platform and introduce new programs and capabilities on a timely and secure basis to keep pace with technological developments and Customer expectations. If we are unable to provide enhancements and new programs for our Platform, develop new capabilities that achieve market acceptance, or innovate quickly enough to keep pace with rapid technological developments, our business could be adversely affected. We must also keep pace with changing legal and regulatory regimes that affect our Platform, products, services, and business practices. We may not be successful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developing modifications, enhancements, and improvements, in bringing them to market quickly or cost-effectively in response to market demands, or at modifying our Platform to remain compliant with applicable legal and regulatory requirements.</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addition, because our Platform is designed to operate directly with the Card Networks, Issuing Banks, and general payments ecosystem, we need to continuously modify and enhance our Platform to keep pace with changes in technologies, while maintaining compatibility and legal and regulatory compliance. Any failure of our Platform to continue to operate effectively with third-party infrastructures and technologies could reduce the demand for our Platform, products, or services, result in the dissatisfaction of our Customers, and materially and adversely affect our business.</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expand internationally and drive the adoption of our Platform and products by international Customers. Expanding our business internationally, however, could subject us to new challenges and risks.</w:t>
      </w:r>
    </w:p>
    <w:p>
      <w:pPr>
        <w:spacing w:after="0" w:line="6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In the year ended December 31, 2020, we derived less than 2% of our net revenue from Customers located outside the United States, based on their billing address. The future success of our business will depend, in part, on our ability to offer our Platform internationally and expand our international Customer base. While we have been expanding our Platform, products, services and sales efforts internationally, our experience in selling our Platform, products, and services outside of the United States is early. The spread of COVID-19 may also complicate efforts to expand our business internationally by restricting our ability to travel and engage in certain sales and marketing activities abroad. Furthermore, our business model may not be successful or have the same traction outside the United States and we may face additional regulatory hurdles. As a result, our investment in marketing our Platform to these potential Customers may not be successful. If we are unable to increase the net revenue that we derive from international Customers, then our business, results of operations, and financial condition may be adversely affected.</w:t>
      </w:r>
    </w:p>
    <w:p>
      <w:pPr>
        <w:spacing w:after="0" w:line="17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addition, expansion, whether in our existing or new international markets, will require additional resources and controls, and offering our Platform in new geographic regions often requires substantial expenditures and takes considerable time. We may not be successful enough in these new geographies to recoup our investments in a timely manner or at all. Such expansion could also subject our business to substantial risks, including:</w:t>
      </w:r>
    </w:p>
    <w:p>
      <w:pPr>
        <w:spacing w:after="0" w:line="54" w:lineRule="exact"/>
        <w:rPr>
          <w:sz w:val="20"/>
          <w:szCs w:val="20"/>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attracting a sufficient number of Customers in a given international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anticipate competitive conditions and competition with market-players that have greater experience in the local markets than we do;</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conformity with applicable business customs, including translation into foreign languages and associated expenses;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and difficulty in protecting intellectual property and sensitive data;</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the way we do business as compared with our current operations or a lack of acceptance of our Platform or certain products and services;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support and integrate with local Bank Identification Number sponsors and third-party vendors;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customs, and other challenges caused by distance;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language and cultural differences, and the increased travel, infrastructure, and legal and compliance costs associated with global operations;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recruiting and retaining qualified employees and maintaining our company culture;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gaining acceptance from industry self-regulatory bodies;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multiple, potentially conflicting and changing governmental laws and regulations, including with respect to payment processing, data privacy, data protection, and information security;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U.S. and foreign anti-corruption, anti-bribery, and anti-money laundering laws;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tariffs, sanctions, fines, or other trade restrictions;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exchange rate risk and Interchange Fee regulation in foreign countries;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complex and potentially conflicting and changing laws of taxing jurisdictions where we conduct business and applicable U.S. tax laws; and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regional economic and political instability.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 result of these risks, our efforts to expand our global operations may not be successful, potentially limiting our ability to grow our business.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incur losses relating to the settlement of payment transactions and use of payment cards issued through our Platform.</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We are and will continue to be subject to the risk of losses relating to the day-to-day settlement of payment transactions that is inherent in our business model. Customers deposit a certain amount of pre-funding into their Customer account. However, depending on the model of the card program and the timing of funding and transactions, some transactions that exceed the amount of pre-funding in the Customer’s account are still authorized. Customers are ultimately responsible for fulfilling their obligations to fund transactions. However, when a Customer does not have sufficient funds to settle a transaction, we are liable to the Issuing Bank to settle the transaction and may incur losses as a result of claims from the Issuing Bank. We seek to recover such losses from the Customer, but we may not fully recover them if the Customer is unwilling or unable to pay due to their financial condition. Because we are liable to the Issuing Banks, we may also 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and identity theft. A single, significant incident or a series of incidents of fraud or theft involving cards issued through our Platform could result in reputational damage to us, potentially reducing the use and acceptance of our Platform or lead to greater regulation that would increase our compliance costs. Fraudulent activity could also result in the imposition of regulatory sanctions, including significant monetary fines. The foregoing could have a material adverse effect on our business, results of operations, and financial condition.</w:t>
      </w:r>
    </w:p>
    <w:p>
      <w:pPr>
        <w:spacing w:after="0" w:line="28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adversely affect our business.</w:t>
      </w:r>
    </w:p>
    <w:p>
      <w:pPr>
        <w:spacing w:after="0" w:line="62"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could terminate their employment with us at any time. Additionally, we do not maintain any key person insurance policies. The loss of one or more of our executive officers, especially our Chief Executive Officer, or other key employees could adversely affect our business. Changes in our executive management team may also cause disruptions in, and adverse impacts to, our business.</w:t>
      </w:r>
    </w:p>
    <w:p>
      <w:pPr>
        <w:spacing w:after="0" w:line="178"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addition, to maintain and grow our business, we must attract and retain highly qualified personnel. Competition for highly qualified personnel in the San Francisco Bay Area, where our headquarters is located, and in other locations where we maintain offices, is intense, especially for highly skilled employees and experienced sales professionals. We have from time to time experienced, and we expect to continue to experience, difficulty in hiring and retaining employees with appropriate qualifications and at an appropriate cost, which may be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compounded during the COVID-19 pandemic.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certain legal obligations, resulting in a diversion of time and resources, and potential liability for us or our employees. In addition, job candidates and existing employees often consider the value of the equity awards they receive in connection with their employment. If the perceived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 Conversely, additions of executive-level management and large numbers of employees could significantly and adversely impact our culture.</w:t>
      </w:r>
    </w:p>
    <w:p>
      <w:pPr>
        <w:spacing w:after="0" w:line="16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Volatility in or lack of appreciation of the trading price of our Class A common stock may also affect our ability to attract and retain our key employees. Many of our senior personnel and other key employees have become, or will soon become, vested in a substantial amount of stock or stock options. Employees may be more likely to leave us if the shares they own or the shares underlying their vested options or RSUs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impair our ability to foster the innovation, teamwork, curiosity, and diversity, that we believe is necessary to support our growth.</w:t>
      </w:r>
    </w:p>
    <w:p>
      <w:pPr>
        <w:spacing w:after="0" w:line="3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Exposure to political developments in the United Kingdom, including the United Kingdom’s decision to leave the European Union, could adversely affect us.</w:t>
      </w:r>
    </w:p>
    <w:p>
      <w:pPr>
        <w:spacing w:after="0" w:line="62"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On June 23, 2016, a referendum was held on the United Kingdom’s membership in the European Union, or E.U., resulting in a vote in favor of leaving the European Union. Effective as of January 31, 2020, the United Kingdom formally withdrew its membership from the European Union. The United Kingdom’s decision to leave the European Union has created an uncertain political and economic environment in the United Kingdom and across other European Union member states. The political and economic instability created by the United Kingdom’s decision to leave the European Union has caused and may continue to cause volatility in global financial markets and the value of the British Pound or other currencies, including the Euro. In addition, this uncertainty may cause some of our Customers or potential Customers to curtail or delay spending or adoption of our Platform. Depending on the market and regulatory effects of the United Kingdom’s exit from the European Union, it is possible that there may be adverse practical or operational implications on our business. For example, the UK Data Protection Act, which substantially implements the General Data Protection Regulation, or GDPR, became effective in May 2018. It remains unclear, however, how United Kingdom data protection laws or regulations will develop and be interpreted in the medium to longer term, how data transfers to and from the United Kingdom will be regulated, and how those regulations may differ from those in the European Union. While we have taken measures to preemptively address the impact of the United Kingdom’s departure from the European Union by including contingency clauses in our E.U. master service agreements, for example, these may not adequately protect us from adverse implications on our business. Further, the United Kingdom’s exit from the European Union may create increased compliance costs and an uncertain regulatory landscape for offering equity-based incentives to our employees in the United Kingdom. If we are unable to maintain equity-based incentive programs for our employees in the United Kingdom due to the departure of the United Kingdom from the European Union, our business in the United Kingdom may suffer and we may face legal claims from employees in the United Kingdom to whom we previously offered equity-based incentive programs. These and other factors related to the departure of the United Kingdom from the European Union may adversely affect our business, financial condition, and results of operations.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face exposure to foreign currency exchange rate fluctuations, and such fluctuations could adversely affect our business, results of operations, and financial condition.</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we continue to expand our global operations, we become more exposed to the effects of fluctuations in currency exchange rates. Our Customer contracts are denominated primarily in U.S. dollars, and therefore the majority of our net revenue is not subject to foreign currency risk. We expect, however, to significantly expand the number of transactions with Customers that are denominated in foreign currencies in the future as we continue to expand our business internationally. We also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and, as a result, adversely affect our business, results of operations, and financial condition.</w:t>
      </w:r>
    </w:p>
    <w:p>
      <w:pPr>
        <w:spacing w:after="0" w:line="16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do not currently maintain a program to hedge exposures in foreign currencies. In the future, however,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estimates or judgments relating to our accounting policies prove to be incorrect, our results of operations could be adversely affected.</w:t>
      </w:r>
    </w:p>
    <w:p>
      <w:pPr>
        <w:spacing w:after="0" w:line="140"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consolidated financial statements include those related to revenue recognition and accounting for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require additional capital to support our business, and this capital might not be available on acceptable terms, if at all.</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RSUs.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Acquisitions, strategic investments, partnerships, or alliances could be difficult to identify, divert the attention of key management personnel, disrupt our business, dilute stockholder value, and adversely affect our results of operations and financial condition. We may be unable to integrate acquired businesses and technologies successfully or achieve the expected benefits of such acquisitions.</w:t>
      </w:r>
    </w:p>
    <w:p>
      <w:pPr>
        <w:spacing w:after="0" w:line="5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We may seek to acquire or invest in businesses, products, or technologies that we believe could complement our Platform, products, and services or expand its breadth, enhance our products and capabilities, expand our geographic reach or Customer base, or otherwise offer growth opportunities. The pursuit of potential investments or acquisitions may divert the attention of management and cause us to incur various expenses in identifying, investigating, and pursuing suitable opportunities, whether or not they are consummated. Any acquisition, investment, or business relationship may result in unforeseen operating difficulties and expenditures. In addition, we have limited experience in investing in and acquiring other businesses. If we acquire additional businesses, we may not be able to successfully integrate the acquired personnel, operations, and technologies, or effectively manage the combined business following the acquisition. Specifically, we may not successfully evaluate or utilize the acquired technology or personnel or accurately forecast the financial impact of an acquisition transaction, including accounting charges. Moreover, the anticipated benefits of any acquisition, investment, or business relationship may not be realized or we may be exposed to unknown risks or liabilities.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may not be able to find and identify desirable acquisition targets or we may not be successful in entering into an agreement with any one target.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potentially adversely affecting our results of operations.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if an acquired business fails to meet our expectations, our business, results of operations, and financial condition may suffer.</w:t>
      </w:r>
    </w:p>
    <w:p>
      <w:pPr>
        <w:spacing w:after="0" w:line="21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in the past made, and may in the future seek to make, strategic investments in early stage companies developing products or technologies that we believe could complement our Platform or expand its breadth, enhance our technical capabilities, or otherwise offer growth opportunities. These investments may be in early stage private companies for restricted stock. Such investments are generally illiquid and may never generate value. Further, we may invest in companies that do not succeed, and our investments may lose all or some of their value.</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for a variety of claims, which could harm our reputation and adversely affect our business, results of operations, and financial condition.</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Regulation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oversight in a variety of areas, directly and indirectly through our relationships with Issuing Banks and Card Networks, which regulations are subject to change and to uncertain interpretation.</w:t>
      </w:r>
    </w:p>
    <w:p>
      <w:pPr>
        <w:spacing w:after="0" w:line="62"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our vendors, our partners, and our Customers are subject to a wide variety of state, federal, and international laws, regulations, and industry standards in the United States and in other countries where we operate both directly and indirectly through our relationships with Issuing Banks and Card Networks. These laws, regulations, industry standards, and rules govern numerous areas important to our business. While we currently operate our business in an effort to ensure our business itself is not subject to extensive regulation, the Issuing Banks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Card Networks that we partner with operate in a highly regulated landscape, and there is a risk that those regulations could become applicable to us. We are directly subject to regulation in areas including privacy, data security, data protection, and anti-bribery, and our contractual relationships with Issuing Banks and Card Networks subject us to additional regulations including those relating to payments services (such as payment processing and settlement services), consumer protection, anti-money laundering, anti-bribery, escheatment, international sanctions regimes, data privacy and security, intellectual property, and compliance with the Payment Card Industry Data Security Standard, or PCI DSS, a data security standard obligating companies that process, store, or transmit payment card information to maintain security measures designed to protect cardholder data.</w:t>
      </w:r>
    </w:p>
    <w:p>
      <w:pPr>
        <w:spacing w:after="0" w:line="164"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laws, rules, regulations, and standards applicable to our business are enforced by multiple authorities and governing bodies in the United States, including federal agencies, self-regulatory organizations, and numerous state agencies. Outside of the United States, we may be subject to additional regulators. As we expand into new jurisdictions, or expand our Platform and product offerings in existing jurisdictions, the number of foreign regulations and regulators governing our business will expand as well. In addition, as our business and Platform continue to develop and expand, we may become subject to additional rules, regulations, and industry standards. We may not always accurately predict the scope or applicability of certain regulations to our business, particularly as we expand into new areas of operations, which could have a significant negative effect on our existing business and our ability to pursue future plans.</w:t>
      </w:r>
    </w:p>
    <w:p>
      <w:pPr>
        <w:spacing w:after="0" w:line="195"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In addition to laws and regulations that apply directly to us, we are contractually subject to certain laws and regulations through our relationships with Issuing Banks and Card Networks, which operate in a highly regulated industry. Additionally, as a program manager, we are responsible for ensuring compliance with Issuing Banks’ requirements and Card Network rules, and we help create regulatory compliant card programs for our Customers. In some cases, our inability to ensure such compliance could expose us to liability or claims from our Customers or partners. Furthermore, legislative and regulatory changes could prompt our Issuing Banks to alter the extent or the terms of their dealings with us in ways that may have adverse consequences for our business. For example, due to our relationships with certain Issuing Banks and Card Networks, we may be subject to indirect supervision and examination by the Consumer Financial Protection Bureau, or CFPB, which is engaged in rulemaking and regulation of the payments industry, including, among other things, the regulation of prepaid cards and the enforcement of certain protections under applicable regulations. While recent reform in the payment industry, such as the formation of the CFPB, has focused on individual consumer protection, legislatures continue to consider whether to include business customers, especially smaller business customers, within the scope of these regulations. As a result, new or expanded regulation focusing on business customers or changes in interpretation or enforcement of regulations may have an adverse effect on our business, results of operations, and financial condition due to increased compliance costs and new restrictions affecting the terms we offer our Platform or our products and services under.</w:t>
      </w:r>
    </w:p>
    <w:p>
      <w:pPr>
        <w:spacing w:after="0" w:line="186"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 majority of our net revenue is derived from Interchange Fees and we expect Interchange Fees to continue to represent a significant percentage of our total net revenue in the near term. The amount of Interchange Fees we earn is highly dependent on the interchange rates that the Card Networks set and adjust. From time to time, Card Networks change the Interchange Fees and assessments they charge for transactions processed using their networks. Interchange Fees or assessments are also subject to change from time to time due to government regulation. Interchange Fees are the subject of intense legal and regulatory scrutiny and competitive pressures in the electronic payments industry. For example, the Durbin Amendment to the Dodd-Frank Wall Street Reform and Consumer Protection Act, which limits Interchange Fees, may restrict or otherwise impact the way we do business or limit our ability to charge certain fees to Customers. Issuing Banks that are exempt from the Durbin Amendment are able to access higher interchange rates. As a result, to maximize our Interchange Fees, we currently only contract with Issuing Banks that are exempt from the Durbin Amendment when we provide program management services. Changes in regulation or additional rulemaking may adversely affect the way we conduct our business or result in additional compliance obligations and expense for our business and limitations on net revenue. Interchange Fee regulation also exists in other countries where our Customers use payment cards and such regulation could adversely affect our business in other foreign regions. Any changes in the Interchange Fees associated with our Customers’ card transactions could adversely affect our business, results of operations, and financial condition.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Many of these laws and regulations are evolving, unclear, and inconsistent across various jurisdictions, and ensuring compliance with them is difficult and costly. With increasing frequency, federal and state regulators are holding businesses in the payments industry to higher standards of training, monitoring, and compliance, including monitoring for possible violations of laws by our Customers and people who do business with our Customers while using our Platform or products. If we fail to comply with laws and regulations applicable to our business in a timely and appropriate manner, we may be subject to litigation or regulatory proceedings, we may have to pay fines and penalties, and our client relationships and reputation may be adversely affected, which could have a material adverse effect on our business, results of operations, and financial condition.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Regulations and industry standards related to privacy and data protection could adversely affect our ability to effectively provide our services.</w:t>
      </w:r>
    </w:p>
    <w:p>
      <w:pPr>
        <w:spacing w:after="0" w:line="140"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Governmental bodies and industry organizations in the United States and abroad have adopted, or are considering adopting, laws and regulations restricting the use of, and requiring safeguarding of, personal information. For example, in the United States, all financial institutions must undertake certain steps to ensure the privacy and security of consumer financial information. Further, the California Consumer Privacy Act, or CCPA, became effective on January 1, 2020 and imposes additional restrictions on the collection, processing, and disclosure of personal information, including imposing increased penalties on data privacy incidents. Additionally, a new privacy law, the California Privacy Rights Act, or CPRA, creates additional obligations relating to personal information that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 Other U.S. states also are considering omnibus privacy legislation and industry organizations regularly adopt and advocate for new standards in these areas. Many obligations under these other laws and legislative proposals remain uncertain, and we cannot fully predict their impact on our business. If we fail to comply with any of these laws or standards, we may be subject to investigations, enforcement actions, civil litigation, fines and other penalties, all of which may generate negative publicity and have a negative impact on our business.</w:t>
      </w:r>
    </w:p>
    <w:p>
      <w:pPr>
        <w:spacing w:after="0" w:line="17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In the European Economic Area, or EEA, the GDPR, which became effective in 2018, extends the scope of European Union, or E.U., data protection law to all companies processing personal data of E.U. residents, regardless of the company’s location, and requires companies to meet stringent requirements regarding the handling of personal data. The GDPR also imposes some limitations on international transfers of personal data. The GDPR imposes substantial obligations and risk upon our business and provides for significant penalties in the event of any non-compliance. Administrative fines under the GDPR can amount up to 20 million Euros or four percent of a company group’s annual global turnover, whichever is higher. Further, following the exit of the United Kingdom, or U.K., from the E.U., it remains unclear how the U.K. Data Protection Act, which substantially implements the GDPR in the U.K., and other U.K. data protection laws or regulations will develop in the medium to longer term and how data transfers to and from the U.K. will be regulated. We have incurred substantial expense in complying with new data protection legal frameworks and we may be required to make additional, significant changes in our business operations, all of which may adversely affect our revenue and our business overall. Additionally, because these new regimes lack a substantial enforcement history, we are unable to predict how emerging standards may be applied to us.</w:t>
      </w:r>
    </w:p>
    <w:p>
      <w:pPr>
        <w:spacing w:after="0" w:line="168"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Among other requirements, the GDPR regulates transfers of personal data subject to the GDPR to third countries that have not been found to provide adequate protection to such personal data, including the United States. On July 16, 2020, the Court of Justice of the European Union invalidated the E.U.-U.S. Privacy Shield, eliminating one of the mechanisms we had relied on to legitimize E.U.-U.S. data transfers. The court, however, approved an alternative transfer mechanism that we rely on known as the standard contractual clauses provided additional safeguards are in place. We are in the process of assessing this decision and its impact on our data transfer mechanisms. It is possible that the decision will restrict the ability to transfer personal data from the E.U. to the United States. We (and many other companies) may need to implement different or additional measures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establish or maintain legitimate means for the transfer and receipt of personal data from the E.U. to the U.S., and we may, in addition to other impacts, experience additional costs associated with increased compliance burdens, and we and our Customers face the potential for regulators to apply different standards to the transfer of personal data from the E.U. and Switzerland to the U.S., and to block, or require ad hoc verification of measures taken with respect to, certain personal data transfers from the E.U. and Switzerland to the United States. Any inability to transfer personal data from the E.U. to the United States in compliance with data protection laws or otherwise comply with requirements in this rapidly changing environment may impede our ability to attract and retain Customers unless and until we build out an E.U.-compliant data processing center. These restrictions may adversely affect our business and financial position.</w:t>
      </w:r>
    </w:p>
    <w:p>
      <w:pPr>
        <w:spacing w:after="0" w:line="19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Some countries are also considering or have passed legislation requiring local storage and processing of data, or similar requirements, potentially increasing the cost and complexity of our operations.</w:t>
      </w:r>
    </w:p>
    <w:p>
      <w:pPr>
        <w:spacing w:after="0" w:line="17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connection with providing services to our Customers, we are required by certain self-regulatory frameworks and contractual arrangements with Card Networks and Issuing Banks to provide assurances regarding the confidentiality and security of non-public consumer information, including the PCI DSS. Further, certain Customers increasingly expect us to comply with more stringent privacy, data protection and information security requirements than those imposed by laws, regulations or self-regulatory requirements, and we may be obligated contractually to comply with additional or different standards relating to our handling or protection of data on or by our offerings. The compliance standards relate to our infrastructure, components, and operational procedures designed to safeguard the confidentiality and security of non-public consumer personal information received from our Customers in the course of providing services. Our ability to maintain compliance with these standards and meet our Customers’ requirements may affect our ability to attract and maintain business in the future.</w:t>
      </w:r>
    </w:p>
    <w:p>
      <w:pPr>
        <w:spacing w:after="0" w:line="178"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If we fail to comply with these standards or Customer requirements, or are alleged to have done so, we could be exposed to suits for breach of contract, potentially in addition to governmental proceedings. In addition, our Customer relationships and reputation could be adversely affected, and we could be inhibited in our ability to obtain new Customers. If more restrictive or burdensome laws, rules, or regulations related to privacy, data protection, or information security are adopted by authorities in the future on the federal or state level or internationally, or if existing laws, rules, or regulations become subject to new or differing interpretations or enforcement, or if we become bound by additional obligations to our Customers relating to privacy, data protection, or information security, including any additional compliance standards relating to non-public consumer personal information, our compliance and operational costs may increase, our opportunities for growth may be curtailed by our compliance capabilities or reputational harm, we may find it necessary or appropriate to modify our data processing practices or policies or otherwise restrict our operations, and our potential liability in connection with breaches or incidents relating to privacy, data protection, and information security may increase, all of which could have a material adverse effect on our business, results of operations, and financial condition.</w:t>
      </w:r>
    </w:p>
    <w:p>
      <w:pPr>
        <w:spacing w:after="0" w:line="18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There may continue to be changes in interpretations of existing laws and regulations, or new proposed laws, regulations, industry standards, and other obligations concerning privacy, data protection and information security, which could impair our or our Customers’ ability to collect, use or disclose information relating to consumers, which could decrease demand for our offerings, increase our costs and impair our ability to maintain and grow our Customer base and increase our revenue. Because the interpretation and application of many existing and emerging laws and regulations relating to privacy, data protection and information security, along with industry standards, are uncertain, it is possible that these laws and regulations may be interpreted and applied in new ways that are, or are alleged to be, inconsistent with our data management practices or the features of our products, and we could face fines, lawsuits, regulatory investigations and other claims and penalties, and we could be required to fundamentally change our products or our business practices, any of which could have an adverse effect on our business. Any inability to adequately address privacy, data protection and information security concerns, even if unfounded, or any actual or perceived failure to comply with applicable privacy, data protection or information security laws, regulations, standards and other obligations, could result 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additional cost and liability to us, damage our reputation, inhibit sales and adversely affect our business. Furthermore, the costs of compliance with, and other burdens imposed by, the laws, regulations, standards and policies that are applicable to the businesses of our Customers may limit the use and adoption of, and reduce the overall demand for, our Platform and our products and services.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Additionally, if third parties we work with, such as our partners or vendors, violate applicable laws or our policies, such violations may also put information we process at risk and could in turn adversely affect our business, reputation, financial condition, or results of operations.</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adversely affect our business and reputation.</w:t>
      </w:r>
    </w:p>
    <w:p>
      <w:pPr>
        <w:spacing w:after="0" w:line="62"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or the FCPA, the U.S. domestic bribery statute contained in 18 U.S.C. § 201, the U.S. Travel Act, the USA PATRIOT Act, the U.K. Bribery Act 2010, and other anti-corruption, anti-bribery, and anti-money laundering laws in countries where we conduct activities. Anti-corruption and anti-bribery laws have been interpreted broadly and enforced aggressively in recent years, and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As we increase our international sales and business, our risks under these laws may increase.</w:t>
      </w:r>
    </w:p>
    <w:p>
      <w:pPr>
        <w:spacing w:after="0" w:line="19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addition, in the future we may use third parties to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we outsource certain of our business operations to, will not take actions in violation of our policies and applicable law, for which we may be ultimately held responsible. Any violation of the FCPA, other applicable anti-corruption laws, or anti-money laundering laws could result in whistleblower complaints, adverse media coverage, investigations, prosecutions, loss of export privileges, suspension or debarment from U.S. government contracts, substantial diversion of management’s attention, significant legal fees and fines, settlements, damages, severe criminal or civil sanctions, penalties or injunctions against us, our officers or our employees, disgorgement of profits, and other sanctions, enforcement actions and remedial measures, and prohibitions on the conduct of our business, any of which could have a materially adverse effect on our reputation, business, trading price, results of operations, financial condition and prospects.</w:t>
      </w:r>
    </w:p>
    <w:p>
      <w:pPr>
        <w:spacing w:after="0" w:line="29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may be subject to governmental export controls and economic sanctions regulations that could impair our ability to compete in international markets and could subject us to liability if we are not in compliance with applicable laws.</w:t>
      </w:r>
    </w:p>
    <w:p>
      <w:pPr>
        <w:spacing w:after="0" w:line="6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imposed on us and responsible employees or managers; and, in extreme cases, the incarceration of responsible employees or managers.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addition, changes in applicable export or economic sanctions regulations may create delays in the introduction and deployment of our Platform, products, and services in international markets, or, in some cases, prevent the use of our Platform and products or provision of our services in certain countries or with certain end users. Any change in export or economic sanctions regulations, shift in the enforcement or scope of existing regulations, or change in the countries, governments, persons, or technologies targeted by such regulations, could also result in decreased use of our Platform, products, and services or in our decreased ability to provide our products and services to existing or prospective Customers with international operations. Any decreased use of our Platform, products, or services or limitation on our ability to provide our Platform, products, or services could adversely affect our business, results of operations, and financial condition.</w:t>
      </w:r>
    </w:p>
    <w:p>
      <w:pPr>
        <w:spacing w:after="0" w:line="177"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 Governmental regulation of encryption technology and regulation of exports of encryption products, or our failure to obtain required approval for our products, when applicable, could adversely affect our international sales and net revenue. If we were required to comply with regulatory requirements regarding the export of our Platform and products and provision of our services, including with respect to new releases of our products and services, we may experience delays introducing our Platform in international markets, our Customers with international operations may experience difficulty deploying our Platform and products and using our services, or, in some cases, we may be prevented from exporting our Platform or products or providing our services to some countries altogether.</w:t>
      </w:r>
    </w:p>
    <w:p>
      <w:pPr>
        <w:spacing w:after="0" w:line="2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76"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recent periods, we have experienced rapid growth, and this growth has placed considerable strain on our IT and settlement operations systems, processes, and personnel. As a result of monitoring our internal controls,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material weakness that we identified occurred because we had inadequate processes and controls to ensure the timely reconciliations of certain customer-related settlement bank accounts.</w:t>
      </w:r>
    </w:p>
    <w:p>
      <w:pPr>
        <w:spacing w:after="0" w:line="170"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To address this material weakness, we are deploying additional engineering, and settlement operations personnel and are implementing process level and monitoring controls to ensure timely reconciliation of these customer-related settlement bank accounts. We will not be able to sufficiently remediate these control deficiencies until these steps have been completed and the controls have been operating effectively for a sufficient period of time. While we are undertaking efforts to remediate this material weakness, we cannot predict the success of such efforts or the outcome of our assessment of the remediation efforts at this time. We can give no assurance that our efforts will remediate this deficiency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we have implemented a number of new systems to supplement our core enterprise resource planning system as part of our control environment, and we have hired additional accounting and finance personnel to help us implement these processes and controls. As a result of monitoring our internal controls for the year ended December 31, 2019, we identified a material weakness in our internal control over financial reporting. To address this material weakness, we are deploying additional engineering, and settlement operations personnel and are implementing process level and monitoring controls to ensure timely reconciliation of these customer-related settlement bank accounts.</w:t>
      </w:r>
    </w:p>
    <w:p>
      <w:pPr>
        <w:spacing w:after="0" w:line="18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or we may be unable to remediate the existing material weakness in our controls as discussed in “—We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95"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additional deficiencies in our disclosure controls and internal control over financial reporting may be discovered in the future. Any failure to develop or maintain effective controls or any difficulties encountered in their implementation or improvement could adversely affect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or Nasdaq. We are not currently required to comply with the SEC rules that implement Section 404 of the Sarbanes-Oxley Act and are therefore not required to make a formal assessment of the effectiveness of our internal control over financial reporting for that purpose. In addition,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If our internal control over financial reporting is not effective, our independent registered public accounting firm may issue an adverse report. As a public company, we will be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required to provide an annual management report on the effectiveness of our internal control over financial reporting commencing with our second annual report on Form 10-K.</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results of operations or the way we conduct our business.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spacing w:after="0" w:line="2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value added or similar taxes or be subject to other tax liabilities that may increase the costs our Customers would have to pay for our solutions and adversely affect our results of operations.</w:t>
      </w:r>
    </w:p>
    <w:p>
      <w:pPr>
        <w:spacing w:after="0" w:line="6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have not collected sales, value added or similar indirect taxes in all jurisdictions in which we have sales. One or more jurisdictions may seek to impose incremental or new sales, value added or other indirect tax collection obligations on us. Additionally, the Supreme Court of the United States ruled in South Dakota v. Wayfair, Inc. et al,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or foreign jurisdictions, requiring us to collect taxes where we presently do not do so, or to collect more taxes in a jurisdiction in which we currently do collect some taxes, could result in substantial tax liabilities, including taxes on past sales, as well as penalties and interest. The requirement to collect sales, value added or similar indirect taxes by foreign, state or local governments for sellers that do not have a physical presence in the jurisdiction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tax laws or regulations could have a material adverse effect on our business, results of operations, and financial conditions.</w:t>
      </w:r>
    </w:p>
    <w:p>
      <w:pPr>
        <w:spacing w:after="0" w:line="1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the U.S. Department of the Treasury, and state and local tax authorities. Changes in U.S. tax laws or their interpretations (which may have retroactive application), such as, for example, President Biden’s plan to increase the U.S. federal corporate income tax rate, could materially increase the amount of taxes we owe, thereby negatively impacting our results of operations as well as our cash flows from operations. Furthermore, our implementation of new practices and processes designed to comply with changing tax laws and regulations could require us to make substantial changes to our business practices, allocate additional resources, and increase our costs, potentially negatively affecting our business, results of operations, and financial condition.</w:t>
      </w:r>
    </w:p>
    <w:p>
      <w:pPr>
        <w:spacing w:after="0" w:line="19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we grow internationally, we may also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potentially adversely affecting our liquidity and results of operations. In addition, the authorities in these jurisdictions could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review our tax returns and impose additional tax, interest, and penalties, and the authorities could claim that various withholding requirements apply to us or our subsidiaries or assert that benefits of tax treaties are not available to us or our subsidiaries, any of which could adversely affect us and our results of operations.</w:t>
      </w:r>
    </w:p>
    <w:p>
      <w:pPr>
        <w:spacing w:after="0" w:line="2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have exposure to greater-than-anticipated tax liabilities, which may materially and adversely affect our business, results of operations, and financial condition.</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determination of our worldwide provision for income taxes, value-added taxes, and other tax liabilities requires estimation and significant judgment, and there are many transactions and calculations where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w:t>
      </w:r>
    </w:p>
    <w:p>
      <w:pPr>
        <w:spacing w:after="0" w:line="17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our future income taxes could be adversely affected by earnings being lower than anticipated, or by the incurrence of losses, in jurisdictions that have lower statutory tax rates and higher than anticipated in jurisdictions that have higher statutory tax rates; by changes in the valuation of our deferred tax assets and liabilities, as a result of gains on our foreign exchange risk management program; or changes in tax laws, regulations, or accounting principles, as well as certain discrete items.</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Various levels of government, such as U.S. federal and state legislatures, and international organizations, such as the Organization for Economic Co-operation and Development, are increasingly focused on tax reform and other legislative or regulatory action to increase tax revenue. Any such tax reform or other legislative or regulatory actions could increase our effective tax rate, which may materially and adversely affect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We have incurred substantial net operating losses, or NOLs, during our history. In general,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We do not believe our existing NOLs are subject to limitation; however, if we have undergone previous ownership changes, or if we undergo an ownership change in the future, or in connection with this offering, our ability to utilize NOLs could be limited by Section 382 of the Code and/or analogous provisions of applicable state tax law in states where we have incurred NOLs for state income tax purposes. Future changes in our stock ownership, some of which may be outside of our control, could result in an ownership change under these rules.</w:t>
      </w:r>
    </w:p>
    <w:p>
      <w:pPr>
        <w:spacing w:after="0" w:line="16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addition, the amount of NOLs arising in taxable years beginning after December 31, 2017 that we are permitted to deduct in a taxable year beginning after December 31, 2020 is limited to 80% of our taxable income in each such year to which the NOLs are applied, where taxable income for such year is determined without regard to the NOL deduction itself, and such NOLs may be carried forward indefinitely. NOLs generated in taxable years beginning on or prior to December 31, 2017, however, may be carried forward for only 20 years, but are not subject to the 80% limitation. Our NOLs may also be subject to limitations under state law. For example, California recently enacted legislation suspending the use of NOLs for taxable years 2020, 2021 and 2022 for many taxpayers. There is a risk that due to legislative or regulatory changes,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Furthermore, our ability to utilize our NOLs is conditioned upon our becoming profitable in the future and generating U.S. federal taxable income. Since we do not know whether or when we will generate the U.S. federal taxable income necessary to utilize our remaining NOLs, the portion of our NOLs that was generated in taxable years beginning on or prior to December 31, 2017 could expire unused.</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reduced net revenue, and incur costly litigation to protect our rights.</w:t>
      </w:r>
    </w:p>
    <w:p>
      <w:pPr>
        <w:spacing w:after="0" w:line="62"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Our success depends, in part, upon protecting our proprietary information and technology. We rely on a combination of patents, copyrights, trademarks, service marks, trade secret laws, and contractual restrictions to establish and protect our proprietary rights. The steps we take to protect our intellectual property, however, may be inadequate. We cannot assure you that any patents or trademarks will be issued with respect to our currently pending patent and trademark applications in a manner that gives us adequate defensive protection or competitive advantages, if at all, or that any patents or trademarks issued to us will not be challenged, invalidated, or circumvented. Our currently issued patents and trademarks and any patents or trademarks that may be issued in the future with respect to pending or future applications may not provide sufficiently broad protection, or they may not prove to be enforceable in actions against alleged infringers. We will not be able to protect our intellectual property if we are unable to enforce our rights or if we do not detect unauthorized use of our intellectual property. Despite our precautions, it may be possible for unauthorized third parties to copy our Platform, or certain aspects of our Platform, and use information that we regard as proprietary to create products that compete with our Platform. Some license provisions protecting against unauthorized use, copying, transfer, and disclosure of our Platform, or certain aspects of our Platform, may be unenforceable under the laws of certain jurisdictions and foreign countries. Further, the laws of some countries do not protect proprietary rights to the same extent as the laws of the United States, and mechanisms for enforcement of intellectual property rights in some foreign countries may be inadequate. To the extent we continue to expand our international activities, our exposure to unauthorized copying and use of our Platform, or certain aspects of our Platform, and proprietary information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6"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also rely in part on trade secrets, proprietary know-how, and other confidential information to maintain our competitive position. Although we enter into confidentiality and invention assignment agreements with our employees, consultants, and contractors and enter into confidentiality agreements with the parties with whom we have strategic relationships and business alliances, no assurance can be given that these agreements will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w:t>
      </w:r>
    </w:p>
    <w:p>
      <w:pPr>
        <w:spacing w:after="0" w:line="16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and protect these rights,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Platform, or injure our reputation. In addition, we may be required to license additional technology from third parties to develop and market new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capabilities, and we cannot assure you that we could license that technology on commercially reasonable terms or at all, and our inability to license this technology could impair our ability to compete.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incorporates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net revenue from Customers using products that contained the open source software, and required to comply with onerous conditions or restrictions on these products. In any of these events, we and our Customers could be required to seek licenses from third parties to continue offering our products and operating our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accused of infringing the intellectual property rights of third parties.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may be accused of infringing intellectual property or other proprietary rights of third parties, including their copyrights, trademarks, or patents, or improperly using or disclosing their trade secrets, or otherwise infringing or violating their proprietary rights. The costs of supporting any litigation or disputes related to such claims can be considerable, and we cannot assure you that we will achieve a favorable outcome of any such claim. If any such claim is valid, we may be compelled to cease our use of such intellectual property or other proprietary rights and pay damages, potentially adversely affecting our business. Even if such claims were not valid, defending them could be expensive and distract our management team, adversely affecting our results of operations.</w:t>
      </w:r>
    </w:p>
    <w:p>
      <w:pPr>
        <w:spacing w:after="0" w:line="192"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Although we require our employees to not use the proprietary information or know-how of others in their work for us and we are not currently subject to any claims that they have done so, we may in the future become subject to claims that these employees have divulged, or we have used, proprietary information of these employees’ former employers. Litigation may be necessary to defend against these claims. If we are unable to successfully defend any such claims, we may be required to pay monetary damages and to discontinue our commercialization of certain solutions. In addition, we may lose valuable intellectual property rights or personnel. A loss of key research personnel or their work product could hamper our ability to develop new solutions and features for our existing solutions, which could severely weaken our business. Even if we are successful in defending against these claims, litigation efforts are costly, time-consuming and a significant distraction to management.</w:t>
      </w:r>
    </w:p>
    <w:p>
      <w:pPr>
        <w:spacing w:after="0" w:line="17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currently have a number of agreements in effect pursuant to which we have agreed to defend, indemnify, and hold harmless our Customers and other partners from damages and costs arising from the infringement or claimed infringement by our solutions of third-party patents or other intellectual property rights, which may include patents, copyrights, trademarks, or trade secrets. The scope of these indemnity obligations varies, but may, in some instances, include indemnification for damages and expenses, including attorneys’ fees. Our insurance may not cover all intellectual property infringement claims. A claim that one of our solutions infringes a third party’s intellectual property rights, even if untrue, could damage our relationships with our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may deter future Customers from purchasing our solutions, and could expose us to costly litigation and settlement expenses. Even if we are not a party to any litigation between a Customer and a third party relating to infringement by our solutions,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Initial Public Offering and Ownership of Our Common Stock</w:t>
      </w:r>
    </w:p>
    <w:p>
      <w:pPr>
        <w:spacing w:after="0" w:line="22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b w:val="1"/>
          <w:bCs w:val="1"/>
          <w:i w:val="1"/>
          <w:iCs w:val="1"/>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1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will be determined through negotiation among the underwriters and us and may vary from the trading price of our Class A common stock following this offering. The market prices of the securities of other newly public companies have historically been highly volatile and markets in general have been highly volatile in light of the COVID-19 pandemic. The trading price of our Class A common stock may fluctuate significantly in response to numerous factors, many of which are beyond our control, including:</w:t>
      </w:r>
    </w:p>
    <w:p>
      <w:pPr>
        <w:spacing w:after="0" w:line="93"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fintech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net revenue or other operating metrics;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or capabilities, acquisitions, strategic partnerships or investments, joint ventures, or capital commitments;</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cybersecurity in the United States or globally;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perceived privacy or data security incidents;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or elections (including the upcoming U.S. presidential election), or responses to these events;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stock markets, and the market for technology and fintech companies in particular, have experienced price and volume fluctuations that have affected and continue to affect the market prices of equity securities of many companies. Often, trading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6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net revenue or results of operations fall below the expectations of analysts or investors or below any forecasts we may provide to the market, or if the forecasts we provide to the market are below the expectations of analysts or investors, the trading price of our Class A common stock could decline substantially. Such a trading price decline could occur even when we have met any previously publicly stated net revenue or earnings forecasts that we may provide.</w:t>
      </w:r>
    </w:p>
    <w:p>
      <w:pPr>
        <w:spacing w:after="0" w:line="28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80"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Our Class B common stock has 10 votes per share, and our Class A common stock, which is the stock we are offering in this offering, has one vote per share. Following this offering, our directors, executive officers, and their affiliates, will beneficially own in the aggregate 34.5% of the voting power of our capital stock as of March 31, 2021. Because of the ten-to-one voting ratio between our Class B and Class A common stock, the holders of our Class B common stock collectively could continue to control a majority of the combined voting power of our common stock and therefore be able to control all matters submitted to our stockholders for approval until the tenth anniversary of the date of this prospectus, when all outstanding shares of Class A common stock and Class B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one of our stockholders.</w:t>
      </w:r>
    </w:p>
    <w:p>
      <w:pPr>
        <w:spacing w:after="0" w:line="18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cannot predict whether our dual class structure will result in a lower or more volatile trading price of our Class A common stock, adverse publicity, or other adverse consequences. For example, certain index providers have announced restrictions on including companies with multiple-class share structures in certain of their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or continue to have on the valuations of publicly 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trading price of our Class A common stock could be adversely affected.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have applied to list our Class A common stock on Nasdaq, under the symbol “MQ.” However,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9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3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52" w:lineRule="exact"/>
        <w:rPr>
          <w:sz w:val="20"/>
          <w:szCs w:val="20"/>
          <w:color w:val="auto"/>
        </w:rPr>
      </w:pPr>
    </w:p>
    <w:p>
      <w:pPr>
        <w:ind w:left="880" w:right="20" w:hanging="224"/>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 Oxley Act;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an emerging growth company for up to five years following the completion of this offering. Our status as an emerging growth company will end as soon as any of the following takes place: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this offering.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 market for our Class A common stock and the trading price of our Class A common stock may be more volatile.</w:t>
      </w:r>
    </w:p>
    <w:p>
      <w:pPr>
        <w:spacing w:after="0" w:line="16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of our Class A common stock and trading volume could be adversely affected.</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Securities and industry analysts do not currently, and may never, publish research on our company.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trading price would likely decline. If one or more of these analysts cease coverage of us or fail to publish reports on us on a regular basis, demand for our Class A common stock could decrease, potentially causing our Class A common stock trading price and trading volume to decline.</w:t>
      </w:r>
    </w:p>
    <w:p>
      <w:pPr>
        <w:spacing w:after="0" w:line="27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such as when our lock-up restrictions are released, or the perception that sales might occur, could cause the trading price of our Class A common stock to decline.</w:t>
      </w:r>
    </w:p>
    <w:p>
      <w:pPr>
        <w:spacing w:after="0" w:line="62"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Sales of a substantial number of shares of our Class A common stock into the public market, particularly sales by our directors, executive officers, and principal stockholders, or the perception that these sales might occur, could cause the trading price of our Class A common stock to decline. Based on the total number of outstanding shares of our common stock as of March 31, 2021, upon completion of this offering, we will have outstanding a total of 45,454,546 shares of Class A common stock and 484,791,355 shares of Class B common stock. This assumes no exercise of outstanding options and gives effect to the conversion of all of our outstanding shares of redeemable convertible preferred stock into shares of Class B common stock, the net issuance of common stock issuable pursuant to the vesting and settlement of RSUs for which the service condition was satisfied as of March 31, 2021, and the issuance of 45,454,546 shares of Class A common stock on the completion of this offering.</w:t>
      </w:r>
    </w:p>
    <w:p>
      <w:pPr>
        <w:spacing w:after="0" w:line="17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Substantially all of our securities outstanding prior to the completion of this offering are currently restricted from resale as a result of lock-up and market standoff agreements. See the section titled “Shares Eligible for Future Sale” for additional information. These securities will become available to be sold 180 days after the date of the final prospectus relating to the offering, subject to earlier release of our officers, directors, and other holders from the restrictions contained in such agreements on the earlier of (i) the opening of trading on the second trading day immediately following our release of earnings for the quarter ended September 30, 2021 and (ii) 180 days after the date of this prospectus.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as further described and subject to the conditions set forth in “Shares Eligible for Future Sale”:</w:t>
      </w:r>
    </w:p>
    <w:p>
      <w:pPr>
        <w:spacing w:after="0" w:line="131" w:lineRule="exact"/>
        <w:rPr>
          <w:sz w:val="20"/>
          <w:szCs w:val="20"/>
          <w:color w:val="auto"/>
        </w:rPr>
      </w:pPr>
    </w:p>
    <w:p>
      <w:pPr>
        <w:jc w:val="both"/>
        <w:ind w:left="880" w:right="20" w:hanging="224"/>
        <w:spacing w:after="0" w:line="25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 to 15% of the shares of common stock and shares of common stock underlying securities convertible into or exercisable or exchangeable for our common stock (including stock options, restricted stock units and other equity awards) held by our officers and directors, other than our Chief Executive Officer, for which all vesting conditions are satisfied may be sold in the public market beginning at the commencement of the second trading day after the date that we publicly announce earnings for the quarter ended June 30, 2021, or the Post-Offering Earnings Release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hanging="224"/>
        <w:spacing w:after="0" w:line="259"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 to 33% of the shares of common stock and shares of common stock underlying securities convertible into or exercisable or exchangeable for our common stock (including stock options, restricted stock units and other equity awards) held by our employees, other than our officers, for which all vesting conditions are satisfied may be sold in the public market beginning at the commencement of the second trading day after the Post-Offering Earnings Release Date; and</w:t>
      </w:r>
    </w:p>
    <w:p>
      <w:pPr>
        <w:spacing w:after="0" w:line="92"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 to 15% of the shares of common stock and shares of common stock underlying securities convertible into or exercisable or exchangeable for our common stock (including stock options, restricted stock units and other equity awards) by all of our other stockholders parties to such lock-up agreements may be sold in the public market beginning at the commencement of the second trading day after the Post-Offering Earnings Release Date.</w:t>
      </w:r>
    </w:p>
    <w:p>
      <w:pPr>
        <w:spacing w:after="0" w:line="18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lead underwriters may, in their discretion, permit our security holders to sell shares prior to the expiration of the restrictive provisions contained in the lock-up agreements. Sales of a substantial number of such shares upon expiration of the lock-up and market standoff agreements, the perception that such sales may occur, or early release of these agreements could cause our trading price to fall or make it more difficult for you to sell your Class A common stock at a time and price that you deem appropriate. Shares held by directors, executive officers, and other affiliates will also be subject to volume limitations under Rule 144 under the Securities Act of 1933, as amended, or the Securities Act, and various vesting agreements.</w:t>
      </w:r>
    </w:p>
    <w:p>
      <w:pPr>
        <w:spacing w:after="0" w:line="16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In addition, as of March 31, 2021, we had 24,332,915 options outstanding that, if fully exercised, would result in the issuance of shares of Class B common stock, as well as 6,503,203 shares of common stock subject to RSU awards. All of the shares of Class B common stock issuable upon the exercise of stock options, subject to RSU awards,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 In addition, we intend to file one or more registration statements covering shares of our common stock issued pursuant to our equity incentive plans permitting the resale of such shares by non-affiliates in the public market without restriction under the Securities Act and the sale by affiliates in the public market subject to compliance with the resale provisions of Rule 144.</w:t>
      </w:r>
    </w:p>
    <w:p>
      <w:pPr>
        <w:spacing w:after="0" w:line="178"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Following this offering, the holders of up to 362,319,118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7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Because the initial public offering price of our Class A common stock is substantially higher than the pro forma net tangible book value per share of our outstanding common stock following this offering, new investors will experience immediate and substantial dilution.</w:t>
      </w:r>
    </w:p>
    <w:p>
      <w:pPr>
        <w:spacing w:after="0" w:line="3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common stock immediately following this offering based on the total value of our tangible assets less our total liabilities. Therefore, if you purchase shares of our Class A common stock in this offering, you will experience immediate dilution of $19.71 per share, representing the difference between the price per share you pay for our Class A common stock based upon the initial public offering price of $22.00 per share, which is the midpoint of the estimated offering price range set forth on the cover page of this prospectus, and the pro forma net tangible book value per share as of March 31, 2021, after giving effect to the issuance of shares of our Class A common stock in this offering. See the section titled “Dilution” below.</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will have broad discretion in the use of proceeds from this offering and may not use them effectively.</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Our management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Due to the number and variability of factors that will determine our use of the net proceeds from this offering, their ultimate use may vary substantially from their currently intended use. The failure by our management to apply these funds effectively could adversely affect our business. Pending their use, we may invest the net proceeds from this offering in short-term, investment-grade interest-bearing securities such as money market accounts, certificates of deposit, commercial paper, and guaranteed obligations of the U.S. government. Our investments may not yield a favorable return to our investors. If we do not use the net proceeds that we receive in this offering effectively, our business, results of operations, and financial condition could be adversely affected.</w:t>
      </w:r>
    </w:p>
    <w:p>
      <w:pPr>
        <w:spacing w:after="0" w:line="28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 and could negatively affect our results of operations.</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Any additional grants of equity awards under our stock incentive plans will also increase share-based compensation expense and negatively affect our results of operations. For example, in April and May 2021, our board of directors granted stock options to Mr. Gardner, covering a maximum of 19,740,923 shares and 47,267 shares, respectively, of our Class B common stock, which we refer to collectively as the CEO Long-Term Performance Award. The aggregate grant date fair value of these awards was $208.4 million, which will be recognized as share-based compensation over the derived service period using the accelerated attribution method. Further, commencing in the first quarter of 2020, we began granting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In the quarter that we complete this initial public offering, we will record share-based compensation expense for all RSUs that have met the service condition to date using the accelerated attribution method. As of March 31, 2021, no share-based compensation expense had been recognized for RSUs because the liquidity condition had not occurred. If our initial public offering had occurred on March 31, 2021, we would have recognized $19.2 million of cumulative share-based compensation expense on that date.</w:t>
      </w:r>
    </w:p>
    <w:p>
      <w:pPr>
        <w:spacing w:after="0" w:line="28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spacing w:after="0" w:line="3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spacing w:after="0" w:line="3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Provisions that will be in our amended and restated certificate of incorporation and amended and restated bylaws may have the effect of delaying or preventing a change of control or changes in our management. Our amended and restated certificate of incorporation and amended and restated bylaws, which will become effective upon the completion of this offering, will include provisions that:</w:t>
      </w:r>
    </w:p>
    <w:p>
      <w:pPr>
        <w:spacing w:after="0" w:line="89"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880" w:hanging="22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or a majority of our board of directors will be authorized to call a special meeting of stockholders;</w:t>
      </w:r>
    </w:p>
    <w:p>
      <w:pPr>
        <w:spacing w:after="0" w:line="75"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prohibit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contain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292" w:lineRule="exact"/>
        <w:rPr>
          <w:sz w:val="20"/>
          <w:szCs w:val="20"/>
          <w:color w:val="auto"/>
        </w:rPr>
      </w:pPr>
    </w:p>
    <w:p>
      <w:pPr>
        <w:jc w:val="both"/>
        <w:ind w:left="120" w:right="20"/>
        <w:spacing w:after="0" w:line="375" w:lineRule="auto"/>
        <w:rPr>
          <w:sz w:val="20"/>
          <w:szCs w:val="20"/>
          <w:color w:val="auto"/>
        </w:rPr>
      </w:pPr>
      <w:r>
        <w:rPr>
          <w:rFonts w:ascii="Arial" w:cs="Arial" w:eastAsia="Arial" w:hAnsi="Arial"/>
          <w:sz w:val="15"/>
          <w:szCs w:val="15"/>
          <w:b w:val="1"/>
          <w:bCs w:val="1"/>
          <w:i w:val="1"/>
          <w:iCs w:val="1"/>
          <w:color w:val="auto"/>
        </w:rPr>
        <w:t>Our amended and restated bylaws will designate state or federal courts located within the State of Delaware as the exclusive forum for certain litigation that may be initiated by our stockholders, potentially limiting stockholders’ ability to obtain a favorable judicial forum for disputes with us.</w:t>
      </w:r>
    </w:p>
    <w:p>
      <w:pPr>
        <w:spacing w:after="0" w:line="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Our amended and restated bylaws will provide that, unless we consent in writing to the selection of an alternative forum, to the fullest extent permitted by law, the Court of Chancery of the State of Delaware will be the sole and exclusive forum for any state law claims for:</w:t>
      </w:r>
    </w:p>
    <w:p>
      <w:pPr>
        <w:spacing w:after="0" w:line="76"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action asserting a claim of breach of fiduciary duty owed by any of our directors, officers or other employees to us or our stockholders;</w:t>
      </w:r>
    </w:p>
    <w:p>
      <w:pPr>
        <w:spacing w:after="0" w:line="153" w:lineRule="exact"/>
        <w:rPr>
          <w:rFonts w:ascii="Arial" w:cs="Arial" w:eastAsia="Arial" w:hAnsi="Arial"/>
          <w:sz w:val="16"/>
          <w:szCs w:val="16"/>
          <w:color w:val="auto"/>
        </w:rPr>
      </w:pPr>
    </w:p>
    <w:p>
      <w:pPr>
        <w:ind w:left="880" w:right="20" w:hanging="22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or the Delaware Forum Provision.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Delaware Forum Provision will not apply to any causes of action arising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or the Federal Forum Provision, as the company is incorporated in the State of Delaware.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5"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corporate headquarters are located in the San Francisco Bay Area, a region known for seismic activity and wildfires. A significant natural disaster, such as an earthquake, fire, or flood, occurring at our headquarters, at one of our other facilities or where a vendor is located, could adversely affect our business, results of operations, and financial condition. Further, if a natural disaster or man-made problem were to affect our vendors, this could adversely affect the ability of our Customers to use our Platform. In addition, natural disasters and acts of terrorism could cause disruptions in our or our Customers’ businesses, national economies, or the world economy as a whole. Health concerns or political or governmental developments in countries where we or our Customers and vendors operate could result in economic, social, or labor instability and could have a material adverse effect on our business, results of operations, and financial condition.</w:t>
      </w:r>
    </w:p>
    <w:p>
      <w:pPr>
        <w:spacing w:after="0" w:line="17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in part or in full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addition, computer malware, viruses, computer hacking, fraudulent use attempts, and phishing attacks have become more prevalent generally and in our industry, have occurred on our Platform in the past, and may occur on our Platform in the future. Though it is difficult to determine fully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w:t>
      </w:r>
    </w:p>
    <w:p>
      <w:pPr>
        <w:spacing w:after="0" w:line="29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2"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As a public company, we will be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potentially adversely affecting our business, results of operations, and financial condition. Although we have already hired additional employees to assist us in complying with these requirements, we may need to hire more employees in the future or engage outside consultants or contractors, which will increase our operating expenses.</w:t>
      </w:r>
    </w:p>
    <w:p>
      <w:pPr>
        <w:spacing w:after="0" w:line="17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potentially resulting in continued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a result of disclosure of information in this prospectus and in filings required of a public company, our business and financial condition will become more visible, potentially resulting in an increased risk of threatened or actual litigation, including by competitors and other third parties. If such claims are successful, our business, results of operations, and financial condition could be adversely affected, and even if the claims do not result in litigation or are resolved in our favor, these claims, and the time and resources necessary to resolve them, could divert the resources of our management and adversely affect our business, results of operations, and financial condition.</w:t>
      </w:r>
    </w:p>
    <w:p>
      <w:pPr>
        <w:spacing w:after="0" w:line="188"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management and could divert their attention away from the day-to-day management of our business, potentially adversely affecting our business, results of operations, and financial condition.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8" w:lineRule="exact"/>
        <w:rPr>
          <w:sz w:val="20"/>
          <w:szCs w:val="20"/>
          <w:color w:val="auto"/>
        </w:rPr>
      </w:pPr>
    </w:p>
    <w:p>
      <w:pPr>
        <w:ind w:left="880" w:right="20" w:hanging="224"/>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on U.S. and global economies, our business, results of operations, financial condition, demand for our Platform, sales cycles and Customer retention;</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and operating expenses and our ability to achieve and maintain future profitability;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effectively expand our operations;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enhance our Platform and develop and expand its capabilities;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further attract, retain, diversify, and expand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Issuing Banks and Card Networks;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strategies, plans, objectives, and goals;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plans to expand internationally;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estimated market opportunity;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remediate our material weakness in our internal control over financial reporting;</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anticipated uses of the net proceeds from this offering.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This prospectus contains statistical data, estimates, and forecasts regarding the payments industry that are based on various sources, including Euromonitor International Limited and other independent industry publications or other publicly available information, as well as other information based on our internal sources. Some data and other information contained in this prospectus are also based on management’s estimates and calculations, which are derived from our review and interpretation of internal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and you are cautioned not to give undue weight to these estimates.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 The content of the below sources, except to the extent specifically set forth in this prospectus, does not constitute a portion of this prospectus and is not incorporated herein.</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and publicly-available reports. The source of these independent industry publications is provided below:</w:t>
      </w:r>
    </w:p>
    <w:p>
      <w:pPr>
        <w:spacing w:after="0" w:line="76"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Bain &amp; Company, </w:t>
      </w:r>
      <w:r>
        <w:rPr>
          <w:rFonts w:ascii="Arial" w:cs="Arial" w:eastAsia="Arial" w:hAnsi="Arial"/>
          <w:sz w:val="18"/>
          <w:szCs w:val="18"/>
          <w:i w:val="1"/>
          <w:iCs w:val="1"/>
          <w:color w:val="auto"/>
        </w:rPr>
        <w:t>The Covid-19 Tipping Point for Digital Payments</w:t>
      </w:r>
      <w:r>
        <w:rPr>
          <w:rFonts w:ascii="Arial" w:cs="Arial" w:eastAsia="Arial" w:hAnsi="Arial"/>
          <w:sz w:val="18"/>
          <w:szCs w:val="18"/>
          <w:color w:val="auto"/>
        </w:rPr>
        <w:t>, April 29,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Edgar, Dunn &amp; Company, </w:t>
      </w:r>
      <w:r>
        <w:rPr>
          <w:rFonts w:ascii="Arial" w:cs="Arial" w:eastAsia="Arial" w:hAnsi="Arial"/>
          <w:sz w:val="18"/>
          <w:szCs w:val="18"/>
          <w:i w:val="1"/>
          <w:iCs w:val="1"/>
          <w:color w:val="auto"/>
        </w:rPr>
        <w:t>Global Issuing Processing Market Sizing Model</w:t>
      </w:r>
      <w:r>
        <w:rPr>
          <w:rFonts w:ascii="Arial" w:cs="Arial" w:eastAsia="Arial" w:hAnsi="Arial"/>
          <w:sz w:val="18"/>
          <w:szCs w:val="18"/>
          <w:color w:val="auto"/>
        </w:rPr>
        <w:t>, January 2019</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Euromonitor International Limited, Consumer Finance 2021 Edition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McKinsey &amp; Company, </w:t>
      </w:r>
      <w:r>
        <w:rPr>
          <w:rFonts w:ascii="Arial" w:cs="Arial" w:eastAsia="Arial" w:hAnsi="Arial"/>
          <w:sz w:val="18"/>
          <w:szCs w:val="18"/>
          <w:i w:val="1"/>
          <w:iCs w:val="1"/>
          <w:color w:val="auto"/>
        </w:rPr>
        <w:t>The 2020 McKinsey Global Payments Report</w:t>
      </w:r>
      <w:r>
        <w:rPr>
          <w:rFonts w:ascii="Arial" w:cs="Arial" w:eastAsia="Arial" w:hAnsi="Arial"/>
          <w:sz w:val="18"/>
          <w:szCs w:val="18"/>
          <w:color w:val="auto"/>
        </w:rPr>
        <w:t>, October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PYMNTS.com, </w:t>
      </w:r>
      <w:r>
        <w:rPr>
          <w:rFonts w:ascii="Arial" w:cs="Arial" w:eastAsia="Arial" w:hAnsi="Arial"/>
          <w:sz w:val="18"/>
          <w:szCs w:val="18"/>
          <w:i w:val="1"/>
          <w:iCs w:val="1"/>
          <w:color w:val="auto"/>
        </w:rPr>
        <w:t>Inspiring Trust In The New Digital Economy</w:t>
      </w:r>
      <w:r>
        <w:rPr>
          <w:rFonts w:ascii="Arial" w:cs="Arial" w:eastAsia="Arial" w:hAnsi="Arial"/>
          <w:sz w:val="18"/>
          <w:szCs w:val="18"/>
          <w:color w:val="auto"/>
        </w:rPr>
        <w:t>, September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U.S. General Purpose Brands Purchase Volume in 2020</w:t>
      </w:r>
      <w:r>
        <w:rPr>
          <w:rFonts w:ascii="Arial" w:cs="Arial" w:eastAsia="Arial" w:hAnsi="Arial"/>
          <w:sz w:val="18"/>
          <w:szCs w:val="18"/>
          <w:color w:val="auto"/>
        </w:rPr>
        <w:t>, Issue 1191, February 2021</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Global Network Cards in 2019</w:t>
      </w:r>
      <w:r>
        <w:rPr>
          <w:rFonts w:ascii="Arial" w:cs="Arial" w:eastAsia="Arial" w:hAnsi="Arial"/>
          <w:sz w:val="18"/>
          <w:szCs w:val="18"/>
          <w:color w:val="auto"/>
        </w:rPr>
        <w:t>, Issue 1178, June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Top U.S. Issuers of Visa and Mastercard Consumer Cards</w:t>
      </w:r>
      <w:r>
        <w:rPr>
          <w:rFonts w:ascii="Arial" w:cs="Arial" w:eastAsia="Arial" w:hAnsi="Arial"/>
          <w:sz w:val="18"/>
          <w:szCs w:val="18"/>
          <w:color w:val="auto"/>
        </w:rPr>
        <w:t>, Issue 1180 July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Payment Cards Projected Worldwide</w:t>
      </w:r>
      <w:r>
        <w:rPr>
          <w:rFonts w:ascii="Arial" w:cs="Arial" w:eastAsia="Arial" w:hAnsi="Arial"/>
          <w:sz w:val="18"/>
          <w:szCs w:val="18"/>
          <w:color w:val="auto"/>
        </w:rPr>
        <w:t>, Issue 1184, October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Visa Inc., 2020 Investor Day Presentation, February 11,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estimate that the net proceeds from the sale of shares of our Class A common stock that we are selling in this offering will be approximately $921.5 million, based upon an assumed initial public offering price of $22.00 per share, which is the midpoint of the estimated offering price range set forth on the cover page of this prospectus, and after deducting estimated underwriting discounts and commissions and estimated offering expenses payable by us and tax withholdings related to the settlement of RSUs. If the underwriters’ option to purchase additional shares of our Class A common stock from us is exercised in full, we estimate that our net proceeds would be approximately $1,061.8 million, after deducting estimated underwriting discounts and commissions and estimated offering expenses payable by us and tax withholdings related to the settlement of RSUs.</w:t>
      </w:r>
    </w:p>
    <w:p>
      <w:pPr>
        <w:spacing w:after="0" w:line="164"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Each $1.00 increase or decrease in the assumed initial public offering price of $22.00 per share, which is the midpoint of the estimated offering price range set forth on the cover page of this prospectus, would increase or decrease, as applicable, the net proceeds that we receive from this offering by approximately $42.2 million, assuming that the number of shares of Class A common stock offered by us, as set forth on the cover page of this prospectus, remains the same and after deducting the estimated underwriting discounts and commissions and estimated offering expenses payable by us and tax withholdings related to the settlement of RSUs. Similarly, each increase or decrease of 1.0 million in the number of shares of our Class A common stock offered by us would increase or decrease the net proceeds that we receive from this offering by approximately $20.6 million, assuming the assumed initial public offering price remains the same and after deducting the estimated underwriting discounts and commissions and estimated offering expenses payable by us.</w:t>
      </w:r>
    </w:p>
    <w:p>
      <w:pPr>
        <w:spacing w:after="0" w:line="19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The principal purposes of this offering are to increase our capitalization, increase our financial flexibility, create a public market for our Class A common stock, and enable access to the public equity markets for our stockholders and us. We currently intend to use the net proceeds that we will receive from this offering for working capital and other general corporate purposes and to fund our growth strategies, including continued investments in our business globally. We may also use a portion of the net proceeds that we receive to acquire or invest in complementary businesses, products, services, technologies, or other assets. We do not, however, have any agreements or commitments to enter into any acquisitions or investments at this time.</w:t>
      </w:r>
    </w:p>
    <w:p>
      <w:pPr>
        <w:spacing w:after="0" w:line="19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that we will receive from this offering or the amounts we actually spend on the uses set forth above. Pending the use of proceeds from this offering as described above, we plan to invest a portion of the net proceeds that we receive in this offering in short-term and intermediate-term interest-bearing obligations, investment-grade investments, certificates of deposit, or direct or guaranteed obligations of the U.S. government. Our management will have broad discretion in the application of the net proceeds from this offering and investors will be relying on the judgment of our management regarding the application of the proceeds.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sets forth cash, cash equivalents, restricted cash, and marketable securities, as well as our capitalization, as of March 31, 2021 as follows:</w:t>
      </w:r>
    </w:p>
    <w:p>
      <w:pPr>
        <w:spacing w:after="0" w:line="76"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jc w:val="both"/>
        <w:ind w:left="880" w:hanging="224"/>
        <w:spacing w:after="0" w:line="287"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 pro forma basis, giving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 (iv) the reclassification of the redeemable convertible preferred stock warrant liabilities to additional paid-in capital, (v) the net issuance of 428,675 shares of our common stock issuable pursuant to the vesting and settlement of 739,095 RSUs for which the service condition was satisfied as of March 31, 2021, and for which we expect the liquidity condition to be satisfied in connection with this offering (based on an assumed 42% tax withholding rate), (vi) the increase in other accrued liabilities and an equivalent decrease in additional paid-in capital of $6.8 million in connection with tax withholding and remittance obligations related to such RSUs, based upon the initial public offering price of $22.00 per share, which is the midpoint of the estimated offering price range set forth on the cover page of this prospectus, all of which will occur immediately prior to the completion of this offering, as if such actions had occurred on March 31, 2021, and (vii) $19.2 million of cumulative share-based compensation expense related to the RSUs for which the service condition was satisfied as of March 31, 2021 and for which we expect the liquidity condition to be satisfied in connection with this offering; and</w:t>
      </w:r>
    </w:p>
    <w:p>
      <w:pPr>
        <w:spacing w:after="0" w:line="73" w:lineRule="exact"/>
        <w:rPr>
          <w:rFonts w:ascii="Arial" w:cs="Arial" w:eastAsia="Arial" w:hAnsi="Arial"/>
          <w:sz w:val="16"/>
          <w:szCs w:val="16"/>
          <w:color w:val="auto"/>
        </w:rPr>
      </w:pPr>
    </w:p>
    <w:p>
      <w:pPr>
        <w:jc w:val="both"/>
        <w:ind w:left="880" w:hanging="224"/>
        <w:spacing w:after="0" w:line="25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(i) the pro forma adjustments set forth above and (ii) the sale and issuance by us of 45,454,546 shares of our Class A common stock in this offering, based on an assumed initial public offering price of $22.00 per share, which is the midpoint of the estimated offering price range set forth on the cover page of this prospectus, after deducting the estimated underwriting discounts and commissions and estimated offering expenses payable by us, and the use of proceeds to satisfy the withholding tax obligations described above.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551"/>
        <w:spacing w:after="0" w:line="25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final terms of this offering.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7"/>
          </w:tcPr>
          <w:p>
            <w:pPr>
              <w:jc w:val="center"/>
              <w:ind w:right="1000"/>
              <w:spacing w:after="0"/>
              <w:rPr>
                <w:sz w:val="20"/>
                <w:szCs w:val="20"/>
                <w:color w:val="auto"/>
              </w:rPr>
            </w:pPr>
            <w:r>
              <w:rPr>
                <w:rFonts w:ascii="Arial" w:cs="Arial" w:eastAsia="Arial" w:hAnsi="Arial"/>
                <w:sz w:val="14"/>
                <w:szCs w:val="14"/>
                <w:b w:val="1"/>
                <w:bCs w:val="1"/>
                <w:color w:val="auto"/>
                <w:w w:val="93"/>
              </w:rPr>
              <w:t>As of March 31, 2021</w:t>
            </w:r>
          </w:p>
        </w:tc>
        <w:tc>
          <w:tcPr>
            <w:tcW w:w="0" w:type="dxa"/>
            <w:vAlign w:val="bottom"/>
          </w:tcPr>
          <w:p>
            <w:pPr>
              <w:spacing w:after="0"/>
              <w:rPr>
                <w:sz w:val="1"/>
                <w:szCs w:val="1"/>
                <w:color w:val="auto"/>
              </w:rPr>
            </w:pPr>
          </w:p>
        </w:tc>
      </w:tr>
      <w:tr>
        <w:trPr>
          <w:trHeight w:val="119"/>
        </w:trPr>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9"/>
              </w:rPr>
              <w:t>Pro Forma</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19"/>
        </w:trPr>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980" w:type="dxa"/>
            <w:vAlign w:val="bottom"/>
            <w:tcBorders>
              <w:top w:val="single" w:sz="8" w:color="auto"/>
            </w:tcBorders>
            <w:gridSpan w:val="8"/>
          </w:tcPr>
          <w:p>
            <w:pPr>
              <w:jc w:val="center"/>
              <w:ind w:right="36"/>
              <w:spacing w:after="0" w:line="119" w:lineRule="exact"/>
              <w:rPr>
                <w:sz w:val="20"/>
                <w:szCs w:val="20"/>
                <w:color w:val="auto"/>
              </w:rPr>
            </w:pPr>
            <w:r>
              <w:rPr>
                <w:rFonts w:ascii="Arial" w:cs="Arial" w:eastAsia="Arial" w:hAnsi="Arial"/>
                <w:sz w:val="13"/>
                <w:szCs w:val="13"/>
                <w:b w:val="1"/>
                <w:bCs w:val="1"/>
                <w:color w:val="auto"/>
                <w:w w:val="97"/>
              </w:rPr>
              <w:t>(in thousands, except share and 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data)</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Cash, cash equivalents, restricted cash and marketable securities </w:t>
            </w:r>
            <w:r>
              <w:rPr>
                <w:rFonts w:ascii="Arial" w:cs="Arial" w:eastAsia="Arial" w:hAnsi="Arial"/>
                <w:sz w:val="15"/>
                <w:szCs w:val="15"/>
                <w:color w:val="auto"/>
              </w:rPr>
              <w:t>(1)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395,575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395,575</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$ 1,320,957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Redeemable convertible preferred stock warrant liabilities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Redeemable convertible preferred stock, $0.0001 par value; 352,047,950 shares authorized; 351,844,340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shares issued and outstanding, actual; no shares authorized, issued, and outstanding, pro forma and pro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 as adjusted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501,881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and outstanding, actual;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100,000,000 shares authorized, no shares issued and outstanding, pro forma and pro forma as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00" w:type="dxa"/>
            <w:vAlign w:val="bottom"/>
          </w:tcPr>
          <w:p>
            <w:pPr>
              <w:ind w:left="360"/>
              <w:spacing w:after="0" w:line="201" w:lineRule="exact"/>
              <w:rPr>
                <w:sz w:val="20"/>
                <w:szCs w:val="20"/>
                <w:color w:val="auto"/>
              </w:rPr>
            </w:pPr>
            <w:r>
              <w:rPr>
                <w:rFonts w:ascii="Arial" w:cs="Arial" w:eastAsia="Arial" w:hAnsi="Arial"/>
                <w:sz w:val="18"/>
                <w:szCs w:val="18"/>
                <w:color w:val="auto"/>
                <w:w w:val="92"/>
              </w:rPr>
              <w:t>Common stock, $0.0001 par value; 545,000,000 shares authorized, 132,518,340 shares issued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540"/>
              <w:spacing w:after="0"/>
              <w:rPr>
                <w:sz w:val="20"/>
                <w:szCs w:val="20"/>
                <w:color w:val="auto"/>
              </w:rPr>
            </w:pPr>
            <w:r>
              <w:rPr>
                <w:rFonts w:ascii="Arial" w:cs="Arial" w:eastAsia="Arial" w:hAnsi="Arial"/>
                <w:sz w:val="18"/>
                <w:szCs w:val="18"/>
                <w:color w:val="auto"/>
                <w:w w:val="91"/>
              </w:rPr>
              <w:t>outstanding, actual; no shares authorized, no shares issued and outstanding, pro forma; no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40"/>
              <w:spacing w:after="0"/>
              <w:rPr>
                <w:sz w:val="20"/>
                <w:szCs w:val="20"/>
                <w:color w:val="auto"/>
              </w:rPr>
            </w:pPr>
            <w:r>
              <w:rPr>
                <w:rFonts w:ascii="Arial" w:cs="Arial" w:eastAsia="Arial" w:hAnsi="Arial"/>
                <w:sz w:val="18"/>
                <w:szCs w:val="18"/>
                <w:color w:val="auto"/>
              </w:rPr>
              <w:t>authorized, no shares issued and outstanding, pro forma as adjusted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Class A common stock, $0.0001 par value; no shares authorized, issued and outstanding, actual;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1,500,000,000 shares authorized, no shares issued and outstanding, pro forma; and 1,500,000,000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 authorized, 45,454,546 shares issued and outstanding, pro forma as adjusted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7700" w:type="dxa"/>
            <w:vAlign w:val="bottom"/>
          </w:tcPr>
          <w:p>
            <w:pPr>
              <w:ind w:left="360"/>
              <w:spacing w:after="0" w:line="201" w:lineRule="exact"/>
              <w:rPr>
                <w:sz w:val="20"/>
                <w:szCs w:val="20"/>
                <w:color w:val="auto"/>
              </w:rPr>
            </w:pPr>
            <w:r>
              <w:rPr>
                <w:rFonts w:ascii="Arial" w:cs="Arial" w:eastAsia="Arial" w:hAnsi="Arial"/>
                <w:sz w:val="18"/>
                <w:szCs w:val="18"/>
                <w:color w:val="auto"/>
                <w:w w:val="94"/>
              </w:rPr>
              <w:t>Class B common stock, $0.0001 par value; no shares authorized, issued and outstanding, actual;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540"/>
              <w:spacing w:after="0"/>
              <w:rPr>
                <w:sz w:val="20"/>
                <w:szCs w:val="20"/>
                <w:color w:val="auto"/>
              </w:rPr>
            </w:pPr>
            <w:r>
              <w:rPr>
                <w:rFonts w:ascii="Arial" w:cs="Arial" w:eastAsia="Arial" w:hAnsi="Arial"/>
                <w:sz w:val="18"/>
                <w:szCs w:val="18"/>
                <w:color w:val="auto"/>
                <w:w w:val="97"/>
              </w:rPr>
              <w:t>600,000,000 shares authorized, 484,791,355 shares issued and outstanding, pro forma;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40"/>
              <w:spacing w:after="0"/>
              <w:rPr>
                <w:sz w:val="20"/>
                <w:szCs w:val="20"/>
                <w:color w:val="auto"/>
              </w:rPr>
            </w:pPr>
            <w:r>
              <w:rPr>
                <w:rFonts w:ascii="Arial" w:cs="Arial" w:eastAsia="Arial" w:hAnsi="Arial"/>
                <w:sz w:val="18"/>
                <w:szCs w:val="18"/>
                <w:color w:val="auto"/>
                <w:w w:val="90"/>
              </w:rPr>
              <w:t>600,000,000 shares authorized, 484,791,355 shares issued and outstanding, pro forma as adjusted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571,840</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1,500,195</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(266,362)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(285,564)</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(285,564)</w:t>
            </w: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(213,575)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286,304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1,214,664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293,133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286,304</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$ 1,214,664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jc w:val="both"/>
        <w:ind w:left="660" w:hanging="544"/>
        <w:spacing w:after="0" w:line="263" w:lineRule="auto"/>
        <w:tabs>
          <w:tab w:leader="none" w:pos="6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pro forma as adjusted amount of cash, cash equivalents, restricted cash and marketable securities assumes net proceeds from the sale of shares of our Class A common stock in this offering of approximately $925.3 million, which amount includes $3.8 million of offering expenses associated with this offering and paid as of March 31, 2021.</w:t>
      </w:r>
    </w:p>
    <w:p>
      <w:pPr>
        <w:spacing w:after="0" w:line="184"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the underwriters’ option to purchase additional shares of our Class A common stock from us were exercised in full, pro forma as adjusted cash, cash equivalents and marketable securities, additional paid-in capital, total stockholders’ equity (deficit), total capitalization, and shares of Class A common stock issued and outstanding as of March 31, 2021 would be $1.5 billion, $1.6 billion, $1.4 billion, $1.4 billion, and 52,272,727 shares, respectively.</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Each $1.00 increase or decrease in the assumed initial public offering price of $22.00 per share, which is the midpoint of the estimated offering price range set forth on the cover page of this prospectus, would increase or decrease, as applicable, our cash, cash equivalents and marketable securities, additional paid-in capital, and total stockholders’ equity by approximately $42.2 million, assuming that the number of shares offered by us, as set forth on the cover page of this prospectus, remains the same and after deducting the estimated underwriting discounts and commissions and estimated offering expenses payable by us and tax withholdings related to the settlement of RSUs. Similarly, each increase or decrease of 1.0 million shares in the number of shares of our Class A common stock offered by us would increase or decrease, as applicable, our cash, cash equivalents and marketable securities, additional paid-in capital, and total stockholders’ equity (deficit) by approximately $20.6 million, assuming the assumed initial public offering price remains the same, and after deducting underwriting discounts and commissions and estimated offering expenses payable by us.</w:t>
      </w:r>
    </w:p>
    <w:p>
      <w:pPr>
        <w:spacing w:after="0" w:line="16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pro forma column in the table above is based on no shares of our Class A common stock and 484,791,355 shares of our Class B common stock outstanding as of March 31, 2021, and excludes:</w:t>
      </w:r>
    </w:p>
    <w:p>
      <w:pPr>
        <w:spacing w:after="0" w:line="76" w:lineRule="exact"/>
        <w:rPr>
          <w:sz w:val="20"/>
          <w:szCs w:val="20"/>
          <w:color w:val="auto"/>
        </w:rPr>
      </w:pPr>
    </w:p>
    <w:p>
      <w:pPr>
        <w:ind w:left="880" w:right="20" w:hanging="224"/>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24,332,915 shares of our Class B common stock issuable upon the exercise of options to purchase shares of our Class B common stock that were outstanding as of March 31, 2021, with a weighted-average exercise price of $2.92 per share;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5,764,108 RSUs for shares of our Class B common stock that are issuable upon satisfaction of both service and liquidity conditions outstanding as of March 31, 2021, for which the service condition was not yet satisfied as of March 31, 2021;</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25,033,190 shares of our Class B common stock issuable upon the exercise of options to purchase common stock granted after March 31, 2021, with a weighted-average exercise price of $21.617 per share;</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3,165,872 RSUs for shares of our Class B common stock that are issuable upon satisfaction of only service conditions that were granted after March 31, 2021;</w:t>
      </w:r>
    </w:p>
    <w:p>
      <w:pPr>
        <w:spacing w:after="0" w:line="75" w:lineRule="exact"/>
        <w:rPr>
          <w:rFonts w:ascii="Arial" w:cs="Arial" w:eastAsia="Arial" w:hAnsi="Arial"/>
          <w:sz w:val="18"/>
          <w:szCs w:val="18"/>
          <w:color w:val="auto"/>
        </w:rPr>
      </w:pPr>
    </w:p>
    <w:p>
      <w:pPr>
        <w:ind w:left="880" w:right="20" w:hanging="224"/>
        <w:spacing w:after="0" w:line="308"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March 31, 2021, with a weighted-average exercise price of $0.295 per share;</w:t>
      </w:r>
    </w:p>
    <w:p>
      <w:pPr>
        <w:spacing w:after="0" w:line="51"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669,528 shares of Class B common stock issuable upon the exercise of common stock warrants held by Silicon Valley Bank outstanding as of March 31, 2021, with a weighted-average exercise price of $0.053 per share;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dated September 15, 2020, with an exercise price of $0.01 per share, 22,500 of which are currently exercisable and 727,500 of which are exercisable upon attaining the Uber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the Square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dated March 31, 2021, with an exercise price of $0.01 per share, none of which are currently exercisable and all of which are exercisable upon attaining the Ramp Warrant Milestones;</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2,863,310 shares of our Class B common stock reserved for future issuance pursuant to our 2011 Plan;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66,000,000 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1320" w:hanging="435"/>
        <w:spacing w:after="0"/>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60,000,000 shares of our Class A common stock reserved for future issuance under our 2021 Plan; and</w:t>
      </w:r>
    </w:p>
    <w:p>
      <w:pPr>
        <w:spacing w:after="0" w:line="130" w:lineRule="exact"/>
        <w:rPr>
          <w:rFonts w:ascii="Arial" w:cs="Arial" w:eastAsia="Arial" w:hAnsi="Arial"/>
          <w:sz w:val="18"/>
          <w:szCs w:val="18"/>
          <w:color w:val="auto"/>
        </w:rPr>
      </w:pPr>
    </w:p>
    <w:p>
      <w:pPr>
        <w:ind w:left="1320" w:hanging="435"/>
        <w:spacing w:after="0"/>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6,000,000 shares of our Class A common stock reserved for future issuance under our ESPP.</w:t>
      </w:r>
    </w:p>
    <w:p>
      <w:pPr>
        <w:spacing w:after="0" w:line="225"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2021 Plan provides for annual automatic increases in the number of shares reserved thereunder and increases to the number of shares of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Class A common stock immediately after this offering. Net tangible book value dilution per share to new investors represents the difference between the amount per share paid by purchasers of shares of Class A common stock in this offering and the pro forma as adjusted net tangible book value per share of Class A common stock immediately after completion of this offering.</w:t>
      </w:r>
    </w:p>
    <w:p>
      <w:pPr>
        <w:spacing w:after="0" w:line="188"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Our pro forma net tangible book value as of March 31, 2021 was $286.3 million, or $0.59 per share, based on the total number of shares of our common stock outstanding as of March 31, 2021, after giving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w:t>
      </w:r>
    </w:p>
    <w:p>
      <w:pPr>
        <w:spacing w:after="0" w:line="1" w:lineRule="exact"/>
        <w:rPr>
          <w:sz w:val="20"/>
          <w:szCs w:val="20"/>
          <w:color w:val="auto"/>
        </w:rPr>
      </w:pPr>
    </w:p>
    <w:p>
      <w:pPr>
        <w:jc w:val="both"/>
        <w:ind w:left="120" w:hanging="4"/>
        <w:spacing w:after="0" w:line="268" w:lineRule="auto"/>
        <w:tabs>
          <w:tab w:leader="none" w:pos="44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reclassification of the redeemable convertible preferred stock warrant liabilities to additional paid-in capital, (v) the net issuance of 428,675 shares of our common stock issuable pursuant to the vesting and settlement of 739,095 RSUs for which the service condition was satisfied as of March 31, 2021, and for which we expect the liquidity condition to be satisfied in connection with this offering (based on an assumed 42% tax withholding rate), (vi) the increase in other accrued liabilities and an equivalent decrease in additional paid-in capital of $6.8 million in connection with tax withholding and remittance obligations related to such RSUs, based upon the initial public offering price of $22.00 per share, which is the midpoint of the estimated offering price range set forth on the cover page of this prospectus, all of which will occur immediately prior to the completion of this offering, and (vii) $19.2 million of cumulative share-based compensation expense related to the RSUs for which the service condition was satisfied as of March 31, 2021 and for which we expect the liquidity condition to be satisfied in connection with this offering.</w:t>
      </w:r>
    </w:p>
    <w:p>
      <w:pPr>
        <w:spacing w:after="0" w:line="183"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After giving effect to the sale by us of 45,454,546 shares of our Class A common stock in this offering at an assumed initial public offering price of $22.00 per share, which is the midpoint of the estimated offering price range set forth on the cover page of this prospectus, after deducting estimated underwriting discounts and commissions and estimated offering expenses payable by us, and the use of proceeds to satisfy the withholding tax obligations described above. Our pro forma as adjusted net tangible book value as of March 31, 2021 would have been $1.2 billion, or $2.29 per share. This represents an immediate increase in pro forma net tangible book value of $1.70 per share to our existing stockholders and immediate dilution of $19.71 per share to investors purchasing shares of our Class A common stock in this offering. The following table illustrates this dilution:</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$22.00</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Pro forma net tangible book value per share as of March 31, 2021</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$0.59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4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20"/>
                <w:szCs w:val="20"/>
                <w:color w:val="auto"/>
              </w:rPr>
            </w:pPr>
          </w:p>
        </w:tc>
      </w:tr>
      <w:tr>
        <w:trPr>
          <w:trHeight w:val="23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 in this offering</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$19.71</w:t>
            </w:r>
          </w:p>
        </w:tc>
      </w:tr>
      <w:tr>
        <w:trPr>
          <w:trHeight w:val="20"/>
        </w:trPr>
        <w:tc>
          <w:tcPr>
            <w:tcW w:w="9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Each $1.00 increase or decrease in the assumed initial public offering price of $22.00 per share, which is the midpoint of the estimated offering price range set forth on the cover page of this prospectus, would increase or decrease, as applicable, our pro forma as adjusted net tangible book value per share to new investors by $0.08, and would increase or decrease, as applicable, dilution per share to new investors in this offering by $0.92, assuming that the number of shares of our Class A common stock offered by us, as set forth on the cover page of this prospectus, remains the same and after deducting estimated underwriting discounts and commissions and estimated offering expenses payable by us and tax withholdings related to the settlement of RSUs.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to the extent any outstanding options to purchase Class B common stock are exercised, new investors would experience further dilution. If the underwriters exercise their option to purchase 6,818,181 additional shares of our Class A common stock from us in full, the pro forma as adjusted net tangible book value per share of our common stock immediately after this offering would be $2.52 per share, and the dilution in pro forma net tangible book value per share to new investors in this offering would be $19.48 per share.</w:t>
      </w:r>
    </w:p>
    <w:p>
      <w:pPr>
        <w:spacing w:after="0" w:line="187"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The following table presents, on a pro forma as adjusted basis as of March 31, 2021, after giving effect to the conversion and reclassification of all outstanding shares of redeemable convertible preferred stock into Class B common stock immediately prior to the completion of this offering, the differences between the existing stockholders and the new investors purchasing shares of our Class A common stock in this offering with respect to the number of shares purchased from us, the total consideration paid or to be paid to us, which includes net proceeds received from the issuance of common stock and redeemable convertible preferred stock, and the average price per share paid or to be paid to us at an assumed initial public offering price of $22.00 per share, which is the midpoint of the estimated offering price range set forth on the cover page of this prospectus, before deducting estimated underwriting discounts and commissions and estimated offering expenses payable by us and tax withholdings related to the settlement of RSUs:</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960" w:type="dxa"/>
            <w:vAlign w:val="bottom"/>
            <w:gridSpan w:val="3"/>
            <w:vMerge w:val="restart"/>
          </w:tcPr>
          <w:p>
            <w:pPr>
              <w:jc w:val="right"/>
              <w:ind w:right="355"/>
              <w:spacing w:after="0"/>
              <w:rPr>
                <w:sz w:val="20"/>
                <w:szCs w:val="20"/>
                <w:color w:val="auto"/>
              </w:rPr>
            </w:pPr>
            <w:r>
              <w:rPr>
                <w:rFonts w:ascii="Arial" w:cs="Arial" w:eastAsia="Arial" w:hAnsi="Arial"/>
                <w:sz w:val="14"/>
                <w:szCs w:val="14"/>
                <w:b w:val="1"/>
                <w:bCs w:val="1"/>
                <w:color w:val="auto"/>
              </w:rPr>
              <w:t>Shares Purchased</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vMerge w:val="restart"/>
          </w:tcPr>
          <w:p>
            <w:pPr>
              <w:jc w:val="right"/>
              <w:ind w:right="155"/>
              <w:spacing w:after="0"/>
              <w:rPr>
                <w:sz w:val="20"/>
                <w:szCs w:val="20"/>
                <w:color w:val="auto"/>
              </w:rPr>
            </w:pPr>
            <w:r>
              <w:rPr>
                <w:rFonts w:ascii="Arial" w:cs="Arial" w:eastAsia="Arial" w:hAnsi="Arial"/>
                <w:sz w:val="14"/>
                <w:szCs w:val="14"/>
                <w:b w:val="1"/>
                <w:bCs w:val="1"/>
                <w:color w:val="auto"/>
              </w:rPr>
              <w:t>Total Consideration</w:t>
            </w:r>
          </w:p>
        </w:tc>
        <w:tc>
          <w:tcPr>
            <w:tcW w:w="500" w:type="dxa"/>
            <w:vAlign w:val="bottom"/>
            <w:vMerge w:val="restart"/>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5740" w:type="dxa"/>
            <w:vAlign w:val="bottom"/>
          </w:tcPr>
          <w:p>
            <w:pPr>
              <w:spacing w:after="0"/>
              <w:rPr>
                <w:sz w:val="6"/>
                <w:szCs w:val="6"/>
                <w:color w:val="auto"/>
              </w:rPr>
            </w:pPr>
          </w:p>
        </w:tc>
        <w:tc>
          <w:tcPr>
            <w:tcW w:w="196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2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52"/>
        </w:trPr>
        <w:tc>
          <w:tcPr>
            <w:tcW w:w="5740" w:type="dxa"/>
            <w:vAlign w:val="bottom"/>
          </w:tcPr>
          <w:p>
            <w:pPr>
              <w:spacing w:after="0"/>
              <w:rPr>
                <w:sz w:val="4"/>
                <w:szCs w:val="4"/>
                <w:color w:val="auto"/>
              </w:rPr>
            </w:pP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Percent</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5"/>
              </w:rPr>
              <w:t>Percent</w:t>
            </w:r>
          </w:p>
        </w:tc>
        <w:tc>
          <w:tcPr>
            <w:tcW w:w="6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484,791,355</w:t>
            </w:r>
            <w:r>
              <w:rPr>
                <w:rFonts w:ascii="Arial" w:cs="Arial" w:eastAsia="Arial" w:hAnsi="Arial"/>
                <w:sz w:val="15"/>
                <w:szCs w:val="15"/>
                <w:color w:val="auto"/>
                <w:w w:val="94"/>
              </w:rPr>
              <w:t>(1)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554,688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New investors</w:t>
            </w:r>
          </w:p>
        </w:tc>
        <w:tc>
          <w:tcPr>
            <w:tcW w:w="960" w:type="dxa"/>
            <w:vAlign w:val="bottom"/>
          </w:tcPr>
          <w:p>
            <w:pPr>
              <w:jc w:val="right"/>
              <w:spacing w:after="0"/>
              <w:rPr>
                <w:sz w:val="20"/>
                <w:szCs w:val="20"/>
                <w:color w:val="auto"/>
              </w:rPr>
            </w:pPr>
            <w:r>
              <w:rPr>
                <w:rFonts w:ascii="Arial" w:cs="Arial" w:eastAsia="Arial" w:hAnsi="Arial"/>
                <w:sz w:val="18"/>
                <w:szCs w:val="18"/>
                <w:color w:val="auto"/>
              </w:rPr>
              <w:t>45,454,546</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1,000,000</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530,245,901</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1,554,688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660" w:right="20" w:hanging="544"/>
        <w:spacing w:after="0" w:line="278"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the net issuance of 428,675 shares of our common stock issuable pursuant to the vesting and settlement of 739,095 RSUs for which the service condition was satisfied as of March 31, 2021, and for which we expect the liquidity condition to be satisfied in connection with this offering (based on an assumed 42% tax withholding rate).</w:t>
      </w:r>
    </w:p>
    <w:p>
      <w:pPr>
        <w:spacing w:after="0" w:line="180"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Each $1.00 increase or decrease in the assumed initial public offering price of $22.00 per share, which is the midpoint of the estimated offering price range set forth on the cover page of this prospectus, would increase or decrease, as applicable, the total consideration paid by new investors and total consideration paid by all stockholders by approximately $42.2 million, assuming that the number of shares of Class A common stock offered by us, as set forth on the cover page of this prospectus, remains the same and after deducting estimated underwriting discounts and commissions and estimated offering expenses payable by us and tax withholdings related to the settlement of RSUs. In addition, to the extent any outstanding options to purchase Class B common stock are exercised, new investors will experience further dilution.</w:t>
      </w:r>
    </w:p>
    <w:p>
      <w:pPr>
        <w:spacing w:after="0" w:line="17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Class A common stock. If the underwriters exercise their option to purchase additional shares of Class A common stock in full from us, our existing stockholders would own 90.3% and our new investors would own 9.7% of the total number of shares of our common stock outstanding upon the completion of this offering.</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 on no shares of our Class A common stock and 484,791,355 shares of our Class B common stock outstanding including our redeemable convertible preferred stock on as-converted basis as of March 31, 2021 and the net issuance of common stock issuable pursuant to the vesting and settlement of RSUs for which the service condition was satisfied as of March 31, 2021, and excludes:</w:t>
      </w:r>
    </w:p>
    <w:p>
      <w:pPr>
        <w:spacing w:after="0" w:line="92" w:lineRule="exact"/>
        <w:rPr>
          <w:sz w:val="20"/>
          <w:szCs w:val="20"/>
          <w:color w:val="auto"/>
        </w:rPr>
      </w:pPr>
    </w:p>
    <w:p>
      <w:pPr>
        <w:ind w:left="880" w:right="20" w:hanging="224"/>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24,332,915 shares of our Class B common stock issuable upon the exercise of options to purchase shares of our Class B common stock that were outstanding as of March 31, 2021, with a weighted-average exercise price of $2.92 per share;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5,764,108 RSUs for shares of our Class B common stock that are issuable upon satisfaction of both service and liquidity conditions outstanding as of March 31, 2021, for which the service condition was not yet satisfied as of March 31, 2021;</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25,033,190 shares of our Class B common stock issuable upon the exercise of options to purchase common stock granted after March 31, 2020, with a weighted-average exercise price of $21.617 per share;</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3,165,872 RSUs for shares of our Class B common stock that are issuable upon satisfaction of only service conditions that were granted after March 31, 2021;</w:t>
      </w:r>
    </w:p>
    <w:p>
      <w:pPr>
        <w:spacing w:after="0" w:line="75" w:lineRule="exact"/>
        <w:rPr>
          <w:rFonts w:ascii="Arial" w:cs="Arial" w:eastAsia="Arial" w:hAnsi="Arial"/>
          <w:sz w:val="18"/>
          <w:szCs w:val="18"/>
          <w:color w:val="auto"/>
        </w:rPr>
      </w:pPr>
    </w:p>
    <w:p>
      <w:pPr>
        <w:ind w:left="880" w:right="20" w:hanging="224"/>
        <w:spacing w:after="0" w:line="308"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March 31, 2021, with a weighted-average exercise price of $0.295 per share;</w:t>
      </w:r>
    </w:p>
    <w:p>
      <w:pPr>
        <w:spacing w:after="0" w:line="51"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669,528 shares of Class B common stock issuable upon the exercise of common stock warrants held by Silicon Valley Bank outstanding as of March 31, 2021, with a weighted-average exercise price of $0.053 per share;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dated September 15, 2020, with an exercise price of $0.01 per share, 22,500 of which are currently exercisable and 727,500 of which are exercisable upon attaining the Uber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dated March 13, 2021, with an exercise price of $0.01 per share, none of which are currently exercisable and all of which are exercisable upon attaining the Square Warrant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dated March 31, 2021, with an exercise price of $0.01 per share, none of which are currently exercisable and all of which are exercisable upon attaining the Ramp Warrant Milestones;</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2,863,310 shares of our Class B common stock reserved for future issuance pursuant to our 2011 Plan;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66,000,000 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1320" w:hanging="435"/>
        <w:spacing w:after="0"/>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60,000,000 shares of our Class A common stock reserved for future issuance under our 2021 Plan; and</w:t>
      </w:r>
    </w:p>
    <w:p>
      <w:pPr>
        <w:spacing w:after="0" w:line="130" w:lineRule="exact"/>
        <w:rPr>
          <w:rFonts w:ascii="Arial" w:cs="Arial" w:eastAsia="Arial" w:hAnsi="Arial"/>
          <w:sz w:val="18"/>
          <w:szCs w:val="18"/>
          <w:color w:val="auto"/>
        </w:rPr>
      </w:pPr>
    </w:p>
    <w:p>
      <w:pPr>
        <w:ind w:left="1320" w:hanging="435"/>
        <w:spacing w:after="0"/>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6,000,000 shares of our Class A common stock reserved for future issuance under our ESPP.</w:t>
      </w:r>
    </w:p>
    <w:p>
      <w:pPr>
        <w:spacing w:after="0" w:line="22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2021 Plan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14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To the extent that any outstanding options to purchase our Class B common stock are exercised, outstanding RSUs vest or new awards are granted under our equity compensation plans, there will be further dilution to investors participating in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following selected consolidated statements of operations data for the years ended December 31, 2019 and 2020 and the consolidated balance sheet data as of December 31, 2019 and 2020 have been derived from our audited consolidated financial statements included elsewhere in this prospectus. The following selected consolidated statements of operations data for the three months ended March 31, 2020 and 2021 and the consolidated balance sheet data as of March 31, 2021 have been derived from our unaudited consolidated financial statements included elsewhere in this prospectus. In our opinion, such financial statements include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selected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841"/>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r>
      <w:tr>
        <w:trPr>
          <w:trHeight w:val="119"/>
        </w:trPr>
        <w:tc>
          <w:tcPr>
            <w:tcW w:w="6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6"/>
          </w:tcPr>
          <w:p>
            <w:pPr>
              <w:jc w:val="right"/>
              <w:ind w:right="581"/>
              <w:spacing w:after="0" w:line="119" w:lineRule="exact"/>
              <w:rPr>
                <w:sz w:val="20"/>
                <w:szCs w:val="20"/>
                <w:color w:val="auto"/>
              </w:rPr>
            </w:pPr>
            <w:r>
              <w:rPr>
                <w:rFonts w:ascii="Arial" w:cs="Arial" w:eastAsia="Arial" w:hAnsi="Arial"/>
                <w:sz w:val="13"/>
                <w:szCs w:val="13"/>
                <w:b w:val="1"/>
                <w:bCs w:val="1"/>
                <w:color w:val="auto"/>
              </w:rPr>
              <w:t>(in thousands, except per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7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w w:val="89"/>
              </w:rPr>
              <w:t>share amounts or as noted)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w w:val="89"/>
              </w:rPr>
              <w:t>143,267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w w:val="86"/>
              </w:rPr>
              <w:t>290,292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48,388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w w:val="86"/>
              </w:rPr>
              <w:t>107,983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82,814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6"/>
              </w:rPr>
              <w:t>172,385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29,826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58,126</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117,907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18,562</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49,857</w:t>
            </w:r>
          </w:p>
        </w:tc>
        <w:tc>
          <w:tcPr>
            <w:tcW w:w="220" w:type="dxa"/>
            <w:vAlign w:val="bottom"/>
          </w:tcPr>
          <w:p>
            <w:pPr>
              <w:spacing w:after="0"/>
              <w:rPr>
                <w:sz w:val="20"/>
                <w:szCs w:val="20"/>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86,506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6"/>
              </w:rPr>
              <w:t>126,861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24,982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44,839</w:t>
            </w: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All other operating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rPr>
              <w:t>38,133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15,670</w:t>
            </w:r>
          </w:p>
        </w:tc>
      </w:tr>
      <w:tr>
        <w:trPr>
          <w:trHeight w:val="27"/>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5"/>
              </w:rPr>
              <w:t>(58,863)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2"/>
              </w:rPr>
              <w:t>(47,087)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2"/>
              </w:rPr>
              <w:t>(15,013)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(10,652)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(2,167)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(58,200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(47,695</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(14,530</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(12,838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Net loss per share attributable to Class A and Class B common stockholders, basic and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(0.10)</w:t>
            </w: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3"/>
              </w:rPr>
              <w:t>Weighted-average shares used in computing net loss per share attributable to Class A</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and Class B common stockholders, basic and diluted</w:t>
            </w:r>
            <w:r>
              <w:rPr>
                <w:rFonts w:ascii="Arial" w:cs="Arial" w:eastAsia="Arial" w:hAnsi="Arial"/>
                <w:sz w:val="15"/>
                <w:szCs w:val="15"/>
                <w:color w:val="auto"/>
              </w:rPr>
              <w:t>(2)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w w:val="89"/>
              </w:rPr>
              <w:t>113,852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w w:val="86"/>
              </w:rPr>
              <w:t>122,933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w w:val="86"/>
              </w:rPr>
              <w:t>118,478</w:t>
            </w:r>
          </w:p>
        </w:tc>
        <w:tc>
          <w:tcPr>
            <w:tcW w:w="10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w w:val="86"/>
              </w:rPr>
              <w:t>130,841</w:t>
            </w: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 forma net loss attributable to Class A and Class B common stockholders, basic and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2"/>
              </w:rPr>
              <w:t>(55,542)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(29,730)</w:t>
            </w: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2"/>
              </w:rPr>
              <w:t>Pro forma net loss per share attributable to Class A and Class B common stockholders,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(0.06)</w:t>
            </w: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Weighted-average shares used in computing pro forma net loss per share attributable to</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and Class B common stockholders, basic and diluted (unaudited)</w:t>
            </w:r>
            <w:r>
              <w:rPr>
                <w:rFonts w:ascii="Arial" w:cs="Arial" w:eastAsia="Arial" w:hAnsi="Arial"/>
                <w:sz w:val="15"/>
                <w:szCs w:val="15"/>
                <w:color w:val="auto"/>
              </w:rPr>
              <w:t>(3)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86"/>
              </w:rPr>
              <w:t>469,360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6"/>
              </w:rPr>
              <w:t>483,415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jc w:val="both"/>
        <w:ind w:left="660" w:hanging="544"/>
        <w:spacing w:after="0" w:line="26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Compensation and benefits include share-based compensation expense of $21.8 million, $28.2 million, $3.7 million, and $11.4 million for the years ended December 31, 2019 and December 31, 2020, and the three months ended March 31, 2020 and 2021, respectively. Following this offering, our future operating expenses, particularly in the quarter in which this offering is completed, will include substantial share-based compensation expense with respect to our RSUs as well as any other share-based awards we may grant in the future.</w:t>
      </w:r>
    </w:p>
    <w:p>
      <w:pPr>
        <w:spacing w:after="0" w:line="1" w:lineRule="exact"/>
        <w:rPr>
          <w:rFonts w:ascii="Arial" w:cs="Arial" w:eastAsia="Arial" w:hAnsi="Arial"/>
          <w:sz w:val="16"/>
          <w:szCs w:val="16"/>
          <w:color w:val="auto"/>
        </w:rPr>
      </w:pPr>
    </w:p>
    <w:p>
      <w:pPr>
        <w:ind w:left="660" w:hanging="544"/>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60" w:hanging="544"/>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 for the detailed calculation.</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79"/>
              </w:rPr>
              <w:t>As of</w:t>
            </w:r>
          </w:p>
        </w:tc>
        <w:tc>
          <w:tcPr>
            <w:tcW w:w="1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5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2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  60,344</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$ 220,433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$ 247,630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7,800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95,225</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149,903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140,145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132,894</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289,808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289,370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Total assets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223,191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457,680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481,803</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85,849</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169,516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193,497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335,748</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501,881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501,881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(198,406)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(213,717)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(213,575)</w:t>
            </w:r>
          </w:p>
        </w:tc>
      </w:tr>
    </w:tbl>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9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23,998</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loss (in thousands)</w:t>
            </w:r>
          </w:p>
        </w:tc>
        <w:tc>
          <w:tcPr>
            <w:tcW w:w="2080" w:type="dxa"/>
            <w:vAlign w:val="bottom"/>
            <w:gridSpan w:val="3"/>
          </w:tcPr>
          <w:p>
            <w:pPr>
              <w:jc w:val="right"/>
              <w:ind w:right="460"/>
              <w:spacing w:after="0"/>
              <w:rPr>
                <w:sz w:val="20"/>
                <w:szCs w:val="20"/>
                <w:color w:val="auto"/>
              </w:rPr>
            </w:pPr>
            <w:r>
              <w:rPr>
                <w:rFonts w:ascii="Arial" w:cs="Arial" w:eastAsia="Arial" w:hAnsi="Arial"/>
                <w:sz w:val="18"/>
                <w:szCs w:val="18"/>
                <w:color w:val="auto"/>
              </w:rPr>
              <w:t>$(58,200)</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$(47,695)</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(14,530)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(12,838)</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2080" w:type="dxa"/>
            <w:vAlign w:val="bottom"/>
            <w:gridSpan w:val="3"/>
          </w:tcPr>
          <w:p>
            <w:pPr>
              <w:jc w:val="right"/>
              <w:ind w:right="460"/>
              <w:spacing w:after="0"/>
              <w:rPr>
                <w:sz w:val="20"/>
                <w:szCs w:val="20"/>
                <w:color w:val="auto"/>
              </w:rPr>
            </w:pPr>
            <w:r>
              <w:rPr>
                <w:rFonts w:ascii="Arial" w:cs="Arial" w:eastAsia="Arial" w:hAnsi="Arial"/>
                <w:sz w:val="18"/>
                <w:szCs w:val="18"/>
                <w:color w:val="auto"/>
              </w:rPr>
              <w:t>$(34,026)</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$(15,378)</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(10,411)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1,647</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Total Processing Volume (TPV) represents the total dollar amount of payments processed through our Platform, net of returns and chargebacks.</w:t>
      </w:r>
    </w:p>
    <w:p>
      <w:pPr>
        <w:spacing w:after="0" w:line="22" w:lineRule="exact"/>
        <w:rPr>
          <w:rFonts w:ascii="Arial" w:cs="Arial" w:eastAsia="Arial" w:hAnsi="Arial"/>
          <w:sz w:val="16"/>
          <w:szCs w:val="16"/>
          <w:color w:val="auto"/>
        </w:rPr>
      </w:pPr>
    </w:p>
    <w:p>
      <w:pPr>
        <w:jc w:val="both"/>
        <w:ind w:left="660" w:right="20" w:hanging="544"/>
        <w:spacing w:after="0" w:line="301"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 Key Operating Metric and Non-GAAP Financial Measures.”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“Selected Consolidated Financial and Other Data” and the consolidated financial statements and related notes that are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and authorize and settle payments transactions.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the Marqeta Platform processed $60.1 billion of TPV, up 177% from $21.7 billion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168910</wp:posOffset>
            </wp:positionV>
            <wp:extent cx="5143500" cy="3008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Historically, the capabilities to build and deploy card programs at scale were typically reserved for large financial institutions, not innovative and disruptive companies. Our Platform is designed to meet the card issuing and transaction processing needs of commerce disruptors and large financial institutions. Marqeta has already emerged as a card issuing platform category leader in many disruptive verticals, including on-demand delivery, alternative lending, expense management, disbursement, digital remittances, and digital banks. Our platform is sought out by large financial institutions to improve their existing offerings and stay competitive with technology-focused new market entrants. With approximately 320 million cards issued through the Marqeta Platform as of March 31, 2021, we are democratizing card issuing as the critical interface between Issuing Banks, Card Networks, and our Customers to manage all aspects of card issuing and processing.</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Marqeta’s growth, future success, and performance are dependent upon a number of factors, including those listed below. While these factors present significant opportunities for us, they also represent challenges we must successfully address to grow the adoption and use of the Marqeta Platform and improve our results of operations.</w:t>
      </w:r>
    </w:p>
    <w:p>
      <w:pPr>
        <w:spacing w:after="0" w:line="180"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b w:val="1"/>
          <w:bCs w:val="1"/>
          <w:color w:val="auto"/>
        </w:rPr>
        <w:t xml:space="preserve">Our growth is aligned with our Customers’ growth. </w:t>
      </w:r>
      <w:r>
        <w:rPr>
          <w:rFonts w:ascii="Arial" w:cs="Arial" w:eastAsia="Arial" w:hAnsi="Arial"/>
          <w:sz w:val="17"/>
          <w:szCs w:val="17"/>
          <w:color w:val="auto"/>
        </w:rPr>
        <w:t>We believe our growth, future success, and performance is closely aligned with that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We employ a usage-based model, based on processing volume, and derive the majority of our revenue from Interchange Fees generated by card transactions through our Platform. Interchange Fees are transaction- and volume-based fees paid by the Acquiring Bank to the Issuing Bank that issued the payment card used to purchase goods or services from the merchant. Our agreements with our Issuing Banks provide that we receive 100% of the Interchange Fees for processing our Customers’ card transactions. As our Customers’ processing volumes grow, they may earn an increased percentage of Revenue Share, where we share a portion of Interchange Fees with our Customers. Sharing an increased percentage of Interchange Fees with our Customers aligns our interests with our Customers’ growth and builds deeper Customer relationships. As the chart below illustrates, we have a consistent history of attracting new Customers and expanding their annual spend with us over time. The sustained year-over-year growth of our annual cohorts shows a healthy momentum across our Customer base, even exclusive of our largest Customer (Square). Some of our Customers have experienced incredible growth in the time they have been on our Platform and we remain a key operating partner that continues to support and benefit from their success. For example, Square became a Customer in 2016. Square launched the initial version of their Square Card program on our Platform in 2018. As processing volume with Square has grown, our net revenue has also grown such that Square is now our largest Customer, representing 60%, 70%, 66% and 73% of our net revenue in the years ended December 31, 2019 and 2020, and the three months ended March 31, 2020 and 2021, respectively. If Square were to see a slowdown in its business or use our Platform in a reduced capacity, our business, results of operations, and financial condition could be adversely affected.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205740</wp:posOffset>
            </wp:positionV>
            <wp:extent cx="5074920" cy="254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7492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color w:val="auto"/>
        </w:rPr>
        <w:t xml:space="preserve">Revenue model. </w:t>
      </w:r>
      <w:r>
        <w:rPr>
          <w:rFonts w:ascii="Arial" w:cs="Arial" w:eastAsia="Arial" w:hAnsi="Arial"/>
          <w:sz w:val="18"/>
          <w:szCs w:val="18"/>
          <w:color w:val="auto"/>
        </w:rPr>
        <w:t>We derive the majority of our revenue from Interchange Fees generated by processing payment transactions through our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Interchange Fees are established by the Card Networks and the total Interchange Fees we collect are dependent on various factors including processing volume, merchant category code, transaction size, and other transaction attributes. For Customers under certain contracts, their percentage of Revenue Share increases as their respective processing volumes increase. Our gross margins may decrease as a result of this dynamic. However, we remain strategically focused on growing incremental gross profit dollars and have the ability to partially offset margin declines with better pricing that we achieve with Issuing Banks and Card Networks. Changes in transaction mix, which refers to the proportion of signature debit versus PIN debit transactions and consumer versus commercial debit cards that make up our TPV, and changes in TPV as a result of the COVID-19 pandemic, could result in fluctuations to our net revenue. Further, certain Customers’ processing volumes are subject to seasonal fluctuations that could cause varied revenue results across the quarters.</w:t>
      </w:r>
    </w:p>
    <w:p>
      <w:pPr>
        <w:spacing w:after="0" w:line="188"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Effect of pricing initiatives for our payment processing services. </w:t>
      </w:r>
      <w:r>
        <w:rPr>
          <w:rFonts w:ascii="Arial" w:cs="Arial" w:eastAsia="Arial" w:hAnsi="Arial"/>
          <w:sz w:val="17"/>
          <w:szCs w:val="17"/>
          <w:color w:val="auto"/>
        </w:rPr>
        <w:t>Our Customer contracts typically include Revenue Share provisions, incentivizing</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to continue to use our Platform and increase their processing volumes on our Platform. Revenue Share provisions include increased rates of Revenue Share when processing volumes reach specified volume tiers. As Customers’ processing volumes increase, they may earn an increased percentage of Revenue Share, which generally results in higher gross profit but can reduce our gross margin.</w:t>
      </w:r>
    </w:p>
    <w:p>
      <w:pPr>
        <w:spacing w:after="0" w:line="165" w:lineRule="exact"/>
        <w:rPr>
          <w:sz w:val="20"/>
          <w:szCs w:val="20"/>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 xml:space="preserve">Ecosystem of key vendor partners. </w:t>
      </w:r>
      <w:r>
        <w:rPr>
          <w:rFonts w:ascii="Arial" w:cs="Arial" w:eastAsia="Arial" w:hAnsi="Arial"/>
          <w:sz w:val="16"/>
          <w:szCs w:val="16"/>
          <w:color w:val="auto"/>
        </w:rPr>
        <w:t>We partner with Card Networks who oversee their global payment networks, through which debit, credit, and</w:t>
      </w:r>
      <w:r>
        <w:rPr>
          <w:rFonts w:ascii="Arial" w:cs="Arial" w:eastAsia="Arial" w:hAnsi="Arial"/>
          <w:sz w:val="16"/>
          <w:szCs w:val="16"/>
          <w:b w:val="1"/>
          <w:bCs w:val="1"/>
          <w:color w:val="auto"/>
        </w:rPr>
        <w:t xml:space="preserve"> </w:t>
      </w:r>
      <w:r>
        <w:rPr>
          <w:rFonts w:ascii="Arial" w:cs="Arial" w:eastAsia="Arial" w:hAnsi="Arial"/>
          <w:sz w:val="16"/>
          <w:szCs w:val="16"/>
          <w:color w:val="auto"/>
        </w:rPr>
        <w:t>prepaid card payments are authorized, processed, and settled. We incur fees charged by the Card Networks to route our Customers’ transactions within the payments ecosystem. These fees are reflected in our costs of revenue. Given our ability to direct processing volume to specific Card Networks, we are able to negotiate certain incentive rebates that effectively reduce the overall network fees. With the scale of the transactions we process on behalf of our Customers, we believe we can continue to negotiate favorable incentive rebates. However, if these fees increase, our gross margins will decrease.</w:t>
      </w:r>
    </w:p>
    <w:p>
      <w:pPr>
        <w:spacing w:after="0" w:line="15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partner with Issuing Banks to facilitate the issuance of payment cards to our Customers and to sponsor our Customers’ card programs on Card Networks because we do not have regulatory authority to perform these activities ourselves. We pay volume- and transaction-based fees to the Issuing Banks. The fees are typically structured based on volume tiers; as our processing volumes grow, these fees as a percentage of processing volume decline. These fees are reflected in our costs of revenue.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System performance and reliability. </w:t>
      </w:r>
      <w:r>
        <w:rPr>
          <w:rFonts w:ascii="Arial" w:cs="Arial" w:eastAsia="Arial" w:hAnsi="Arial"/>
          <w:sz w:val="17"/>
          <w:szCs w:val="17"/>
          <w:color w:val="auto"/>
        </w:rPr>
        <w:t>Our partnerships with the Card Networks and Issuing Banks rely on our secure and compliant processing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their standards and require continued diligence to combat fraud and misuse of our Platform. Any disruption to our ability to process transactions through our Platform may impact our net revenue. Additionally, system downtime could result in contractual payments to our Customers based on service level commitments included in our Customer contracts, which could adversely affect our financial performance.</w:t>
      </w:r>
    </w:p>
    <w:p>
      <w:pPr>
        <w:spacing w:after="0" w:line="165"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 xml:space="preserve">Continued investment in our Platform. </w:t>
      </w:r>
      <w:r>
        <w:rPr>
          <w:rFonts w:ascii="Arial" w:cs="Arial" w:eastAsia="Arial" w:hAnsi="Arial"/>
          <w:sz w:val="16"/>
          <w:szCs w:val="16"/>
          <w:color w:val="auto"/>
        </w:rPr>
        <w:t>We make significant investments in both new product development and platform enhancements, such as our</w:t>
      </w:r>
      <w:r>
        <w:rPr>
          <w:rFonts w:ascii="Arial" w:cs="Arial" w:eastAsia="Arial" w:hAnsi="Arial"/>
          <w:sz w:val="16"/>
          <w:szCs w:val="16"/>
          <w:b w:val="1"/>
          <w:bCs w:val="1"/>
          <w:color w:val="auto"/>
        </w:rPr>
        <w:t xml:space="preserve"> </w:t>
      </w:r>
      <w:r>
        <w:rPr>
          <w:rFonts w:ascii="Arial" w:cs="Arial" w:eastAsia="Arial" w:hAnsi="Arial"/>
          <w:sz w:val="16"/>
          <w:szCs w:val="16"/>
          <w:color w:val="auto"/>
        </w:rPr>
        <w:t>Tokenization as a Service product introduced in 2020. Further, we will continue to invest in operational support to maintain service levels expected by our Customers. We believe these investments in product development and operational efficiency will lead to long-term growth and profitability.</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unprecedented and rapid spread of COVID-19 and the resultant shelter-in-place orders, promotion of social distancing measures, restrictions on businesses deemed non-essential, and travel restrictions implemented throughout the United States in March 2020 have significantly affected many aspects of the economy throughout 2020. While the U.S. economy improved in the first quarter of 2021 with millions of Americans receiving the COVID-19 vaccine, decreases in general unemployment, and states and municipalities easing shelter-in-place restrictions, the path of the U.S. economy continues to depend on the course of the COVID-19 virus.</w:t>
      </w:r>
    </w:p>
    <w:p>
      <w:pPr>
        <w:spacing w:after="0" w:line="18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response to the COVID-19 pandemic, we implemented measures to focus on employee safety and Customer support, while at the same time seeking to mitigate any negative impact on our financial position and operations. We implemented remote working capabilities for our entire company and, to date, there has been minimal disruption to our operations.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restaurant, travel, and hospitality sectors of the U.S. economy have been significantly and adversely affected by the COVID-19 pandemic. We believe this has accelerated the shift of purchasing activities from offline to online and the growth of on-demand delivery services, along with the growth of the buy-now-pay-later solution providers. Many of these service providers are our Customers, and are experiencing accelerated adoption of virtual and contactless forms of payments.</w:t>
      </w:r>
    </w:p>
    <w:p>
      <w:pPr>
        <w:spacing w:after="0" w:line="18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Overall, these trends significantly contributed to the increases in our net revenue of $147.0 million, or 103%, and in our gross profit of $57.5 million, or 95%, for 2020 as compared to 2019, and to the increases in our net revenue of $59.6 million, or 123%, and in our gross profit of $31.3 million, or 169%, for the three months ended March 31, 2021 compared to the same period in 2020. Further, in March 2021, the Coronavirus Aid, Relief, and Economic Security (CARES) Act, as extended by the Coronavirus Response and Relief Supplemental Appropriations Act of 2021, among other things, provided individuals affected by the COVID-19 pandemic with stimulus cash payments. While we cannot estimate the actual effect on our TPV and net revenue during the first quarter of 2021, we believe these stimulus payments contributed to the increase in our TPV and net revenue for the three months ended March 31, 2021 compared to the three months ended December 31, 2020. Compared to the fourth quarter of 2020, TPV and net revenue increased in the first quarter of 2021 by $5.3 billion, or 28%, and $19.8 million, or 22%, respectively. It is uncertain what effect a lifting of shelter-in-place orders, social distancing, and other restrictions will have on the processing volumes of our Customers, and on our results of operations.</w:t>
      </w:r>
    </w:p>
    <w:p>
      <w:pPr>
        <w:spacing w:after="0" w:line="166"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COVID-19 pandemic and related economic uncertainty has also led the Card Networks to postpone their regular changes to interchange rates, which play an important role in our business and impact net revenue. The Card Networks publish changes to interchange rates in April and October each year. Visa and Mastercard had postponed nearly all of their interchange rate updates for April and October 2020, and in March 2021 again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announced further postponements in interchange rate changes through April 2022 as a result of COVID-19’s impact to the U.S. economy. The net Interchange Fees we earn are affected by a multiple of factors. These factors include changes to the published interchange rates, the size of the individual transaction, and the mix of transactions between signature-based and PIN-based, consumer card and commercial card product types, and merchant categories, and Card Network-negotiated merchant rates. Although the Card Networks have announced some expected interchange rate changes for April 2022, it is uncertain if there will be more changes implemented after lifting the current postponements. Additionally, as in the normal course of updating interchange rates, the Card Networks continually assess the influence of improved payments technology, industry trends, and the ongoing need to maintain balance of the payments ecosystem. All these factors combined can affect how future changes in interchange rates will impact our net revenue.</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While our business has not been adversely affected by the COVID-19 pandemic to date, we continue to monitor the situation and may take actions that alter our operations and business practices as may be required by federal, state, or local authorities or that we determine are in the best interests of our Customers, vendors, and employees.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6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$ 60,075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23,998</w:t>
            </w:r>
          </w:p>
        </w:tc>
        <w:tc>
          <w:tcPr>
            <w:tcW w:w="2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 (in thousands)</w:t>
            </w:r>
          </w:p>
        </w:tc>
        <w:tc>
          <w:tcPr>
            <w:tcW w:w="2780" w:type="dxa"/>
            <w:vAlign w:val="bottom"/>
            <w:gridSpan w:val="3"/>
          </w:tcPr>
          <w:p>
            <w:pPr>
              <w:jc w:val="right"/>
              <w:ind w:right="560"/>
              <w:spacing w:after="0"/>
              <w:rPr>
                <w:sz w:val="20"/>
                <w:szCs w:val="20"/>
                <w:color w:val="auto"/>
              </w:rPr>
            </w:pPr>
            <w:r>
              <w:rPr>
                <w:rFonts w:ascii="Arial" w:cs="Arial" w:eastAsia="Arial" w:hAnsi="Arial"/>
                <w:sz w:val="18"/>
                <w:szCs w:val="18"/>
                <w:color w:val="auto"/>
              </w:rPr>
              <w:t>$(58,200)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$(47,695)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(14,530)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(12,838)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2780" w:type="dxa"/>
            <w:vAlign w:val="bottom"/>
            <w:gridSpan w:val="3"/>
          </w:tcPr>
          <w:p>
            <w:pPr>
              <w:jc w:val="right"/>
              <w:ind w:right="560"/>
              <w:spacing w:after="0"/>
              <w:rPr>
                <w:sz w:val="20"/>
                <w:szCs w:val="20"/>
                <w:color w:val="auto"/>
              </w:rPr>
            </w:pPr>
            <w:r>
              <w:rPr>
                <w:rFonts w:ascii="Arial" w:cs="Arial" w:eastAsia="Arial" w:hAnsi="Arial"/>
                <w:sz w:val="18"/>
                <w:szCs w:val="18"/>
                <w:color w:val="auto"/>
              </w:rPr>
              <w:t>$(34,026)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$(15,378)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(10,411)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1,647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2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bl>
    <w:p>
      <w:pPr>
        <w:spacing w:after="0" w:line="198"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b w:val="1"/>
          <w:bCs w:val="1"/>
          <w:color w:val="auto"/>
        </w:rPr>
        <w:t>Total Processing Volume (TPV)—</w:t>
      </w:r>
      <w:r>
        <w:rPr>
          <w:rFonts w:ascii="Arial" w:cs="Arial" w:eastAsia="Arial" w:hAnsi="Arial"/>
          <w:sz w:val="18"/>
          <w:szCs w:val="18"/>
          <w:color w:val="auto"/>
        </w:rPr>
        <w:t>Total Processing Volume (TPV) represents the total dollar amount of payments processed through our Platform, net</w:t>
      </w:r>
      <w:r>
        <w:rPr>
          <w:rFonts w:ascii="Arial" w:cs="Arial" w:eastAsia="Arial" w:hAnsi="Arial"/>
          <w:sz w:val="18"/>
          <w:szCs w:val="18"/>
          <w:b w:val="1"/>
          <w:bCs w:val="1"/>
          <w:color w:val="auto"/>
        </w:rPr>
        <w:t xml:space="preserve"> </w:t>
      </w:r>
      <w:r>
        <w:rPr>
          <w:rFonts w:ascii="Arial" w:cs="Arial" w:eastAsia="Arial" w:hAnsi="Arial"/>
          <w:sz w:val="18"/>
          <w:szCs w:val="18"/>
          <w:color w:val="auto"/>
        </w:rPr>
        <w:t>of returns and chargebacks. We believe that TPV is a key indicator of the market adoption of our Platform, growth of our brand, growth of our Customers’ businesses and scale of our business.</w:t>
      </w:r>
    </w:p>
    <w:p>
      <w:pPr>
        <w:spacing w:after="0" w:line="176"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17"/>
          <w:szCs w:val="17"/>
          <w:color w:val="auto"/>
        </w:rPr>
        <w:t>Adjusted EBITDA is a non-GAAP financial measure that is calculated as net income (loss) adjusted to exclude share-based</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expense; depreciation and amortization; income tax expense; and other income (expense) net, which consists of interest expense from a bank loan, interest income from our marketable securities portfolio, changes in the fair value of redeemable convertible preferred stock warrant liabilities, impairment of equity method investments, realized foreign currency gains and losses, and interest income from our marketable securities.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certain annual employee bonus plans. See the section titled “Limitations of Non-GAAP Financial Measures” for a discussion of the use of non-GAAP measures and a reconciliation of the net loss to Adjusted EBITDA.</w:t>
      </w:r>
    </w:p>
    <w:p>
      <w:pPr>
        <w:spacing w:after="0" w:line="172" w:lineRule="exact"/>
        <w:rPr>
          <w:sz w:val="20"/>
          <w:szCs w:val="20"/>
          <w:color w:val="auto"/>
        </w:rPr>
      </w:pPr>
    </w:p>
    <w:p>
      <w:pPr>
        <w:jc w:val="both"/>
        <w:ind w:left="120" w:right="20"/>
        <w:spacing w:after="0" w:line="282" w:lineRule="auto"/>
        <w:rPr>
          <w:sz w:val="20"/>
          <w:szCs w:val="20"/>
          <w:color w:val="auto"/>
        </w:rPr>
      </w:pPr>
      <w:r>
        <w:rPr>
          <w:rFonts w:ascii="Arial" w:cs="Arial" w:eastAsia="Arial" w:hAnsi="Arial"/>
          <w:sz w:val="18"/>
          <w:szCs w:val="18"/>
          <w:b w:val="1"/>
          <w:bCs w:val="1"/>
          <w:color w:val="auto"/>
        </w:rPr>
        <w:t>Adjusted EBITDA Margin—</w:t>
      </w:r>
      <w:r>
        <w:rPr>
          <w:rFonts w:ascii="Arial" w:cs="Arial" w:eastAsia="Arial" w:hAnsi="Arial"/>
          <w:sz w:val="18"/>
          <w:szCs w:val="18"/>
          <w:color w:val="auto"/>
        </w:rPr>
        <w:t>Adjusted EBITDA Margin is a non-GAAP financial measure that is calculated as adjusted EBITDA divided by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This is used by management and our board of directors to determine our operating efficiency.</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Limitations of Non-GAAP Financial Measures</w:t>
      </w:r>
    </w:p>
    <w:p>
      <w:pPr>
        <w:spacing w:after="0" w:line="12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set forth above. There are a number of limitations related to the use of these non-GAAP measures versus their most directly comparable GAAP measures, including the following:</w:t>
      </w:r>
    </w:p>
    <w:p>
      <w:pPr>
        <w:spacing w:after="0" w:line="77" w:lineRule="exact"/>
        <w:rPr>
          <w:sz w:val="20"/>
          <w:szCs w:val="20"/>
          <w:color w:val="auto"/>
        </w:rPr>
      </w:pPr>
    </w:p>
    <w:p>
      <w:pPr>
        <w:ind w:left="880" w:right="20" w:hanging="224"/>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than how we calculate this measure or not at all; this reduces its usefulness as a comparative measure;</w:t>
      </w:r>
    </w:p>
    <w:p>
      <w:pPr>
        <w:spacing w:after="0" w:line="75"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and</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 reconciliation of net loss to adjusted EBITDA for the years ended December 31, 2019 and 2020 and the three months ended March 31, 2020 and 2021 is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00" w:type="dxa"/>
            <w:vAlign w:val="bottom"/>
            <w:gridSpan w:val="5"/>
          </w:tcPr>
          <w:p>
            <w:pPr>
              <w:jc w:val="right"/>
              <w:ind w:right="1079"/>
              <w:spacing w:after="0" w:line="142" w:lineRule="exact"/>
              <w:rPr>
                <w:sz w:val="20"/>
                <w:szCs w:val="20"/>
                <w:color w:val="auto"/>
              </w:rPr>
            </w:pPr>
            <w:r>
              <w:rPr>
                <w:rFonts w:ascii="Arial" w:cs="Arial" w:eastAsia="Arial" w:hAnsi="Arial"/>
                <w:sz w:val="14"/>
                <w:szCs w:val="14"/>
                <w:b w:val="1"/>
                <w:bCs w:val="1"/>
                <w:color w:val="auto"/>
              </w:rPr>
              <w:t>(dollars in thousands )</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740" w:type="dxa"/>
            <w:vAlign w:val="bottom"/>
            <w:gridSpan w:val="3"/>
            <w:shd w:val="clear" w:color="auto" w:fill="CCEEFF"/>
          </w:tcPr>
          <w:p>
            <w:pPr>
              <w:jc w:val="right"/>
              <w:ind w:right="719"/>
              <w:spacing w:after="0"/>
              <w:rPr>
                <w:sz w:val="20"/>
                <w:szCs w:val="20"/>
                <w:color w:val="auto"/>
              </w:rPr>
            </w:pPr>
            <w:r>
              <w:rPr>
                <w:rFonts w:ascii="Arial" w:cs="Arial" w:eastAsia="Arial" w:hAnsi="Arial"/>
                <w:sz w:val="18"/>
                <w:szCs w:val="18"/>
                <w:color w:val="auto"/>
              </w:rPr>
              <w:t>$143,267</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$290,292</w:t>
            </w:r>
          </w:p>
        </w:tc>
        <w:tc>
          <w:tcPr>
            <w:tcW w:w="1720" w:type="dxa"/>
            <w:vAlign w:val="bottom"/>
            <w:gridSpan w:val="3"/>
            <w:shd w:val="clear" w:color="auto" w:fill="CCEEFF"/>
          </w:tcPr>
          <w:p>
            <w:pPr>
              <w:jc w:val="right"/>
              <w:ind w:right="699"/>
              <w:spacing w:after="0"/>
              <w:rPr>
                <w:sz w:val="20"/>
                <w:szCs w:val="20"/>
                <w:color w:val="auto"/>
              </w:rPr>
            </w:pPr>
            <w:r>
              <w:rPr>
                <w:rFonts w:ascii="Arial" w:cs="Arial" w:eastAsia="Arial" w:hAnsi="Arial"/>
                <w:sz w:val="18"/>
                <w:szCs w:val="18"/>
                <w:color w:val="auto"/>
              </w:rPr>
              <w:t>$ 48,388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107,983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2740" w:type="dxa"/>
            <w:vAlign w:val="bottom"/>
            <w:gridSpan w:val="3"/>
          </w:tcPr>
          <w:p>
            <w:pPr>
              <w:jc w:val="right"/>
              <w:ind w:right="659"/>
              <w:spacing w:after="0"/>
              <w:rPr>
                <w:sz w:val="20"/>
                <w:szCs w:val="20"/>
                <w:color w:val="auto"/>
              </w:rPr>
            </w:pPr>
            <w:r>
              <w:rPr>
                <w:rFonts w:ascii="Arial" w:cs="Arial" w:eastAsia="Arial" w:hAnsi="Arial"/>
                <w:sz w:val="18"/>
                <w:szCs w:val="18"/>
                <w:color w:val="auto"/>
              </w:rPr>
              <w:t>$ (58,200)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 (47,695)</w:t>
            </w:r>
          </w:p>
        </w:tc>
        <w:tc>
          <w:tcPr>
            <w:tcW w:w="1720" w:type="dxa"/>
            <w:vAlign w:val="bottom"/>
            <w:gridSpan w:val="3"/>
          </w:tcPr>
          <w:p>
            <w:pPr>
              <w:jc w:val="right"/>
              <w:ind w:right="639"/>
              <w:spacing w:after="0"/>
              <w:rPr>
                <w:sz w:val="20"/>
                <w:szCs w:val="20"/>
                <w:color w:val="auto"/>
              </w:rPr>
            </w:pPr>
            <w:r>
              <w:rPr>
                <w:rFonts w:ascii="Arial" w:cs="Arial" w:eastAsia="Arial" w:hAnsi="Arial"/>
                <w:sz w:val="18"/>
                <w:szCs w:val="18"/>
                <w:color w:val="auto"/>
              </w:rPr>
              <w:t>$(14,530)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(12,838)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2740" w:type="dxa"/>
            <w:vAlign w:val="bottom"/>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(40)%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720" w:type="dxa"/>
            <w:vAlign w:val="bottom"/>
            <w:gridSpan w:val="3"/>
            <w:shd w:val="clear" w:color="auto" w:fill="CCEEFF"/>
          </w:tcPr>
          <w:p>
            <w:pPr>
              <w:jc w:val="right"/>
              <w:ind w:right="479"/>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2740" w:type="dxa"/>
            <w:vAlign w:val="bottom"/>
            <w:gridSpan w:val="3"/>
          </w:tcPr>
          <w:p>
            <w:pPr>
              <w:jc w:val="right"/>
              <w:ind w:right="659"/>
              <w:spacing w:after="0"/>
              <w:rPr>
                <w:sz w:val="20"/>
                <w:szCs w:val="20"/>
                <w:color w:val="auto"/>
              </w:rPr>
            </w:pPr>
            <w:r>
              <w:rPr>
                <w:rFonts w:ascii="Arial" w:cs="Arial" w:eastAsia="Arial" w:hAnsi="Arial"/>
                <w:sz w:val="18"/>
                <w:szCs w:val="18"/>
                <w:color w:val="auto"/>
              </w:rPr>
              <w:t>$ (58,200)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 (47,695)</w:t>
            </w:r>
          </w:p>
        </w:tc>
        <w:tc>
          <w:tcPr>
            <w:tcW w:w="1720" w:type="dxa"/>
            <w:vAlign w:val="bottom"/>
            <w:gridSpan w:val="3"/>
          </w:tcPr>
          <w:p>
            <w:pPr>
              <w:jc w:val="right"/>
              <w:ind w:right="639"/>
              <w:spacing w:after="0"/>
              <w:rPr>
                <w:sz w:val="20"/>
                <w:szCs w:val="20"/>
                <w:color w:val="auto"/>
              </w:rPr>
            </w:pPr>
            <w:r>
              <w:rPr>
                <w:rFonts w:ascii="Arial" w:cs="Arial" w:eastAsia="Arial" w:hAnsi="Arial"/>
                <w:sz w:val="18"/>
                <w:szCs w:val="18"/>
                <w:color w:val="auto"/>
              </w:rPr>
              <w:t>$(14,530)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(12,838)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740" w:type="dxa"/>
            <w:vAlign w:val="bottom"/>
            <w:gridSpan w:val="3"/>
            <w:shd w:val="clear" w:color="auto" w:fill="CCEEFF"/>
          </w:tcPr>
          <w:p>
            <w:pPr>
              <w:jc w:val="right"/>
              <w:ind w:right="719"/>
              <w:spacing w:after="0"/>
              <w:rPr>
                <w:sz w:val="20"/>
                <w:szCs w:val="20"/>
                <w:color w:val="auto"/>
              </w:rPr>
            </w:pPr>
            <w:r>
              <w:rPr>
                <w:rFonts w:ascii="Arial" w:cs="Arial" w:eastAsia="Arial" w:hAnsi="Arial"/>
                <w:sz w:val="18"/>
                <w:szCs w:val="18"/>
                <w:color w:val="auto"/>
              </w:rPr>
              <w:t>3,080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3,498</w:t>
            </w:r>
          </w:p>
        </w:tc>
        <w:tc>
          <w:tcPr>
            <w:tcW w:w="1720" w:type="dxa"/>
            <w:vAlign w:val="bottom"/>
            <w:gridSpan w:val="3"/>
            <w:shd w:val="clear" w:color="auto" w:fill="CCEEFF"/>
          </w:tcPr>
          <w:p>
            <w:pPr>
              <w:jc w:val="right"/>
              <w:ind w:right="699"/>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740" w:type="dxa"/>
            <w:vAlign w:val="bottom"/>
            <w:gridSpan w:val="3"/>
          </w:tcPr>
          <w:p>
            <w:pPr>
              <w:jc w:val="right"/>
              <w:ind w:right="719"/>
              <w:spacing w:after="0"/>
              <w:rPr>
                <w:sz w:val="20"/>
                <w:szCs w:val="20"/>
                <w:color w:val="auto"/>
              </w:rPr>
            </w:pPr>
            <w:r>
              <w:rPr>
                <w:rFonts w:ascii="Arial" w:cs="Arial" w:eastAsia="Arial" w:hAnsi="Arial"/>
                <w:sz w:val="18"/>
                <w:szCs w:val="18"/>
                <w:color w:val="auto"/>
              </w:rPr>
              <w:t>21,757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28,211</w:t>
            </w:r>
          </w:p>
        </w:tc>
        <w:tc>
          <w:tcPr>
            <w:tcW w:w="1720" w:type="dxa"/>
            <w:vAlign w:val="bottom"/>
            <w:gridSpan w:val="3"/>
          </w:tcPr>
          <w:p>
            <w:pPr>
              <w:jc w:val="right"/>
              <w:ind w:right="699"/>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11,392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740" w:type="dxa"/>
            <w:vAlign w:val="bottom"/>
            <w:gridSpan w:val="3"/>
            <w:shd w:val="clear" w:color="auto" w:fill="CCEEFF"/>
          </w:tcPr>
          <w:p>
            <w:pPr>
              <w:jc w:val="right"/>
              <w:ind w:right="659"/>
              <w:spacing w:after="0"/>
              <w:rPr>
                <w:sz w:val="20"/>
                <w:szCs w:val="20"/>
                <w:color w:val="auto"/>
              </w:rPr>
            </w:pPr>
            <w:r>
              <w:rPr>
                <w:rFonts w:ascii="Arial" w:cs="Arial" w:eastAsia="Arial" w:hAnsi="Arial"/>
                <w:sz w:val="18"/>
                <w:szCs w:val="18"/>
                <w:color w:val="auto"/>
              </w:rPr>
              <w:t>(698)</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521</w:t>
            </w:r>
          </w:p>
        </w:tc>
        <w:tc>
          <w:tcPr>
            <w:tcW w:w="1720" w:type="dxa"/>
            <w:vAlign w:val="bottom"/>
            <w:gridSpan w:val="3"/>
            <w:shd w:val="clear" w:color="auto" w:fill="CCEEFF"/>
          </w:tcPr>
          <w:p>
            <w:pPr>
              <w:jc w:val="right"/>
              <w:ind w:right="639"/>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260" w:type="dxa"/>
            <w:vAlign w:val="bottom"/>
          </w:tcPr>
          <w:p>
            <w:pPr>
              <w:spacing w:after="0"/>
              <w:rPr>
                <w:sz w:val="18"/>
                <w:szCs w:val="18"/>
                <w:color w:val="auto"/>
              </w:rPr>
            </w:pPr>
          </w:p>
        </w:tc>
        <w:tc>
          <w:tcPr>
            <w:tcW w:w="1480" w:type="dxa"/>
            <w:vAlign w:val="bottom"/>
            <w:gridSpan w:val="2"/>
          </w:tcPr>
          <w:p>
            <w:pPr>
              <w:jc w:val="right"/>
              <w:ind w:right="719"/>
              <w:spacing w:after="0"/>
              <w:rPr>
                <w:sz w:val="20"/>
                <w:szCs w:val="20"/>
                <w:color w:val="auto"/>
              </w:rPr>
            </w:pPr>
            <w:r>
              <w:rPr>
                <w:rFonts w:ascii="Arial" w:cs="Arial" w:eastAsia="Arial" w:hAnsi="Arial"/>
                <w:sz w:val="18"/>
                <w:szCs w:val="18"/>
                <w:color w:val="auto"/>
              </w:rPr>
              <w:t>35</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87</w:t>
            </w:r>
          </w:p>
        </w:tc>
        <w:tc>
          <w:tcPr>
            <w:tcW w:w="1720" w:type="dxa"/>
            <w:vAlign w:val="bottom"/>
            <w:gridSpan w:val="3"/>
          </w:tcPr>
          <w:p>
            <w:pPr>
              <w:jc w:val="right"/>
              <w:ind w:right="69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740" w:type="dxa"/>
            <w:vAlign w:val="bottom"/>
            <w:gridSpan w:val="3"/>
            <w:shd w:val="clear" w:color="auto" w:fill="CCEEFF"/>
          </w:tcPr>
          <w:p>
            <w:pPr>
              <w:jc w:val="right"/>
              <w:ind w:right="659"/>
              <w:spacing w:after="0"/>
              <w:rPr>
                <w:sz w:val="20"/>
                <w:szCs w:val="20"/>
                <w:color w:val="auto"/>
              </w:rPr>
            </w:pPr>
            <w:r>
              <w:rPr>
                <w:rFonts w:ascii="Arial" w:cs="Arial" w:eastAsia="Arial" w:hAnsi="Arial"/>
                <w:sz w:val="18"/>
                <w:szCs w:val="18"/>
                <w:color w:val="auto"/>
              </w:rPr>
              <w:t>$ (34,026)</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 (15,378)</w:t>
            </w:r>
          </w:p>
        </w:tc>
        <w:tc>
          <w:tcPr>
            <w:tcW w:w="1720" w:type="dxa"/>
            <w:vAlign w:val="bottom"/>
            <w:gridSpan w:val="3"/>
            <w:shd w:val="clear" w:color="auto" w:fill="CCEEFF"/>
          </w:tcPr>
          <w:p>
            <w:pPr>
              <w:jc w:val="right"/>
              <w:ind w:right="639"/>
              <w:spacing w:after="0"/>
              <w:rPr>
                <w:sz w:val="20"/>
                <w:szCs w:val="20"/>
                <w:color w:val="auto"/>
              </w:rPr>
            </w:pPr>
            <w:r>
              <w:rPr>
                <w:rFonts w:ascii="Arial" w:cs="Arial" w:eastAsia="Arial" w:hAnsi="Arial"/>
                <w:sz w:val="18"/>
                <w:szCs w:val="18"/>
                <w:color w:val="auto"/>
              </w:rPr>
              <w:t>$ (10,411)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800" w:type="dxa"/>
            <w:vAlign w:val="bottom"/>
          </w:tcPr>
          <w:p>
            <w:pPr>
              <w:jc w:val="right"/>
              <w:ind w:right="499"/>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780" w:type="dxa"/>
            <w:vAlign w:val="bottom"/>
          </w:tcPr>
          <w:p>
            <w:pPr>
              <w:jc w:val="right"/>
              <w:ind w:right="4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 xml:space="preserve">Platform services revenue, net. </w:t>
      </w:r>
      <w:r>
        <w:rPr>
          <w:rFonts w:ascii="Arial" w:cs="Arial" w:eastAsia="Arial" w:hAnsi="Arial"/>
          <w:sz w:val="18"/>
          <w:szCs w:val="18"/>
          <w:color w:val="auto"/>
        </w:rPr>
        <w:t>Platform services revenue includes Interchange Fees, net of Revenue Share and other service level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Platform services revenue also includes processing and other fees. Interchange Fees are earned on card transactions we process for our Customers and are calculated based on a percentage of the amount of a specific card transaction plus a fixed amount per transaction. Interchange Fees are recognized when the associated transactions are settled.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Revenue Share payments are incentives to Customers to increase processing volumes on our Platform. Revenue Share is generally computed as a percentage of the Interchange Fees earned or processing volume and is paid to Customers monthly. Revenue Share payments are recorded as a reduction to revenue. As Customers’ processing volumes increase, they may earn an increased percentage of Revenue Share.</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Processing and other fees include fees earned when end users use payment cards at automated teller machines and minimum processing fees if Customers’ processing volumes fall below certain thresholds.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billed to Customers upon ordering card inventory and recognized as revenue when the cards are shipped to the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w:t>
      </w:r>
    </w:p>
    <w:p>
      <w:pPr>
        <w:spacing w:after="0" w:line="121"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Costs of revenue consist of Card Network costs, Issuing Bank costs, and card fulfillment costs. Card Network costs are generally equal to a specified percentage of processing volume or a fixed amount per transaction routed through the respective Card Network. Issuing Bank costs compensate our Issuing Banks for issuing cards to our Customers and sponsoring our card programs with the Card Networks and are generally equal to a specified percentage of processing volume or a fixed amount per transaction. Card fulfillment costs include physical cards, packaging, and other fulfillment costs.</w:t>
      </w:r>
    </w:p>
    <w:p>
      <w:pPr>
        <w:spacing w:after="0" w:line="15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We have separate marketing and incentive arrangements with Card Networks that provide us with monetary incentives for processing volume via the respective Card Network. The amount of the incentives is determined based on a percentage of the processing volume routed over the Card Network. We record these incentives as a reduction of Card Network fees included in costs of revenue. Generally, as Customers’ processing volumes increase we earn a higher rate of monetary incentives from these arrangements, subject to attaining certain volume tiering thresholds during a six-month or annual measurement period. For certain incentive arrangements with an annual measurement period, the one-year period may not align with our fiscal year.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i w:val="1"/>
          <w:iCs w:val="1"/>
          <w:color w:val="auto"/>
        </w:rPr>
        <w:t xml:space="preserve">Compensation and Benefits. </w:t>
      </w:r>
      <w:r>
        <w:rPr>
          <w:rFonts w:ascii="Arial" w:cs="Arial" w:eastAsia="Arial" w:hAnsi="Arial"/>
          <w:sz w:val="17"/>
          <w:szCs w:val="17"/>
          <w:color w:val="auto"/>
        </w:rPr>
        <w:t>Compensation and benefits consist primarily of salaries, employee benefits, incentive compensation, and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We expect that our compensation and benefits expenses will increase in absolute dollars as our business grows. Commencing in the first quarter of 2020, we began granting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In the quarter that we complete this initial public offering, we will record share-based compensation expense for all RSUs that have met the service condition to date using the accelerated attribution method. As of December 31, 2020 and March 31, 2021, no share-based compensation expense had been recognized for RSUs because the liquidity condition had not occurred. If our initial public offering had occurred on December 31, 2020, we would have recognized $9.8 million of cumulative share-based compensation expense related to these RSUs on that date. If our initial public offering had occurred on March 31, 2021, we would have recognized $19.2 million of cumulative share-based compensation expense related to these RSUs on that date.</w:t>
      </w:r>
    </w:p>
    <w:p>
      <w:pPr>
        <w:spacing w:after="0" w:line="185"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Further, in April and May 2021, our board of directors granted our Chief Executive Officer equity incentive awards in the form of performance-based stock options covering 19,740,923 and 47,267 shares of our Class B common stock, respectively. The awards vest only upon the satisfaction of certain service and performance conditions including the achievement of certain stock price targets. The awards will have a term ending on the seventh anniversary of our IPO date and are eligible to vest based on our stock price performance over a performance period beginning upon the expiration of the lock-up period associated with an underwritten public offering of our Class A common stock. The aggregate grant date fair value of these awards was $208.4 million, which will be recognized as share-based compensation over the derived service period using the accelerated attribution method.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consist primarily of consulting, legal, and recruiting fees. We expect that our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 xml:space="preserve">Technology. </w:t>
      </w:r>
      <w:r>
        <w:rPr>
          <w:rFonts w:ascii="Arial" w:cs="Arial" w:eastAsia="Arial" w:hAnsi="Arial"/>
          <w:sz w:val="17"/>
          <w:szCs w:val="17"/>
          <w:color w:val="auto"/>
        </w:rPr>
        <w:t>Technology consists primarily of third-party hosting fees, software licenses, and hardware purchases below our capitalization threshold,</w:t>
      </w:r>
      <w:r>
        <w:rPr>
          <w:rFonts w:ascii="Arial" w:cs="Arial" w:eastAsia="Arial" w:hAnsi="Arial"/>
          <w:sz w:val="17"/>
          <w:szCs w:val="17"/>
          <w:i w:val="1"/>
          <w:iCs w:val="1"/>
          <w:color w:val="auto"/>
        </w:rPr>
        <w:t xml:space="preserve"> </w:t>
      </w:r>
      <w:r>
        <w:rPr>
          <w:rFonts w:ascii="Arial" w:cs="Arial" w:eastAsia="Arial" w:hAnsi="Arial"/>
          <w:sz w:val="17"/>
          <w:szCs w:val="17"/>
          <w:color w:val="auto"/>
        </w:rPr>
        <w:t>and support and maintenance costs. We expect that our technology expenses will increase in absolute dollars as our business grows.</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Occupancy consists primarily of rent expense, repairs, maintenance, and other building related costs. We expect that our occupancy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primarily of depreciation of our fixed assets. We expect that our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expenses will increase in absolute dollars as our business grows.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Marketing and advertising consist primarily of costs of general marketing activities and promotional activities.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marketing and advertising expenses will increase in absolute dollars as our business grows.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consist primarily of indirect state and local taxes, employee training, charitable donations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general office expenses. We expect that our other operating expenses will increase in absolute dollars as our business grows and we expect we will incur increased expenses to operate as a public company.</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Following the completion of this offering, 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As a result, we expect that our operating expenses will increase in absolute dollars as our business grows.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Other income (expense), net consists primarily of interest income from our marketable securities, interest expense on our loan and security agreement that was paid off in December 2019, realized foreign currency gains and losses, changes in the fair value of the redeemable convertible preferred stock warrant liabilities, and impairment of our equity method investments in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Income tax expense consists of U.S. federal and state income taxes and U.K. income taxes. We maintain a full valuation allowance on our federal and state net deferred tax assets as we have concluded that it is not more likely than not that we will realize our net deferred tax assets.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7"/>
          </w:tcPr>
          <w:p>
            <w:pPr>
              <w:jc w:val="right"/>
              <w:ind w:right="861"/>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360" w:type="dxa"/>
            <w:vAlign w:val="bottom"/>
            <w:gridSpan w:val="6"/>
          </w:tcPr>
          <w:p>
            <w:pPr>
              <w:jc w:val="right"/>
              <w:ind w:right="261"/>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5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5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80" w:type="dxa"/>
            <w:vAlign w:val="bottom"/>
            <w:gridSpan w:val="5"/>
            <w:shd w:val="clear" w:color="auto" w:fill="CCEEFF"/>
          </w:tcPr>
          <w:p>
            <w:pPr>
              <w:jc w:val="right"/>
              <w:ind w:right="841"/>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revenue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143,267</w:t>
            </w:r>
          </w:p>
        </w:tc>
        <w:tc>
          <w:tcPr>
            <w:tcW w:w="300" w:type="dxa"/>
            <w:vAlign w:val="bottom"/>
          </w:tcPr>
          <w:p>
            <w:pPr>
              <w:spacing w:after="0"/>
              <w:rPr>
                <w:sz w:val="18"/>
                <w:szCs w:val="18"/>
                <w:color w:val="auto"/>
              </w:rPr>
            </w:pP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290,292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48,388</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107,983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82,814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172,385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29,826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58,126</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49,857</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86,506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126,861</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24,982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44,839</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10,129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6,261</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7,796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13,239</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2,439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5,626</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4,337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1,086</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3,080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3,498</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857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907</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advertising</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1,670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495</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7,117</w:t>
            </w:r>
          </w:p>
        </w:tc>
        <w:tc>
          <w:tcPr>
            <w:tcW w:w="3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1"/>
              <w:spacing w:after="0"/>
              <w:rPr>
                <w:sz w:val="20"/>
                <w:szCs w:val="20"/>
                <w:color w:val="auto"/>
              </w:rPr>
            </w:pPr>
            <w:r>
              <w:rPr>
                <w:rFonts w:ascii="Arial" w:cs="Arial" w:eastAsia="Arial" w:hAnsi="Arial"/>
                <w:sz w:val="18"/>
                <w:szCs w:val="18"/>
                <w:color w:val="auto"/>
              </w:rPr>
              <w:t>5,260</w:t>
            </w:r>
          </w:p>
        </w:tc>
        <w:tc>
          <w:tcPr>
            <w:tcW w:w="16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1,526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1,295</w:t>
            </w:r>
          </w:p>
        </w:tc>
      </w:tr>
      <w:tr>
        <w:trPr>
          <w:trHeight w:val="27"/>
        </w:trPr>
        <w:tc>
          <w:tcPr>
            <w:tcW w:w="5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119,316</w:t>
            </w:r>
          </w:p>
        </w:tc>
        <w:tc>
          <w:tcPr>
            <w:tcW w:w="3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164,994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33,575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60,509</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(58,863)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(47,087)</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(10,652)</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(58,165)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(47,608)</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(12,819)</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(58,200</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(47,695</w:t>
            </w:r>
          </w:p>
        </w:tc>
        <w:tc>
          <w:tcPr>
            <w:tcW w:w="580" w:type="dxa"/>
            <w:vAlign w:val="bottom"/>
          </w:tcPr>
          <w:p>
            <w:pPr>
              <w:jc w:val="right"/>
              <w:ind w:right="4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periods presented as a percentage of our net revenue: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4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23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Costs of revenue</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Professional services</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Occupancy</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Marketing and advertising</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5420"/>
              <w:spacing w:after="0"/>
              <w:rPr>
                <w:sz w:val="20"/>
                <w:szCs w:val="20"/>
                <w:color w:val="auto"/>
              </w:rPr>
            </w:pPr>
            <w:r>
              <w:rPr>
                <w:rFonts w:ascii="Arial" w:cs="Arial" w:eastAsia="Arial" w:hAnsi="Arial"/>
                <w:sz w:val="18"/>
                <w:szCs w:val="18"/>
                <w:color w:val="auto"/>
              </w:rPr>
              <w:t>79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the Fiscal Years Ended December 31, 2019 and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w:t>
            </w:r>
          </w:p>
        </w:tc>
        <w:tc>
          <w:tcPr>
            <w:tcW w:w="1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Net interchange fees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116,469</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234,397</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$ 117,928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Processing and other fees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47,889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26,940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5600" w:type="dxa"/>
            <w:vAlign w:val="bottom"/>
          </w:tcPr>
          <w:p>
            <w:pPr>
              <w:ind w:left="720"/>
              <w:spacing w:after="0"/>
              <w:rPr>
                <w:sz w:val="20"/>
                <w:szCs w:val="20"/>
                <w:color w:val="auto"/>
              </w:rPr>
            </w:pPr>
            <w:r>
              <w:rPr>
                <w:rFonts w:ascii="Arial" w:cs="Arial" w:eastAsia="Arial" w:hAnsi="Arial"/>
                <w:sz w:val="18"/>
                <w:szCs w:val="18"/>
                <w:color w:val="auto"/>
              </w:rPr>
              <w:t>Total platform services, net</w:t>
            </w: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6"/>
              </w:rPr>
              <w:t>137,418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144,868</w:t>
            </w: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services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8,006</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600" w:type="dxa"/>
            <w:vAlign w:val="bottom"/>
          </w:tcPr>
          <w:p>
            <w:pPr>
              <w:ind w:left="1080"/>
              <w:spacing w:after="0"/>
              <w:rPr>
                <w:sz w:val="20"/>
                <w:szCs w:val="20"/>
                <w:color w:val="auto"/>
              </w:rPr>
            </w:pPr>
            <w:r>
              <w:rPr>
                <w:rFonts w:ascii="Arial" w:cs="Arial" w:eastAsia="Arial" w:hAnsi="Arial"/>
                <w:sz w:val="18"/>
                <w:szCs w:val="18"/>
                <w:color w:val="auto"/>
              </w:rPr>
              <w:t>Total net revenue</w:t>
            </w:r>
          </w:p>
        </w:tc>
        <w:tc>
          <w:tcPr>
            <w:tcW w:w="16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143,267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147,025</w:t>
            </w: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Processing Volume (TPV) (in millions)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21,674</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60,075</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$ 38,401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Total net revenue increased by $147.0 million, or 103%, for the year ended December 31, 2020 compared to the year ended December 31, 2019, of which $117.7 million was generated by Square. The increase was primarily driven by a 177% increase in TPV. This increase was due to a 170% increase in processing volume generated from Square, and a 188% increase in processing volume generated from all other programs, excluding Square. This increase in TPV drove a $117.9 million, or 101%, increase in net Interchange Fees. In relation to the growth in TPV, net revenue grew slower in the year ended December 31, 2020, primarily due to the change in processing mix. Specifically, the consumer card processing volume and PIN network volume, which generates lower Interchange Fees, grew faster than the commercial processing volume, which typically generates higher Interchange Fees. The increase in TPV also drove a 161% increase in Revenue Share in the year ended December 31, 2020 compared to the year ended December 31, 2019. Processing and other fees increased $26.9 million, or 129%, in the year ended December 31, 2020 compared to the year ended December 31, 2019, due to an increase in automated teller machine processing volume.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 and Gross Margin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6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4"/>
                <w:szCs w:val="14"/>
                <w:color w:val="auto"/>
              </w:rPr>
            </w:pPr>
          </w:p>
        </w:tc>
        <w:tc>
          <w:tcPr>
            <w:tcW w:w="21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5"/>
              </w:rPr>
              <w:t>Year Ended December 31,</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06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of revenue:</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Card Network fees,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64,947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145,617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$80,670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Issuing Bank fees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12,511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19,785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6,983</w:t>
            </w: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172,385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89,571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3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$57,454</w:t>
            </w: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Costs of revenue increased by $89.6 million, or 108%, for the year ended December 31, 2020 compared to the year ended December 31, 2019. The increase was primarily due to increased Card Network fees as the result of the 177% increase in TPV and 112% increase in the number of transactions. Such fees are net of monetary incentives earned from Card Networks for processing volume via the respective Card Networks during the period. Issuing Bank fees are typically structured based on volume tiers; as our processing volumes grow, these fees as a percentage of processing volume decline. Issuing Bank fees increased $7.3 million, or 58%, which was lower than the percentage of increase in TPV as a result of volume tiers being met at Sutton Bank.</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a result of the increases in net revenue and cost of revenue discussed above, gross profit increased by $57.5 million, or 95%, for the year ended December 31, 2020 compared to the year ended December 31, 2019.</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Gross margin decreased from 42% during the year ended December 31, 2019 to 41% during the year ended December 31, 2020, primarily due to the increase in Revenue Share amounts paid to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Benefits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Salaries, bonus, benefits and payroll taxes</w:t>
            </w:r>
          </w:p>
        </w:tc>
        <w:tc>
          <w:tcPr>
            <w:tcW w:w="13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64,749</w:t>
            </w: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98,650</w:t>
            </w:r>
          </w:p>
        </w:tc>
        <w:tc>
          <w:tcPr>
            <w:tcW w:w="4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$33,901</w:t>
            </w:r>
          </w:p>
        </w:tc>
        <w:tc>
          <w:tcPr>
            <w:tcW w:w="5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21,757</w:t>
            </w: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28,211</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6,454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1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86,506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126,861</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40,355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Percentage of net revenue</w:t>
            </w:r>
          </w:p>
        </w:tc>
        <w:tc>
          <w:tcPr>
            <w:tcW w:w="1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Average full time employees during the period</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Compensation and benefits expenses increased by $40.4 million, or 47%, for the year ended December 31, 2020 compared to the year ended December 31, 2019. The increase was primarily due to a $33.9 million increase in employee-related costs due to an increase in the number of employees, and a $6.5 million increase in share-based compensation related to employees’ stock options and secondary common stock sale transactions.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employees grouped by functional area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9"/>
          </w:tcPr>
          <w:p>
            <w:pPr>
              <w:ind w:left="60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Product &amp; Technology</w:t>
            </w: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149</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Payment Operations</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547"/>
        </w:trPr>
        <w:tc>
          <w:tcPr>
            <w:tcW w:w="5820" w:type="dxa"/>
            <w:vAlign w:val="bottom"/>
          </w:tcPr>
          <w:p>
            <w:pPr>
              <w:spacing w:after="0"/>
              <w:rPr>
                <w:sz w:val="20"/>
                <w:szCs w:val="20"/>
                <w:color w:val="auto"/>
              </w:rPr>
            </w:pPr>
            <w:r>
              <w:rPr>
                <w:rFonts w:ascii="Arial" w:cs="Arial" w:eastAsia="Arial" w:hAnsi="Arial"/>
                <w:sz w:val="18"/>
                <w:szCs w:val="18"/>
                <w:b w:val="1"/>
                <w:bCs w:val="1"/>
                <w:color w:val="auto"/>
              </w:rPr>
              <w:t>Professional Services</w:t>
            </w:r>
          </w:p>
        </w:tc>
        <w:tc>
          <w:tcPr>
            <w:tcW w:w="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24"/>
                <w:szCs w:val="24"/>
                <w:color w:val="auto"/>
              </w:rPr>
            </w:pPr>
          </w:p>
        </w:tc>
        <w:tc>
          <w:tcPr>
            <w:tcW w:w="306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80" w:type="dxa"/>
            <w:vAlign w:val="bottom"/>
            <w:vMerge w:val="continue"/>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4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Professional services expenses increased by $1.2 million, or 13%, for the year ended December 31, 2020 compared to the year ended December 31, 2019. The increase was primarily due to a $1.2 million increase in accounting, consulting, and legal fees, and a $0.9 million increase in contractors fees, which were partially offset by a $0.9 million decrease in recruiting fees.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4"/>
                <w:szCs w:val="14"/>
                <w:color w:val="auto"/>
              </w:rPr>
            </w:pPr>
          </w:p>
        </w:tc>
        <w:tc>
          <w:tcPr>
            <w:tcW w:w="29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7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3"/>
              </w:rPr>
              <w:t>$ 5,443</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Technology expenses increased by $5.4 million, or 70%, for the year ended December 31, 2020 compared to the year ended December 31, 2019. The increase was primarily due to a $3.3 million increase in hosting costs to support our continued growth and increase in TPV and a $2.1 million increase in software licensing costs.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Occupancy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Occupancy</w:t>
            </w:r>
          </w:p>
        </w:tc>
        <w:tc>
          <w:tcPr>
            <w:tcW w:w="18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3,777</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Occupancy expense increased by $0.6 million, or 15%, for the year ended December 31, 2020 compared to the year ended December 31, 2019. The increase was primarily due to an increase in rent and related charges for an office space that we committed to add, prior to the enactment of shelter-in-place orders, as a result of the expected increase in the number of employees. With the increase of the number of our employees working remotely, we will continue to evaluate the need for additional office space.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Depreciation and Amortization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3,080</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Depreciation and amortization increased by $0.4 million, or 14%, for the year ended December 31, 2020 compared to the year ended December 31, 2019. The increase was primarily due to depreciation on fixed assets used to support continued headcount and business growth.</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and Advertising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Marketing and advertising expenses decreased by $0.4 million, or 20%, for the year ended December 31, 2020 compared to the year ended December 31, 2019. The decrease was primarily due to participation in fewer trade shows and conferences as a result of the COVID-19 pandemic. We continue to monitor the pandemic situation and if authorities continue to loosen restrictions related to COVID-19, we expect these expenses to increase.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Operating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29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(1,857)</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Other operating expenses decreased by $1.9 million, or 26%, for the year ended December 31, 2020 compared to the year ended December 31, 2019. The decrease was primarily due to reduced travel and office related expenses as a result of the shelter-in-place orders instituted in response to the spread of COVID-19. In March 2020, we closed our offices and ceased all employee business travel. These actions reduced employee travel and related expenses by $2.2 million and reduced office meals by $1.2 million during the year ended December 31, 2020 compared to the year ended December 31, 2019. When shelter-in-place orders are lifted, and we open our offices and allow business travel, we expect these expenses to increase. The decrease was partially offset by an increase in various state and local taxes of $0.8 million, an increase in charitable donations of $0.5 million and an increase in other miscellaneous operating expenses of $0.2 million.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(1,219)</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Other income (expense), net decreased by $1.2 million, or 175%, for the year ended December 31, 2020 compared to the year ended December 31, 2019. The decrease was primarily due to $1.9 million increase in the fair value of the redeemable convertible preferred stock warrant liabilities and $0.6 million decrease in interest income from our marketable securities. These changes were partially offset by a $0.8 million expense in 2019 related to an impairment of our equity method investment that did not recur in 2020 and a $0.5 million decrease in interest expense on our loan and security agreement that was paid off in December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 and Customer Concentration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we are deeply integrated with our Customers in three ways: our technology underpins their core business or supports a core business process, our people become their trusted partner, and our solutions drive their key processes.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solutions are helping to power market disruptors, with scalable card issuing programs that have experienced rapid adoption. The outperformance of innovators such as Square has underpinned our rapid growth, while we add new innovators to our Platform.</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an indicator of the strength of our relationships, we achieved dollar-based net revenue retention</w:t>
      </w:r>
      <w:r>
        <w:rPr>
          <w:rFonts w:ascii="Arial" w:cs="Arial" w:eastAsia="Arial" w:hAnsi="Arial"/>
          <w:sz w:val="15"/>
          <w:szCs w:val="15"/>
          <w:color w:val="auto"/>
        </w:rPr>
        <w:t>3</w:t>
      </w:r>
      <w:r>
        <w:rPr>
          <w:rFonts w:ascii="Arial" w:cs="Arial" w:eastAsia="Arial" w:hAnsi="Arial"/>
          <w:sz w:val="18"/>
          <w:szCs w:val="18"/>
          <w:color w:val="auto"/>
        </w:rPr>
        <w:t xml:space="preserve"> of over 200% for each of the years ended December 31, 2019 and 2020.</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we continue to onboard new Customers and they begin to increase their processing volumes on our Platform, we expect meaningful processing volume and net revenue diversification over time.</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the years ended December 31, 2019 and 2020, we generated 60% and 70% of our net revenue from our largest Customer, Square. For the three months ended March 31, 2020 and 2021, we generated 66% and 73%, respectively, of our net revenue from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9" w:lineRule="exact"/>
        <w:rPr>
          <w:sz w:val="20"/>
          <w:szCs w:val="20"/>
          <w:color w:val="auto"/>
        </w:rPr>
      </w:pPr>
    </w:p>
    <w:p>
      <w:pPr>
        <w:jc w:val="both"/>
        <w:ind w:left="440" w:right="20" w:hanging="324"/>
        <w:spacing w:after="0" w:line="264" w:lineRule="auto"/>
        <w:tabs>
          <w:tab w:leader="none" w:pos="440" w:val="left"/>
        </w:tabs>
        <w:numPr>
          <w:ilvl w:val="0"/>
          <w:numId w:val="40"/>
        </w:numPr>
        <w:rPr>
          <w:rFonts w:ascii="Arial" w:cs="Arial" w:eastAsia="Arial" w:hAnsi="Arial"/>
          <w:sz w:val="11"/>
          <w:szCs w:val="11"/>
          <w:color w:val="auto"/>
        </w:rPr>
      </w:pPr>
      <w:r>
        <w:rPr>
          <w:rFonts w:ascii="Arial" w:cs="Arial" w:eastAsia="Arial" w:hAnsi="Arial"/>
          <w:sz w:val="13"/>
          <w:szCs w:val="13"/>
          <w:color w:val="auto"/>
        </w:rPr>
        <w:t>Dollar-based net revenue retention measures our ability to increase net revenue across our existing 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the Three Months Ended March 31, 2020 and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24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Net interchange fees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39,108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87,254</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$48,146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Processing and other fees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18,979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720"/>
              <w:spacing w:after="0"/>
              <w:rPr>
                <w:sz w:val="20"/>
                <w:szCs w:val="20"/>
                <w:color w:val="auto"/>
              </w:rPr>
            </w:pPr>
            <w:r>
              <w:rPr>
                <w:rFonts w:ascii="Arial" w:cs="Arial" w:eastAsia="Arial" w:hAnsi="Arial"/>
                <w:sz w:val="18"/>
                <w:szCs w:val="18"/>
                <w:color w:val="auto"/>
              </w:rPr>
              <w:t>Total platform services, net</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46,757</w:t>
            </w:r>
          </w:p>
        </w:tc>
        <w:tc>
          <w:tcPr>
            <w:tcW w:w="8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106,233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$59,476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services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1080"/>
              <w:spacing w:after="0"/>
              <w:rPr>
                <w:sz w:val="20"/>
                <w:szCs w:val="20"/>
                <w:color w:val="auto"/>
              </w:rPr>
            </w:pPr>
            <w:r>
              <w:rPr>
                <w:rFonts w:ascii="Arial" w:cs="Arial" w:eastAsia="Arial" w:hAnsi="Arial"/>
                <w:sz w:val="18"/>
                <w:szCs w:val="18"/>
                <w:color w:val="auto"/>
              </w:rPr>
              <w:t>Total net revenue</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48,388</w:t>
            </w:r>
          </w:p>
        </w:tc>
        <w:tc>
          <w:tcPr>
            <w:tcW w:w="8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107,983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59,595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Processing Volume (TPV) (in millions)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23,998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15,002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Total net revenue increased by $59.6 million, or 123%, for the three months ended March 31, 2021 compared to the same period in 2020, of which $47.9 million was generated by Square. The increase in net revenue was primarily driven by a 167% increase in TPV. This increase was due to a 168% increase in processing volume generated from Square and a 165% increase in processing volume generated from all other Customers, excluding Square. This increase in TPV drove a $48.1 million, or 123%, increase in net Interchange Fees. The increase in net Interchange Fees due to the increase in TPV was partially offset by a decrease in Interchange Fees due to a change in processing mix. Interchange rates may vary due to changes in transaction volume type, including average transaction size, merchant classifications, and consumer versus commercial classification. Consistent with the increase in TPV, Revenue Share increased 164% in the three months ended March 31, 2021 compared to the same period in 2020. TPV was affected by the COVID-19 pandemic and the stimulus payments as discussed in the section above under the caption “Impact of COVID-19.” Processing and other fees increased $11.3 million or 148% in the three months ended March 31, 2021 compared to the same period in 2020 due to an increase in automated teller machine processing volume.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 and Gross Margin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6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3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 March 31,</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06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Costs of revenue:</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Card Network fees, net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24,311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49,829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$25,518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Issuing Bank fees</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4,068</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1,846</w:t>
            </w:r>
          </w:p>
        </w:tc>
        <w:tc>
          <w:tcPr>
            <w:tcW w:w="3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of revenue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58,126</w:t>
            </w:r>
          </w:p>
        </w:tc>
        <w:tc>
          <w:tcPr>
            <w:tcW w:w="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28,300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vMerge w:val="continue"/>
          </w:tcPr>
          <w:p>
            <w:pPr>
              <w:spacing w:after="0"/>
              <w:rPr>
                <w:sz w:val="20"/>
                <w:szCs w:val="20"/>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18,562</w:t>
            </w:r>
          </w:p>
        </w:tc>
        <w:tc>
          <w:tcPr>
            <w:tcW w:w="3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49,857</w:t>
            </w:r>
          </w:p>
        </w:tc>
        <w:tc>
          <w:tcPr>
            <w:tcW w:w="3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$31,295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Costs of revenue increased by $28.3 million, or 95%, for the three months ended March 31, 2021 compared to the same period in 2020. The increase was primarily due to increased Card Network fees as the result of the 167% increase in TPV and 103% increase in the number of corresponding transactions. Network fees are net of monetary incentives from Card Networks for processing volume through the respective Card Networks during the period. Card Network fees for the three months ended March 31, 2021 reflect a reduction of $4.6 million related to monetary incentives that we earned as a result of processing volumes reaching a specified threshold in March 2021. The additional incentive rates were applied to all relevant processing volumes once the threshold was reached in March 31, 2021. The processing volume thresholds resulting in additional incentives were not reached in the three months ended March 31, 2020.</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Issuing Bank fees increased $2.4 million, or 59%, for the three months ended March 31, 2021 compared to the same period in 2020, which was lower than the percentage of increase in TPV as a result of volume tiers being met at Sutton Bank. Issuing Bank fees are typically structured based on volume tiers; as our processing volumes grow, these fees as a percentage of processing volume decline.</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a result of the increases in net revenue and cost of revenue discussed above, our gross profit increased by $31.3 million, or 169%, for the three months ended March 31, 2021 compared to the same period in 2020.</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gross margin increased to 46% during the three months ended March 31, 2021—including the benefit of the monetary incentives mentioned above —from 38% during the same period in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Benefits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4"/>
                <w:szCs w:val="14"/>
                <w:color w:val="auto"/>
              </w:rPr>
            </w:pPr>
          </w:p>
        </w:tc>
        <w:tc>
          <w:tcPr>
            <w:tcW w:w="2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7"/>
              </w:rPr>
              <w:t>Three Months Ended March 31,</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Salaries, bonus, benefits and payroll taxes</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21,237</w:t>
            </w:r>
          </w:p>
        </w:tc>
        <w:tc>
          <w:tcPr>
            <w:tcW w:w="4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33,447</w:t>
            </w:r>
          </w:p>
        </w:tc>
        <w:tc>
          <w:tcPr>
            <w:tcW w:w="4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$12,210</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3,745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11,392</w:t>
            </w:r>
          </w:p>
        </w:tc>
        <w:tc>
          <w:tcPr>
            <w:tcW w:w="1460" w:type="dxa"/>
            <w:vAlign w:val="bottom"/>
            <w:gridSpan w:val="3"/>
          </w:tcPr>
          <w:p>
            <w:pPr>
              <w:jc w:val="right"/>
              <w:ind w:right="580"/>
              <w:spacing w:after="0"/>
              <w:rPr>
                <w:sz w:val="20"/>
                <w:szCs w:val="20"/>
                <w:color w:val="auto"/>
              </w:rPr>
            </w:pPr>
            <w:r>
              <w:rPr>
                <w:rFonts w:ascii="Arial" w:cs="Arial" w:eastAsia="Arial" w:hAnsi="Arial"/>
                <w:sz w:val="18"/>
                <w:szCs w:val="18"/>
                <w:color w:val="auto"/>
              </w:rPr>
              <w:t>7,647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24,982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44,839</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19,857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Percentage of net revenue</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Average full time employees during the period</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534</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Compensation and benefits expenses increased by $19.9 million, or 79%, for the three months ended March 31, 2021 compared to the same period in 2020. The increase was primarily due to a $12.2 million increase in employee-related costs due to the increase in the number of employees, and a $7.6 million increase in share-based compensation related to employees’ stock options and secondary sales of common stock. Share-based compensation expense in the three months ended March 31, 2020 and 2021 included $1.4 million and $5.9 million, respectively, associated with secondary sales of common stock by employees. We do not expect to record share-based compensation expense associated with secondary sales of common stock in periods after the completion of this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Professional Services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29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7"/>
              </w:rPr>
              <w:t>Three Months Ended March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Professional services expenses increased by $3.9 million, or 167%, for the three months ended March 31, 2021 compared to the same period in 2020. The increase was primarily due to a $2.3 million increase in accounting, consulting, and legal fees, a $1.4 million increase in contractors cost, and a $0.2 million increase in recruiting fees.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29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7"/>
              </w:rPr>
              <w:t>Three Months Ended March 31,</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Technology</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7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3"/>
              </w:rPr>
              <w:t>$ 3,187</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Technology expenses increased by $3.2 million, or 131%, for the three months ended March 31, 2021 compared to the same period in 2020. The increase was primarily due to a $2.0 million increase in third-party hosting costs to support our continued growth and increase in TPV and a $1.2 million increase in software licensing costs as we continue implementing new systems and tools.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Occupancy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8"/>
              </w:rPr>
              <w:t>Three Months Ended March 31,</w:t>
            </w: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Occupancy</w:t>
            </w:r>
          </w:p>
        </w:tc>
        <w:tc>
          <w:tcPr>
            <w:tcW w:w="18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Occupancy expense remained relatively flat for the three months ended March 31, 2021 compared to the same period in 2020 as a result of the enactment of shelter-in-place orders and the increase in the number of our employees working remotely. We will continue to evaluate the need for additional office space.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Depreciation and Amortization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Three Months Ended March 31,</w:t>
            </w:r>
          </w:p>
        </w:tc>
        <w:tc>
          <w:tcPr>
            <w:tcW w:w="2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5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907</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2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 amortization remained relatively flat for the three months ended March 31, 2021 compared to the same period in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and Advertising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Three Months Ended March 31,</w:t>
            </w:r>
          </w:p>
        </w:tc>
        <w:tc>
          <w:tcPr>
            <w:tcW w:w="2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8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495</w:t>
            </w:r>
          </w:p>
        </w:tc>
        <w:tc>
          <w:tcPr>
            <w:tcW w:w="5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Marketing and advertising expenses increased by $0.2 million, or 46%, for the three months ended March 31, 2021 compared to the same period in 2020. The increase was primarily related to advertising and brand awareness investments to further grow our customer base.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Operating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98"/>
              </w:rPr>
              <w:t>Three Months Ended March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Other operating expenses decreased by $0.2 million, or 15%, for the three months ended March 31, 2021 compared to the same period in 2020. The decrease was primarily due to reduced travel and office related expenses as a result of the shelter-in-place orders instituted in response to the spread of COVID-19. In March 2020, we closed our offices and ceased all employee business travel. These actions reduced employee travel and related expenses by $0.3 million and reduced office meals by $0.2 million during the three months ended March 31, 2021 compared to the same period in 2020. When shelter-in-place orders are lifted and we open our offices and allow business travel, we expect these expenses to increase. The decrease was partially offset by an increase in various state and local taxes of $0.2 million and an increase in other miscellaneous operating expenses of $0.1 million.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w w:val="98"/>
              </w:rPr>
              <w:t>Three Months Ended March 31,</w:t>
            </w: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48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(2,662)</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Other income (expense), net decreased by $2.7 million, or 538%, for the three months ended March 31, 2021 compared to the same period in 2020. The decrease was primarily due to a $2.4 million increase in the expense related to the change in the fair value of the redeemable convertible preferred stock warrant liabilities and a $0.3 million decrease in interest income from our marketable securities portfolio.</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Results of Operations and Other Data</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following tables set forth selected unaudited consolidated quarterly statements of operations data for each of the eight fiscal quarters ended March 31, 2021 as well as the percentage of net revenue that each line item represents for each quarter. The information for each of these quarters has been prepared on the same basis as the audited annual consolidated financial statements included elsewhere in this prospectus and, in the opinion of management, includes all adjustments, which consist only of normal recurring adjustments, necessary for the fair presentation of the results of operations for these periods. This data should be read in conjunction with our audited consolidated financial statements and related notes included elsewhere in this prospectus. These quarterly results are not necessarily indicative of our results of operations to be expected for any future period.</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 30,</w:t>
            </w:r>
          </w:p>
        </w:tc>
        <w:tc>
          <w:tcPr>
            <w:tcW w:w="8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Dec 31,</w:t>
            </w: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72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Sep 30,</w:t>
            </w: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Dec 31,</w:t>
            </w:r>
          </w:p>
        </w:tc>
        <w:tc>
          <w:tcPr>
            <w:tcW w:w="80" w:type="dxa"/>
            <w:vAlign w:val="bottom"/>
          </w:tcPr>
          <w:p>
            <w:pPr>
              <w:spacing w:after="0"/>
              <w:rPr>
                <w:sz w:val="10"/>
                <w:szCs w:val="10"/>
                <w:color w:val="auto"/>
              </w:rPr>
            </w:pPr>
          </w:p>
        </w:tc>
        <w:tc>
          <w:tcPr>
            <w:tcW w:w="68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4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6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6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$ 35,572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$ 39,184</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$ 42,806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$ 48,388</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$69,402</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$ 84,306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$ 88,196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$107,983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Costs of revenue</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18,936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22,575</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25,297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29,826</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41,785</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49,024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51,750</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58,126</w:t>
            </w: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16,636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16,609</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17,509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18,562</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27,617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35,282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36,446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49,857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30,493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19,053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24,982</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25,901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38,231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37,747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44,839</w:t>
            </w: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2,502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2,137</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2,283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2,346</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2,479</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2,132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3,172</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6,261</w:t>
            </w: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2,439</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3,432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5,626</w:t>
            </w: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951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1,052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1,087</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1,080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1,100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1,070</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1,086</w:t>
            </w: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r>
      <w:tr>
        <w:trPr>
          <w:trHeight w:val="216"/>
        </w:trPr>
        <w:tc>
          <w:tcPr>
            <w:tcW w:w="334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454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1,098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343</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371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495</w:t>
            </w: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1,526</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1,295</w:t>
            </w:r>
          </w:p>
        </w:tc>
      </w:tr>
      <w:tr>
        <w:trPr>
          <w:trHeight w:val="230"/>
        </w:trPr>
        <w:tc>
          <w:tcPr>
            <w:tcW w:w="3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38,978</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31,614</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47,454</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60,509</w:t>
            </w:r>
          </w:p>
        </w:tc>
        <w:tc>
          <w:tcPr>
            <w:tcW w:w="120" w:type="dxa"/>
            <w:vAlign w:val="bottom"/>
          </w:tcPr>
          <w:p>
            <w:pPr>
              <w:spacing w:after="0"/>
              <w:rPr>
                <w:sz w:val="20"/>
                <w:szCs w:val="20"/>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(22,342)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(14,105)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(15,013)</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(6,797)</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(12,172)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(10,652)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(220)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(295)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(83)</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(2,167)</w:t>
            </w: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(21,846)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(14,325)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(14,518)</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(7,092)</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(12,255)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(13,743)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(12,819)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(43)</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(21,846)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(10,115)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(14,360)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(14,530)</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(7,107)</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(12,298)</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(13,760)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 (12,838)</w:t>
            </w:r>
          </w:p>
        </w:tc>
      </w:tr>
      <w:tr>
        <w:trPr>
          <w:trHeight w:val="20"/>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gridSpan w:val="4"/>
          </w:tcPr>
          <w:p>
            <w:pPr>
              <w:jc w:val="right"/>
              <w:ind w:right="60"/>
              <w:spacing w:after="0" w:line="119" w:lineRule="exact"/>
              <w:rPr>
                <w:sz w:val="20"/>
                <w:szCs w:val="20"/>
                <w:color w:val="auto"/>
              </w:rPr>
            </w:pPr>
            <w:r>
              <w:rPr>
                <w:rFonts w:ascii="Arial" w:cs="Arial" w:eastAsia="Arial" w:hAnsi="Arial"/>
                <w:sz w:val="13"/>
                <w:szCs w:val="13"/>
                <w:b w:val="1"/>
                <w:bCs w:val="1"/>
                <w:color w:val="auto"/>
                <w:w w:val="98"/>
              </w:rPr>
              <w:t>Jun 30,</w:t>
            </w:r>
          </w:p>
        </w:tc>
        <w:tc>
          <w:tcPr>
            <w:tcW w:w="460" w:type="dxa"/>
            <w:vAlign w:val="bottom"/>
          </w:tcPr>
          <w:p>
            <w:pPr>
              <w:spacing w:after="0"/>
              <w:rPr>
                <w:sz w:val="10"/>
                <w:szCs w:val="10"/>
                <w:color w:val="auto"/>
              </w:rPr>
            </w:pPr>
          </w:p>
        </w:tc>
        <w:tc>
          <w:tcPr>
            <w:tcW w:w="46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w w:val="78"/>
              </w:rPr>
              <w:t>Sep 30,</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w w:val="96"/>
              </w:rPr>
              <w:t>Dec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Mar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w w:val="98"/>
              </w:rPr>
              <w:t>Jun 30,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260" w:type="dxa"/>
            <w:vAlign w:val="bottom"/>
          </w:tcPr>
          <w:p>
            <w:pPr>
              <w:spacing w:after="0"/>
              <w:rPr>
                <w:sz w:val="10"/>
                <w:szCs w:val="10"/>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7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24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Costs of revenue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54</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0"/>
                <w:szCs w:val="20"/>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w:t>
            </w:r>
          </w:p>
        </w:tc>
        <w:tc>
          <w:tcPr>
            <w:tcW w:w="1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60" w:type="dxa"/>
            <w:vAlign w:val="bottom"/>
            <w:gridSpan w:val="6"/>
          </w:tcPr>
          <w:p>
            <w:pPr>
              <w:jc w:val="right"/>
              <w:ind w:right="33"/>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(26)</w:t>
            </w:r>
          </w:p>
        </w:tc>
        <w:tc>
          <w:tcPr>
            <w:tcW w:w="1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14"/>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9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9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0" w:type="dxa"/>
            <w:vAlign w:val="bottom"/>
            <w:gridSpan w:val="5"/>
            <w:shd w:val="clear" w:color="auto" w:fill="CCEEFF"/>
          </w:tcPr>
          <w:p>
            <w:pPr>
              <w:jc w:val="right"/>
              <w:ind w:right="27"/>
              <w:spacing w:after="0"/>
              <w:rPr>
                <w:sz w:val="20"/>
                <w:szCs w:val="20"/>
                <w:color w:val="auto"/>
              </w:rPr>
            </w:pPr>
            <w:r>
              <w:rPr>
                <w:rFonts w:ascii="Arial" w:cs="Arial" w:eastAsia="Arial" w:hAnsi="Arial"/>
                <w:sz w:val="18"/>
                <w:szCs w:val="18"/>
                <w:color w:val="auto"/>
              </w:rPr>
              <w:t>(14)%</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384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34"/>
        </w:trPr>
        <w:tc>
          <w:tcPr>
            <w:tcW w:w="4920" w:type="dxa"/>
            <w:vAlign w:val="bottom"/>
            <w:gridSpan w:val="9"/>
          </w:tcPr>
          <w:p>
            <w:pPr>
              <w:spacing w:after="0"/>
              <w:rPr>
                <w:sz w:val="20"/>
                <w:szCs w:val="20"/>
                <w:color w:val="auto"/>
              </w:rPr>
            </w:pPr>
            <w:r>
              <w:rPr>
                <w:rFonts w:ascii="Arial" w:cs="Arial" w:eastAsia="Arial" w:hAnsi="Arial"/>
                <w:sz w:val="18"/>
                <w:szCs w:val="18"/>
                <w:b w:val="1"/>
                <w:bCs w:val="1"/>
                <w:color w:val="auto"/>
              </w:rPr>
              <w:t>Key Operating Metric and Non-GAAP Financial Measures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2"/>
        </w:trPr>
        <w:tc>
          <w:tcPr>
            <w:tcW w:w="3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11"/>
          </w:tcPr>
          <w:p>
            <w:pPr>
              <w:jc w:val="right"/>
              <w:ind w:right="4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19"/>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13"/>
              <w:spacing w:after="0" w:line="119" w:lineRule="exact"/>
              <w:rPr>
                <w:sz w:val="20"/>
                <w:szCs w:val="20"/>
                <w:color w:val="auto"/>
              </w:rPr>
            </w:pPr>
            <w:r>
              <w:rPr>
                <w:rFonts w:ascii="Arial" w:cs="Arial" w:eastAsia="Arial" w:hAnsi="Arial"/>
                <w:sz w:val="13"/>
                <w:szCs w:val="13"/>
                <w:b w:val="1"/>
                <w:bCs w:val="1"/>
                <w:color w:val="auto"/>
              </w:rPr>
              <w:t>Jun 30,</w:t>
            </w:r>
          </w:p>
        </w:tc>
        <w:tc>
          <w:tcPr>
            <w:tcW w:w="260" w:type="dxa"/>
            <w:vAlign w:val="bottom"/>
          </w:tcPr>
          <w:p>
            <w:pPr>
              <w:spacing w:after="0"/>
              <w:rPr>
                <w:sz w:val="10"/>
                <w:szCs w:val="10"/>
                <w:color w:val="auto"/>
              </w:rPr>
            </w:pPr>
          </w:p>
        </w:tc>
        <w:tc>
          <w:tcPr>
            <w:tcW w:w="740" w:type="dxa"/>
            <w:vAlign w:val="bottom"/>
            <w:gridSpan w:val="4"/>
          </w:tcPr>
          <w:p>
            <w:pPr>
              <w:jc w:val="right"/>
              <w:ind w:right="131"/>
              <w:spacing w:after="0" w:line="119" w:lineRule="exact"/>
              <w:rPr>
                <w:sz w:val="20"/>
                <w:szCs w:val="20"/>
                <w:color w:val="auto"/>
              </w:rPr>
            </w:pPr>
            <w:r>
              <w:rPr>
                <w:rFonts w:ascii="Arial" w:cs="Arial" w:eastAsia="Arial" w:hAnsi="Arial"/>
                <w:sz w:val="13"/>
                <w:szCs w:val="13"/>
                <w:b w:val="1"/>
                <w:bCs w:val="1"/>
                <w:color w:val="auto"/>
              </w:rPr>
              <w:t>Sep 30,</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5"/>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Dec 31,</w:t>
            </w:r>
          </w:p>
        </w:tc>
        <w:tc>
          <w:tcPr>
            <w:tcW w:w="20" w:type="dxa"/>
            <w:vAlign w:val="bottom"/>
          </w:tcPr>
          <w:p>
            <w:pPr>
              <w:spacing w:after="0"/>
              <w:rPr>
                <w:sz w:val="10"/>
                <w:szCs w:val="10"/>
                <w:color w:val="auto"/>
              </w:rPr>
            </w:pPr>
          </w:p>
        </w:tc>
        <w:tc>
          <w:tcPr>
            <w:tcW w:w="980" w:type="dxa"/>
            <w:vAlign w:val="bottom"/>
            <w:gridSpan w:val="6"/>
          </w:tcPr>
          <w:p>
            <w:pPr>
              <w:jc w:val="center"/>
              <w:ind w:right="300"/>
              <w:spacing w:after="0" w:line="119" w:lineRule="exact"/>
              <w:rPr>
                <w:sz w:val="20"/>
                <w:szCs w:val="20"/>
                <w:color w:val="auto"/>
              </w:rPr>
            </w:pPr>
            <w:r>
              <w:rPr>
                <w:rFonts w:ascii="Arial" w:cs="Arial" w:eastAsia="Arial" w:hAnsi="Arial"/>
                <w:sz w:val="13"/>
                <w:szCs w:val="13"/>
                <w:b w:val="1"/>
                <w:bCs w:val="1"/>
                <w:color w:val="auto"/>
              </w:rPr>
              <w:t>Mar 31,</w:t>
            </w:r>
          </w:p>
        </w:tc>
        <w:tc>
          <w:tcPr>
            <w:tcW w:w="20" w:type="dxa"/>
            <w:vAlign w:val="bottom"/>
          </w:tcPr>
          <w:p>
            <w:pPr>
              <w:spacing w:after="0"/>
              <w:rPr>
                <w:sz w:val="10"/>
                <w:szCs w:val="10"/>
                <w:color w:val="auto"/>
              </w:rPr>
            </w:pPr>
          </w:p>
        </w:tc>
        <w:tc>
          <w:tcPr>
            <w:tcW w:w="940" w:type="dxa"/>
            <w:vAlign w:val="bottom"/>
            <w:gridSpan w:val="5"/>
          </w:tcPr>
          <w:p>
            <w:pPr>
              <w:jc w:val="right"/>
              <w:ind w:right="42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900" w:type="dxa"/>
            <w:vAlign w:val="bottom"/>
            <w:gridSpan w:val="4"/>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90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Dec 31,</w:t>
            </w:r>
          </w:p>
        </w:tc>
        <w:tc>
          <w:tcPr>
            <w:tcW w:w="660" w:type="dxa"/>
            <w:vAlign w:val="bottom"/>
            <w:gridSpan w:val="3"/>
          </w:tcPr>
          <w:p>
            <w:pPr>
              <w:jc w:val="right"/>
              <w:ind w:right="17"/>
              <w:spacing w:after="0" w:line="119" w:lineRule="exact"/>
              <w:rPr>
                <w:sz w:val="20"/>
                <w:szCs w:val="20"/>
                <w:color w:val="auto"/>
              </w:rPr>
            </w:pPr>
            <w:r>
              <w:rPr>
                <w:rFonts w:ascii="Arial" w:cs="Arial" w:eastAsia="Arial" w:hAnsi="Arial"/>
                <w:sz w:val="13"/>
                <w:szCs w:val="13"/>
                <w:b w:val="1"/>
                <w:bCs w:val="1"/>
                <w:color w:val="auto"/>
              </w:rPr>
              <w:t>Mar 31,</w:t>
            </w:r>
          </w:p>
        </w:tc>
        <w:tc>
          <w:tcPr>
            <w:tcW w:w="260" w:type="dxa"/>
            <w:vAlign w:val="bottom"/>
          </w:tcPr>
          <w:p>
            <w:pPr>
              <w:spacing w:after="0"/>
              <w:rPr>
                <w:sz w:val="10"/>
                <w:szCs w:val="10"/>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r>
      <w:tr>
        <w:trPr>
          <w:trHeight w:val="182"/>
        </w:trPr>
        <w:tc>
          <w:tcPr>
            <w:tcW w:w="3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Processing Volume (TPV) (in</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4,793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97"/>
              </w:rPr>
              <w:t>5,922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w w:val="84"/>
              </w:rPr>
              <w:t>7,105</w:t>
            </w:r>
          </w:p>
        </w:tc>
        <w:tc>
          <w:tcPr>
            <w:tcW w:w="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8,996</w:t>
            </w:r>
          </w:p>
        </w:tc>
        <w:tc>
          <w:tcPr>
            <w:tcW w:w="80" w:type="dxa"/>
            <w:vAlign w:val="bottom"/>
            <w:shd w:val="clear" w:color="auto" w:fill="CCEEFF"/>
          </w:tcPr>
          <w:p>
            <w:pPr>
              <w:spacing w:after="0"/>
              <w:rPr>
                <w:sz w:val="20"/>
                <w:szCs w:val="20"/>
                <w:color w:val="auto"/>
              </w:rPr>
            </w:pPr>
          </w:p>
        </w:tc>
        <w:tc>
          <w:tcPr>
            <w:tcW w:w="84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w w:val="92"/>
              </w:rPr>
              <w:t>$15,082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17,250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18,748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23,998</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loss (in thousands)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(21,846)</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$(10,115)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50"/>
              <w:spacing w:after="0"/>
              <w:rPr>
                <w:sz w:val="20"/>
                <w:szCs w:val="20"/>
                <w:color w:val="auto"/>
              </w:rPr>
            </w:pPr>
            <w:r>
              <w:rPr>
                <w:rFonts w:ascii="Arial" w:cs="Arial" w:eastAsia="Arial" w:hAnsi="Arial"/>
                <w:sz w:val="18"/>
                <w:szCs w:val="18"/>
                <w:color w:val="auto"/>
                <w:w w:val="86"/>
              </w:rPr>
              <w:t>(14,360)</w:t>
            </w:r>
          </w:p>
        </w:tc>
        <w:tc>
          <w:tcPr>
            <w:tcW w:w="20" w:type="dxa"/>
            <w:vAlign w:val="bottom"/>
          </w:tcPr>
          <w:p>
            <w:pPr>
              <w:spacing w:after="0"/>
              <w:rPr>
                <w:sz w:val="18"/>
                <w:szCs w:val="18"/>
                <w:color w:val="auto"/>
              </w:rPr>
            </w:pPr>
          </w:p>
        </w:tc>
        <w:tc>
          <w:tcPr>
            <w:tcW w:w="920" w:type="dxa"/>
            <w:vAlign w:val="bottom"/>
            <w:gridSpan w:val="6"/>
          </w:tcPr>
          <w:p>
            <w:pPr>
              <w:jc w:val="right"/>
              <w:ind w:right="90"/>
              <w:spacing w:after="0"/>
              <w:rPr>
                <w:sz w:val="20"/>
                <w:szCs w:val="20"/>
                <w:color w:val="auto"/>
              </w:rPr>
            </w:pPr>
            <w:r>
              <w:rPr>
                <w:rFonts w:ascii="Arial" w:cs="Arial" w:eastAsia="Arial" w:hAnsi="Arial"/>
                <w:sz w:val="18"/>
                <w:szCs w:val="18"/>
                <w:color w:val="auto"/>
                <w:w w:val="93"/>
              </w:rPr>
              <w:t>$(14,530)</w:t>
            </w:r>
          </w:p>
        </w:tc>
        <w:tc>
          <w:tcPr>
            <w:tcW w:w="80" w:type="dxa"/>
            <w:vAlign w:val="bottom"/>
          </w:tcPr>
          <w:p>
            <w:pPr>
              <w:spacing w:after="0"/>
              <w:rPr>
                <w:sz w:val="18"/>
                <w:szCs w:val="18"/>
                <w:color w:val="auto"/>
              </w:rPr>
            </w:pPr>
          </w:p>
        </w:tc>
        <w:tc>
          <w:tcPr>
            <w:tcW w:w="840" w:type="dxa"/>
            <w:vAlign w:val="bottom"/>
            <w:gridSpan w:val="5"/>
          </w:tcPr>
          <w:p>
            <w:pPr>
              <w:jc w:val="right"/>
              <w:ind w:right="70"/>
              <w:spacing w:after="0"/>
              <w:rPr>
                <w:sz w:val="20"/>
                <w:szCs w:val="20"/>
                <w:color w:val="auto"/>
              </w:rPr>
            </w:pPr>
            <w:r>
              <w:rPr>
                <w:rFonts w:ascii="Arial" w:cs="Arial" w:eastAsia="Arial" w:hAnsi="Arial"/>
                <w:sz w:val="18"/>
                <w:szCs w:val="18"/>
                <w:color w:val="auto"/>
                <w:w w:val="91"/>
              </w:rPr>
              <w:t>$ (7,107)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(12,298)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w w:val="89"/>
              </w:rPr>
              <w:t>(13,760)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(12,838)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(8,325)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50"/>
              <w:spacing w:after="0"/>
              <w:rPr>
                <w:sz w:val="20"/>
                <w:szCs w:val="20"/>
                <w:color w:val="auto"/>
              </w:rPr>
            </w:pPr>
            <w:r>
              <w:rPr>
                <w:rFonts w:ascii="Arial" w:cs="Arial" w:eastAsia="Arial" w:hAnsi="Arial"/>
                <w:sz w:val="18"/>
                <w:szCs w:val="18"/>
                <w:color w:val="auto"/>
              </w:rPr>
              <w:t>(9,789)</w:t>
            </w: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4"/>
          </w:tcPr>
          <w:p>
            <w:pPr>
              <w:jc w:val="right"/>
              <w:ind w:right="90"/>
              <w:spacing w:after="0"/>
              <w:rPr>
                <w:sz w:val="20"/>
                <w:szCs w:val="20"/>
                <w:color w:val="auto"/>
              </w:rPr>
            </w:pPr>
            <w:r>
              <w:rPr>
                <w:rFonts w:ascii="Arial" w:cs="Arial" w:eastAsia="Arial" w:hAnsi="Arial"/>
                <w:sz w:val="18"/>
                <w:szCs w:val="18"/>
                <w:color w:val="auto"/>
                <w:w w:val="86"/>
              </w:rPr>
              <w:t>(10,411)</w:t>
            </w:r>
          </w:p>
        </w:tc>
        <w:tc>
          <w:tcPr>
            <w:tcW w:w="80" w:type="dxa"/>
            <w:vAlign w:val="bottom"/>
          </w:tcPr>
          <w:p>
            <w:pPr>
              <w:spacing w:after="0"/>
              <w:rPr>
                <w:sz w:val="18"/>
                <w:szCs w:val="18"/>
                <w:color w:val="auto"/>
              </w:rPr>
            </w:pPr>
          </w:p>
        </w:tc>
        <w:tc>
          <w:tcPr>
            <w:tcW w:w="840" w:type="dxa"/>
            <w:vAlign w:val="bottom"/>
            <w:gridSpan w:val="5"/>
          </w:tcPr>
          <w:p>
            <w:pPr>
              <w:jc w:val="right"/>
              <w:ind w:right="70"/>
              <w:spacing w:after="0"/>
              <w:rPr>
                <w:sz w:val="20"/>
                <w:szCs w:val="20"/>
                <w:color w:val="auto"/>
              </w:rPr>
            </w:pPr>
            <w:r>
              <w:rPr>
                <w:rFonts w:ascii="Arial" w:cs="Arial" w:eastAsia="Arial" w:hAnsi="Arial"/>
                <w:sz w:val="18"/>
                <w:szCs w:val="18"/>
                <w:color w:val="auto"/>
                <w:w w:val="91"/>
              </w:rPr>
              <w:t>$ (3,029)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686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(2,624)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1,647</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365"/>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89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net loss to adjusted EBITDA for the eight fiscal quarters ended March 31, 2021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50"/>
              <w:spacing w:after="0" w:line="119" w:lineRule="exact"/>
              <w:rPr>
                <w:sz w:val="20"/>
                <w:szCs w:val="20"/>
                <w:color w:val="auto"/>
              </w:rPr>
            </w:pPr>
            <w:r>
              <w:rPr>
                <w:rFonts w:ascii="Arial" w:cs="Arial" w:eastAsia="Arial" w:hAnsi="Arial"/>
                <w:sz w:val="13"/>
                <w:szCs w:val="13"/>
                <w:b w:val="1"/>
                <w:bCs w:val="1"/>
                <w:color w:val="auto"/>
                <w:w w:val="98"/>
              </w:rPr>
              <w:t>Jun 30,</w:t>
            </w:r>
          </w:p>
        </w:tc>
        <w:tc>
          <w:tcPr>
            <w:tcW w:w="100" w:type="dxa"/>
            <w:vAlign w:val="bottom"/>
          </w:tcPr>
          <w:p>
            <w:pPr>
              <w:spacing w:after="0"/>
              <w:rPr>
                <w:sz w:val="10"/>
                <w:szCs w:val="10"/>
                <w:color w:val="auto"/>
              </w:rPr>
            </w:pPr>
          </w:p>
        </w:tc>
        <w:tc>
          <w:tcPr>
            <w:tcW w:w="980" w:type="dxa"/>
            <w:vAlign w:val="bottom"/>
            <w:gridSpan w:val="2"/>
          </w:tcPr>
          <w:p>
            <w:pPr>
              <w:jc w:val="right"/>
              <w:ind w:right="45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880" w:type="dxa"/>
            <w:vAlign w:val="bottom"/>
            <w:gridSpan w:val="2"/>
          </w:tcPr>
          <w:p>
            <w:pPr>
              <w:jc w:val="right"/>
              <w:ind w:right="350"/>
              <w:spacing w:after="0" w:line="119"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1100" w:type="dxa"/>
            <w:vAlign w:val="bottom"/>
            <w:gridSpan w:val="2"/>
          </w:tcPr>
          <w:p>
            <w:pPr>
              <w:jc w:val="right"/>
              <w:ind w:right="430"/>
              <w:spacing w:after="0" w:line="119" w:lineRule="exact"/>
              <w:rPr>
                <w:sz w:val="20"/>
                <w:szCs w:val="20"/>
                <w:color w:val="auto"/>
              </w:rPr>
            </w:pPr>
            <w:r>
              <w:rPr>
                <w:rFonts w:ascii="Arial" w:cs="Arial" w:eastAsia="Arial" w:hAnsi="Arial"/>
                <w:sz w:val="13"/>
                <w:szCs w:val="13"/>
                <w:b w:val="1"/>
                <w:bCs w:val="1"/>
                <w:color w:val="auto"/>
              </w:rPr>
              <w:t>Mar 31,</w:t>
            </w:r>
          </w:p>
        </w:tc>
        <w:tc>
          <w:tcPr>
            <w:tcW w:w="102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8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Sep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6"/>
              </w:rPr>
              <w:t>Dec 31,</w:t>
            </w:r>
          </w:p>
        </w:tc>
        <w:tc>
          <w:tcPr>
            <w:tcW w:w="100" w:type="dxa"/>
            <w:vAlign w:val="bottom"/>
          </w:tcPr>
          <w:p>
            <w:pPr>
              <w:spacing w:after="0"/>
              <w:rPr>
                <w:sz w:val="10"/>
                <w:szCs w:val="10"/>
                <w:color w:val="auto"/>
              </w:rPr>
            </w:pPr>
          </w:p>
        </w:tc>
        <w:tc>
          <w:tcPr>
            <w:tcW w:w="58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Mar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4"/>
          </w:tcPr>
          <w:p>
            <w:pPr>
              <w:jc w:val="right"/>
              <w:ind w:right="8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8"/>
              </w:rPr>
              <w:t>35,572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4"/>
              </w:rPr>
              <w:t>39,184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8"/>
              </w:rPr>
              <w:t>42,806</w:t>
            </w:r>
          </w:p>
        </w:tc>
        <w:tc>
          <w:tcPr>
            <w:tcW w:w="12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$ 48,388</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$69,402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84,306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88,196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107,983</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w w:val="89"/>
              </w:rPr>
              <w:t>(21,846)</w:t>
            </w:r>
          </w:p>
        </w:tc>
        <w:tc>
          <w:tcPr>
            <w:tcW w:w="100" w:type="dxa"/>
            <w:vAlign w:val="bottom"/>
          </w:tcPr>
          <w:p>
            <w:pPr>
              <w:spacing w:after="0"/>
              <w:rPr>
                <w:sz w:val="18"/>
                <w:szCs w:val="18"/>
                <w:color w:val="auto"/>
              </w:rPr>
            </w:pPr>
          </w:p>
        </w:tc>
        <w:tc>
          <w:tcPr>
            <w:tcW w:w="980" w:type="dxa"/>
            <w:vAlign w:val="bottom"/>
            <w:gridSpan w:val="2"/>
          </w:tcPr>
          <w:p>
            <w:pPr>
              <w:jc w:val="right"/>
              <w:ind w:right="290"/>
              <w:spacing w:after="0"/>
              <w:rPr>
                <w:sz w:val="20"/>
                <w:szCs w:val="20"/>
                <w:color w:val="auto"/>
              </w:rPr>
            </w:pPr>
            <w:r>
              <w:rPr>
                <w:rFonts w:ascii="Arial" w:cs="Arial" w:eastAsia="Arial" w:hAnsi="Arial"/>
                <w:sz w:val="18"/>
                <w:szCs w:val="18"/>
                <w:color w:val="auto"/>
                <w:w w:val="86"/>
              </w:rPr>
              <w:t>(10,115)</w:t>
            </w:r>
          </w:p>
        </w:tc>
        <w:tc>
          <w:tcPr>
            <w:tcW w:w="10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(14,360)</w:t>
            </w:r>
          </w:p>
        </w:tc>
        <w:tc>
          <w:tcPr>
            <w:tcW w:w="1200" w:type="dxa"/>
            <w:vAlign w:val="bottom"/>
            <w:gridSpan w:val="3"/>
          </w:tcPr>
          <w:p>
            <w:pPr>
              <w:jc w:val="right"/>
              <w:ind w:right="270"/>
              <w:spacing w:after="0"/>
              <w:rPr>
                <w:sz w:val="20"/>
                <w:szCs w:val="20"/>
                <w:color w:val="auto"/>
              </w:rPr>
            </w:pPr>
            <w:r>
              <w:rPr>
                <w:rFonts w:ascii="Arial" w:cs="Arial" w:eastAsia="Arial" w:hAnsi="Arial"/>
                <w:sz w:val="18"/>
                <w:szCs w:val="18"/>
                <w:color w:val="auto"/>
              </w:rPr>
              <w:t>(14,530)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(7,107)</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(13,760)</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(12,838)</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Depreciation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855</w:t>
            </w:r>
          </w:p>
        </w:tc>
        <w:tc>
          <w:tcPr>
            <w:tcW w:w="12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857</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2"/>
        </w:trPr>
        <w:tc>
          <w:tcPr>
            <w:tcW w:w="2500" w:type="dxa"/>
            <w:vAlign w:val="bottom"/>
          </w:tcPr>
          <w:p>
            <w:pPr>
              <w:ind w:left="360"/>
              <w:spacing w:after="0" w:line="201" w:lineRule="exact"/>
              <w:rPr>
                <w:sz w:val="20"/>
                <w:szCs w:val="20"/>
                <w:color w:val="auto"/>
              </w:rPr>
            </w:pPr>
            <w:r>
              <w:rPr>
                <w:rFonts w:ascii="Arial" w:cs="Arial" w:eastAsia="Arial" w:hAnsi="Arial"/>
                <w:sz w:val="18"/>
                <w:szCs w:val="18"/>
                <w:color w:val="auto"/>
                <w:w w:val="96"/>
              </w:rPr>
              <w:t>Share-based 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54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50"/>
              <w:spacing w:after="0"/>
              <w:rPr>
                <w:sz w:val="20"/>
                <w:szCs w:val="20"/>
                <w:color w:val="auto"/>
              </w:rPr>
            </w:pPr>
            <w:r>
              <w:rPr>
                <w:rFonts w:ascii="Arial" w:cs="Arial" w:eastAsia="Arial" w:hAnsi="Arial"/>
                <w:sz w:val="18"/>
                <w:szCs w:val="18"/>
                <w:color w:val="auto"/>
                <w:w w:val="98"/>
              </w:rPr>
              <w:t>15,500</w:t>
            </w:r>
          </w:p>
        </w:tc>
        <w:tc>
          <w:tcPr>
            <w:tcW w:w="100" w:type="dxa"/>
            <w:vAlign w:val="bottom"/>
          </w:tcPr>
          <w:p>
            <w:pPr>
              <w:spacing w:after="0"/>
              <w:rPr>
                <w:sz w:val="20"/>
                <w:szCs w:val="20"/>
                <w:color w:val="auto"/>
              </w:rPr>
            </w:pPr>
          </w:p>
        </w:tc>
        <w:tc>
          <w:tcPr>
            <w:tcW w:w="980" w:type="dxa"/>
            <w:vAlign w:val="bottom"/>
            <w:gridSpan w:val="2"/>
          </w:tcPr>
          <w:p>
            <w:pPr>
              <w:jc w:val="right"/>
              <w:ind w:right="35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0"/>
                <w:szCs w:val="20"/>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3,461</w:t>
            </w:r>
          </w:p>
        </w:tc>
        <w:tc>
          <w:tcPr>
            <w:tcW w:w="1200" w:type="dxa"/>
            <w:vAlign w:val="bottom"/>
            <w:gridSpan w:val="3"/>
          </w:tcPr>
          <w:p>
            <w:pPr>
              <w:jc w:val="right"/>
              <w:ind w:right="330"/>
              <w:spacing w:after="0"/>
              <w:rPr>
                <w:sz w:val="20"/>
                <w:szCs w:val="20"/>
                <w:color w:val="auto"/>
              </w:rPr>
            </w:pPr>
            <w:r>
              <w:rPr>
                <w:rFonts w:ascii="Arial" w:cs="Arial" w:eastAsia="Arial" w:hAnsi="Arial"/>
                <w:sz w:val="18"/>
                <w:szCs w:val="18"/>
                <w:color w:val="auto"/>
              </w:rPr>
              <w:t>3,745</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11,957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9,591</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11,392</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Other income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220</w:t>
            </w:r>
          </w:p>
        </w:tc>
        <w:tc>
          <w:tcPr>
            <w:tcW w:w="12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(495)</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25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35</w:t>
            </w:r>
          </w:p>
        </w:tc>
        <w:tc>
          <w:tcPr>
            <w:tcW w:w="1200" w:type="dxa"/>
            <w:vAlign w:val="bottom"/>
            <w:gridSpan w:val="3"/>
          </w:tcPr>
          <w:p>
            <w:pPr>
              <w:jc w:val="right"/>
              <w:ind w:right="330"/>
              <w:spacing w:after="0"/>
              <w:rPr>
                <w:sz w:val="20"/>
                <w:szCs w:val="20"/>
                <w:color w:val="auto"/>
              </w:rPr>
            </w:pPr>
            <w:r>
              <w:rPr>
                <w:rFonts w:ascii="Arial" w:cs="Arial" w:eastAsia="Arial" w:hAnsi="Arial"/>
                <w:sz w:val="18"/>
                <w:szCs w:val="18"/>
                <w:color w:val="auto"/>
              </w:rPr>
              <w:t>12</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(8,325)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(9,789)</w:t>
            </w:r>
          </w:p>
        </w:tc>
        <w:tc>
          <w:tcPr>
            <w:tcW w:w="12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w w:val="99"/>
              </w:rPr>
              <w:t>$ (10,411)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 (3,029)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 Costs of Revenue and Gross Profit</w:t>
      </w:r>
    </w:p>
    <w:p>
      <w:pPr>
        <w:spacing w:after="0" w:line="121"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net revenue increased in each of the quarters presented and is generally highly correlated to TPV. Net revenue for the second quarter of 2020 increased significantly due to additional processing volume from on-demand delivery Customers as a result of the changing spending patterns caused by the COVID-19 pandemic. Net revenue for the first quarter of 2021 increased significantly due, in part, to additional processing volume attributable to COVID-19 pandemic-related stimulus cash payments from the U.S. government. See the section titled “Impact of COVID-19” for further discussion.</w:t>
      </w:r>
    </w:p>
    <w:p>
      <w:pPr>
        <w:spacing w:after="0" w:line="15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Costs of revenue are also generally highly correlated to processing volume and can fluctuate period to period due to the timing of Card Network incentives, as incentives arrangements are typically structured based on volume tiers.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gross profit also increased in each of the quarters presented with a significant increase in the quarter ended March 31, 2021 due to the impact of the COVID-19 pandemic on some of our largest on-demand delivery and buy-now-pay-later Customers and the benefit of the monetary incentives discussed above. Net revenue and gross profit were each negatively affected by service level agreement payments to Customers that totaled $2.8 million in the quarter ended March 31, 2019.</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Gross margin fluctuated across the quarters presented. The declining gross margin in the quarter ended June 30, 2020 was a function of increased processing volume and the Revenue Share arrangements with Customers that provide increased rates of Revenue Share when processing volumes reach specified volume tiers.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The major component of our operating expenses is compensation and benefits. Over the last eight quarters we have invested heavily in product development, operations, customer delivery, and general and administrative functions, and as such, compensation and benefits expense has grown. In the second quarter of 2019, the third and fourth quarters of 2020 and the first quarter of 2021, compensation and benefits includes share-based compensation of $13.7 million, $9.0 million, $6.8 million, and $5.9 million, respectively, related to secondary sales of common stock by our employees and former employees that were purchased by our existing stockholders. In the fourth quarter of 2020 and the first quarter of 2021, as a result of our continuous expansion and growth, professional services expenses increased due to the hiring of additional contractors and consultants as well as full-time employees that resulted in an increase of recruiting fees. Our technology cost increased during the fourth quarter of 2020 as a result of the increase in our costs of cloud computing services and software licenses driven by increase in TPV. As we continue investing in our Platform infrastructure, we expect those costs to continue to increase. For the fourth quarter of 2019, marketing and advertising expenses increased due to our participation in Money20/20, an annual global fintech conference. We expect such increase in marketing and advertising expenses to occur every fourth quarter because of the conference, other than in the fourth quarter of 2020 during which, due to the COVID-19 pandemic, only a few virtual events were held. Our marketing and advertising expenses increased in the fourth quarter of 2020 as we invested in marketing and promotional campaigns to grow our brand and increase engagement with potential customers.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Other income (expense), net reflects interest income on our marketable securities portfolio, that commenced in the second quarter of 2019, interest expense from a bank loan that was paid off in the fourth quarter of 2019, an impairment loss on an equity method investment of $0.8 million in the fourth quarter of 2019, and the expense related to the change in the fair value of the redeemable convertible preferred stock warrant liabilities that significantly increased in the second, third, and fourth quarters of 2020 to reach $0.9 million in the fourth quarter of 2020 and $2.3 million in the first quarter of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Key Operating Metric and Non-GAAP Financial Measures</w:t>
      </w:r>
    </w:p>
    <w:p>
      <w:pPr>
        <w:spacing w:after="0" w:line="12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have experienced increases in TPV over the years ended December 31, 2019 and 2020 and the three months ended March 31, 2020 and 2021 as we continue to add new Customers and as our existing Customers grow their businesses. Our adjusted EBITDA margin has generally improved across the periods demonstrating the leverage in our operating model as we have been able to grow revenue and gross profit at a faster pace than operating expenses. TPV, adjusted EBITDA, and adjusted EBITDA margin for the second, third, and fourth quarters of 2020 were positively affected by increased processing volumes from on-demand delivery Customers as a result of the changing spending patterns caused by the COVID-19 pandemic. See the section titled “Impact of COVID-19” for further discussion.</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Net Loss Per Share</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calculation of pro forma net loss per share attributable to common stockholders gives effect to the conversion of our redeemable convertible preferred stock using the if-converted method as though the conversion had occurred as of the beginning of the period or on the date of issuance, if later. The pro forma share amounts also give effect to the RSUs subject to both a service condition and a liquidity condition for which the service condition has been satisfied as of December 31, 2020 and March 31, 2021 on a weighted-average basis.</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net loss used in computing unaudited pro forma basic net loss per share has been adjusted to remove gains or losses resulting from the remeasurement of the redeemable convertible preferred stock warrant liabilities. The net loss used in computing unaudited pro forma basic net loss per share also gives effect to the share-based compensation expense associated with our RSUs. If a qualifying liquidity condition had occurred 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December 31, 2020, we would have recognized approximately $9.8 million of cumulative share-based compensation on that date. If a qualifying liquidity condition had occurred on March 31, 2021, we would have recognized approximately $19.2 million of cumulative share-based compensation on that date. Unaudited pro forma diluted net loss per share is the same as the unaudited pro forma basic net loss per share for the period as the impact of any potentially dilutive securities was anti-dilutive.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calculated unaudited pro forma basic and diluted net loss per share is as follows (in thousands, except share and per share amounts):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72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(47,695)</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(12,838)</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Remeasurement of convertible preferred stock warrant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1,948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2,310</w:t>
            </w:r>
          </w:p>
        </w:tc>
      </w:tr>
      <w:tr>
        <w:trPr>
          <w:trHeight w:val="202"/>
        </w:trPr>
        <w:tc>
          <w:tcPr>
            <w:tcW w:w="7260" w:type="dxa"/>
            <w:vAlign w:val="bottom"/>
          </w:tcPr>
          <w:p>
            <w:pPr>
              <w:spacing w:after="0" w:line="201" w:lineRule="exact"/>
              <w:rPr>
                <w:sz w:val="20"/>
                <w:szCs w:val="20"/>
                <w:color w:val="auto"/>
              </w:rPr>
            </w:pPr>
            <w:r>
              <w:rPr>
                <w:rFonts w:ascii="Arial" w:cs="Arial" w:eastAsia="Arial" w:hAnsi="Arial"/>
                <w:sz w:val="18"/>
                <w:szCs w:val="18"/>
                <w:color w:val="auto"/>
              </w:rPr>
              <w:t>Share-based compensation expense for RSUs with vesting conditions contingent upon a</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liquidity condition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(9,795)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(19,202)</w:t>
            </w:r>
          </w:p>
        </w:tc>
      </w:tr>
      <w:tr>
        <w:trPr>
          <w:trHeight w:val="27"/>
        </w:trPr>
        <w:tc>
          <w:tcPr>
            <w:tcW w:w="7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common stockholders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(55,542)</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(29,730)</w:t>
            </w: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122,932,556</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130,841,306</w:t>
            </w:r>
          </w:p>
        </w:tc>
      </w:tr>
      <w:tr>
        <w:trPr>
          <w:trHeight w:val="202"/>
        </w:trPr>
        <w:tc>
          <w:tcPr>
            <w:tcW w:w="7260" w:type="dxa"/>
            <w:vAlign w:val="bottom"/>
          </w:tcPr>
          <w:p>
            <w:pPr>
              <w:spacing w:after="0" w:line="201" w:lineRule="exact"/>
              <w:rPr>
                <w:sz w:val="20"/>
                <w:szCs w:val="20"/>
                <w:color w:val="auto"/>
              </w:rPr>
            </w:pPr>
            <w:r>
              <w:rPr>
                <w:rFonts w:ascii="Arial" w:cs="Arial" w:eastAsia="Arial" w:hAnsi="Arial"/>
                <w:sz w:val="18"/>
                <w:szCs w:val="18"/>
                <w:color w:val="auto"/>
              </w:rPr>
              <w:t>Pro forma adjustment for the automatic conversion of all outstanding shares of redeemable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convertible preferred stock into shares of common stock</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346,203,754</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351,844,340</w:t>
            </w:r>
          </w:p>
        </w:tc>
      </w:tr>
      <w:tr>
        <w:trPr>
          <w:trHeight w:val="202"/>
        </w:trPr>
        <w:tc>
          <w:tcPr>
            <w:tcW w:w="7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adjustment for the vesting of RSUs with vesting conditions contingent upon a</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liquidity condition</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223,856</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729,720</w:t>
            </w:r>
          </w:p>
        </w:tc>
      </w:tr>
      <w:tr>
        <w:trPr>
          <w:trHeight w:val="209"/>
        </w:trPr>
        <w:tc>
          <w:tcPr>
            <w:tcW w:w="7260" w:type="dxa"/>
            <w:vAlign w:val="bottom"/>
          </w:tcPr>
          <w:p>
            <w:pPr>
              <w:spacing w:after="0"/>
              <w:rPr>
                <w:sz w:val="20"/>
                <w:szCs w:val="20"/>
                <w:color w:val="auto"/>
              </w:rPr>
            </w:pPr>
            <w:r>
              <w:rPr>
                <w:rFonts w:ascii="Arial" w:cs="Arial" w:eastAsia="Arial" w:hAnsi="Arial"/>
                <w:sz w:val="18"/>
                <w:szCs w:val="18"/>
                <w:color w:val="auto"/>
                <w:w w:val="95"/>
              </w:rPr>
              <w:t>Pro forma weighted-average shares used in computing pro forma net loss per share attributable</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to common stockholders, basic and diluted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469,360,166</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483,415,366</w:t>
            </w:r>
          </w:p>
        </w:tc>
      </w:tr>
      <w:tr>
        <w:trPr>
          <w:trHeight w:val="27"/>
        </w:trPr>
        <w:tc>
          <w:tcPr>
            <w:tcW w:w="7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(0.12)</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r>
      <w:tr>
        <w:trPr>
          <w:trHeight w:val="20"/>
        </w:trPr>
        <w:tc>
          <w:tcPr>
            <w:tcW w:w="7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Since our inception through December 31, 2020 and March 31, 2021, we have financed our operations primarily through private sales of equity securities for net proceeds of $422.1 million and, to a lesser extent, bank debt financing of $20.0 million. As of December 31, 2020 and March 31, 2021, our principal sources of liquidity included cash, cash equivalents, and marketable securities totaling $370.3 million and $387.8 million, respectively, with such amounts held for working capital purposes. Our cash equivalents and marketable securities were comprised primarily of money market funds, U.S. government securities, commercial paper, asset-backed securities, and corporate debt securities. We have generated significant operating losses as reflected in our accumulated deficit. We expect to continue to incur operating losses for the foreseeable future.</w:t>
      </w:r>
    </w:p>
    <w:p>
      <w:pPr>
        <w:spacing w:after="0" w:line="17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our existing cash and cash equivalents, and our marketable securities will be sufficient to meet our working capital and capital expenditure needs for at least the next 12 months. Our future capital requirements will depend on many factors, including our planned continuing investment in product development, platform infrastructure, and global expansion.</w:t>
      </w:r>
    </w:p>
    <w:p>
      <w:pPr>
        <w:spacing w:after="0" w:line="18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and March 31, 2021, we had $7.8 million in restricted cash. This restricted cash includes $6.3 million held at our Issuing Banks to provide the Issuing Banks collateral in the event that our Customers’ funds are not deposited at the Issuing Banks in time to settle our Customers’ transactions with the Card Networks. Restricted cash also includes $1.5 million of cash held at a bank to secure our payments under a lease agreement for our office space.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2018, we had an outstanding principal balance of $5.0 million under a loan and security agreement. On December 2, 2019, we paid off the outstanding principal balance of $5.0 million under this agreement and closed this loan facility.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3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20" w:type="dxa"/>
            <w:vAlign w:val="bottom"/>
            <w:gridSpan w:val="4"/>
          </w:tcPr>
          <w:p>
            <w:pPr>
              <w:jc w:val="right"/>
              <w:ind w:right="11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50,273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w w:val="90"/>
              </w:rPr>
              <w:t>(100,318)</w:t>
            </w:r>
          </w:p>
        </w:tc>
        <w:tc>
          <w:tcPr>
            <w:tcW w:w="100" w:type="dxa"/>
            <w:vAlign w:val="bottom"/>
          </w:tcPr>
          <w:p>
            <w:pPr>
              <w:spacing w:after="0"/>
              <w:rPr>
                <w:sz w:val="18"/>
                <w:szCs w:val="18"/>
                <w:color w:val="auto"/>
              </w:rPr>
            </w:pPr>
          </w:p>
        </w:tc>
        <w:tc>
          <w:tcPr>
            <w:tcW w:w="1200" w:type="dxa"/>
            <w:vAlign w:val="bottom"/>
            <w:gridSpan w:val="2"/>
          </w:tcPr>
          <w:p>
            <w:pPr>
              <w:jc w:val="right"/>
              <w:ind w:right="488"/>
              <w:spacing w:after="0"/>
              <w:rPr>
                <w:sz w:val="20"/>
                <w:szCs w:val="20"/>
                <w:color w:val="auto"/>
              </w:rPr>
            </w:pPr>
            <w:r>
              <w:rPr>
                <w:rFonts w:ascii="Arial" w:cs="Arial" w:eastAsia="Arial" w:hAnsi="Arial"/>
                <w:sz w:val="18"/>
                <w:szCs w:val="18"/>
                <w:color w:val="auto"/>
                <w:w w:val="92"/>
              </w:rPr>
              <w:t>(57,562)</w:t>
            </w:r>
          </w:p>
        </w:tc>
        <w:tc>
          <w:tcPr>
            <w:tcW w:w="14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20,995</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8,760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139,049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86"/>
              </w:rPr>
              <w:t>167,378</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23,303</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160,089</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12,811</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27,197</w:t>
            </w:r>
          </w:p>
        </w:tc>
        <w:tc>
          <w:tcPr>
            <w:tcW w:w="6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largest source of operating cash is Interchange Fees generated by card transactions through our Platform. Our primary uses of cash from operating activities are for Card Network and Issuing Bank fees, and employee-related expenditures. Historically, we have generated negative cash flows from operating activities and have supplemented working capital requirements through net proceeds from the private sales of equity securities. The timing of settlement of certain operating liabilities, including Revenue Share payments, can affect the amounts reported as net cash (used in) provided by operating activities on the consolidated statement of cash flows.</w:t>
      </w:r>
    </w:p>
    <w:p>
      <w:pPr>
        <w:spacing w:after="0" w:line="18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During the year ended December 31, 2019, cash used in operating activities was $15.4 million primarily due to our net loss of $58.2 million, adjusted for non-cash charges of $27.2 million and net cash inflows of $15.6 million provided by changes in our operating assets and liabilities. Non-cash charges primarily consisted of share-based compensation and depreciation and amortization of property and equipment. The changes in operating assets and liabilities were commensurate with the increased processing volume and activities of our business and primarily related to a $18.6 million increase in Revenue Share payable and a $17.4 million increase in accrued expenses and other current liabilities, partially offset by a $8.2 million increase in network incentives receivable, a $5.4 million increase in prepaid expenses and other current assets, and a $4.0 million increase in settlements receivable.</w:t>
      </w:r>
    </w:p>
    <w:p>
      <w:pPr>
        <w:spacing w:after="0" w:line="164"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During the year ended December 31, 2020, cash provided by operating activities was $50.3 million primarily due to our net loss of $47.7 million, adjusted for non-cash charges of $36.2 million and net cash inflows of $61.8 million provided by changes in our operating assets and liabilities. Non-cash charges primarily consisted of share-based compensation and depreciation and amortization of property and equipment. The changes in operating assets and liabilities were commensurate with the increased processing volume and activities of our business and primarily related to a $48.4 million increase in Revenue Share payable and a $35.0 million increase in accrued expenses and other current liabilities, partially offset by a $9.4 million increase in network incentives receivable, a $4.5 million increase in accounts receivable and a $3.0 million increase in settlements receivable.</w:t>
      </w:r>
    </w:p>
    <w:p>
      <w:pPr>
        <w:spacing w:after="0" w:line="16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During the three months ended March 31, 2020, cash used in operating activities was $8.5 million primarily due to our net loss of $14.5 million, adjusted for non-cash charges of $5.1 million and net cash inflows of $0.9 million from changes in our operating assets and liabilities. Non-cash charges primarily consisted of share-based compensation, the change in the fair value of the redeemable convertible preferred stock warrant liabilities, and depreciation and amortization of property and equipment. The changes in operating assets and liabilities were commensurate with the increased processing volume and activities of our business and primarily related to a $6.2 million increase in Revenue Share payable and a $1.2 million decrease in prepaid and other assets, partially offset by a $3.5 million increase in network incentives receivable, a $1.4 million decrease in accrued expenses and other liabilities, and a $0.8 million increase in settlements receivable.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During the three months ended March 31, 2021, cash provided by operating activities was $17.9 million, primarily due to our net loss of $12.8 million, adjusted for non-cash charges of $15.5 million and net cash inflows of $15.2 million from changes in our operating assets and liabilities. Non-cash charges primarily consisted of share-based compensation, change in the fair value of the redeemable convertible preferred stock warrant liabilities, and depreciation and amortization of property and equipment. The changes in operating assets and liabilities were commensurate with the increased processing volume and activities of our business and primarily related to a $14.1 million increase in Revenue Share payable, a $7.8 million increase in accrued expenses and other liabilities, a $5.0 million decrease in accounts receivable as a result of new offsetting programs in effect during the quarter, a $1.5 million decrease in settlements receivable, partially offset by a $12.1 million increase in network incentives receivable, a $0.7 million decrease in operating lease liabilities, and a $0.4 million increase in prepaid expenses and other assets.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2019 of $100.3 million was primarily attributable to purchases of marketable securities of $528.3 million and property and equipment, and strategic investments of $5.6 million, partially offset by maturities of marketable securities of $433.6 million.</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2020 of $57.6 million was primarily attributable to purchases of marketable securities of $216.2 million and purchases of property and equipment of $2.4 million, partially offset by sales and maturities of marketable securities of $161.0 million.</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provided by investing activities during the three months ended March 31, 2020 of $21.0 million was primarily attributable to maturities of marketable securities of $40.5 million partially offset by purchases of marketable securities of $18.9 million and purchases of property and equipment of $0.5 million.</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provided by investing activities during the three months ended March 31, 2021 of $8.8 million was primarily attributable to maturities of marketable securities of $16.4 million partially offset by purchases of marketable securities of $7.0 million and purchases of property and equipment of $0.6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of $139.0 million was primarily the result of $143.0 million in net proceeds from the issuance of Series E redeemable convertible preferred stock, net of issuance costs, and $1.0 million in proceeds from the exercise of stock options, partially offset by the bank loan repayment of $5.0 million.</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2020 of $167.4 million was primarily the result of $166.9 million in net proceeds from the issuance of Series E-1 redeemable convertible preferred stock, net of issuance costs and $3.2 million in proceeds from the exercise of stock options, partially offset by the payment of deferred offering costs of $2.7 million.</w:t>
      </w:r>
    </w:p>
    <w:p>
      <w:pPr>
        <w:spacing w:after="0" w:line="184"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Net cash provided by financing activities during the three months ended March 31, 2020 of $0.3 million was primarily the result of $0.5 million in net proceeds from the issuance of common stock including early exercised stock options, partially offset by the payment of deferred offering costs of approximately $0.1 million and the repurchase of early exercised unvested stock options of approximately $0.1 million.</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Net cash provided by financing activities during the three months ended March 31, 2021 of $0.6 million was primarily the result of $1.7 million in proceeds from the exercise of stock options offset by payment of deferred offering costs of $1.1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Obligations and Other Commitments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principal commitments consist of obligations under our operating leases for office space and other non-cancellable purchase commitments. The following table summarizes our contractual obligations as of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0"/>
                <w:szCs w:val="10"/>
                <w:color w:val="auto"/>
              </w:rPr>
            </w:pPr>
          </w:p>
        </w:tc>
        <w:tc>
          <w:tcPr>
            <w:tcW w:w="6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3 to 5</w:t>
            </w: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1 year</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years</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than 5 years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80" w:type="dxa"/>
            <w:vAlign w:val="bottom"/>
            <w:gridSpan w:val="2"/>
            <w:shd w:val="clear" w:color="auto" w:fill="CCEEFF"/>
          </w:tcPr>
          <w:p>
            <w:pPr>
              <w:ind w:left="22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$12,823</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$5,379</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$22,283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Non-cancellable purchase obligations</w:t>
            </w:r>
            <w:r>
              <w:rPr>
                <w:rFonts w:ascii="Arial" w:cs="Arial" w:eastAsia="Arial" w:hAnsi="Arial"/>
                <w:sz w:val="15"/>
                <w:szCs w:val="15"/>
                <w:color w:val="auto"/>
              </w:rPr>
              <w:t>(1)</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11,609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1,478</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550</w:t>
            </w:r>
          </w:p>
        </w:tc>
        <w:tc>
          <w:tcPr>
            <w:tcW w:w="5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13,637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2280" w:type="dxa"/>
            <w:vAlign w:val="bottom"/>
            <w:gridSpan w:val="2"/>
            <w:shd w:val="clear" w:color="auto" w:fill="CCEEFF"/>
          </w:tcPr>
          <w:p>
            <w:pPr>
              <w:ind w:left="220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15,690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14,301</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5,929</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35,920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60" w:right="20" w:hanging="544"/>
        <w:spacing w:after="0" w:line="278"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Non-cancellable purchase obligations primarily relate to minimum commitments to certain service providers and Issuing Banks. These purchase obligations generally represent minimum commitments for cloud-computing services and Issuing Bank processing fees over the fixed, non-cancellable respective contract terms.</w:t>
      </w:r>
    </w:p>
    <w:p>
      <w:pPr>
        <w:spacing w:after="0" w:line="18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connection with our corporate headquarters lease, we are required to provide the landlord a letter of credit in the amount of $1.5 million. We have secured this letter of credit by depositing $1.5 million with the issuing financial institution. This deposit is classified as restricted cash in the consolidated balance sheets.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consolidated statements of comprehensive loss, or consolidated statements of cash flows.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and March 31,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operations within the United States and the United Kingdom,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We had cash, cash equivalents, and marketable securities totaling $370.3 million and $387.8 million as of December 31, 2020 and March 31, 2021, respectively. Such amounts included cash deposits, money market funds, U.S. government securities, commercial paper, asset-backed securities, and corporate debt securities. The fair value of our cash, cash equivalents, and marketable securities would not be significantly affected by either an increase or decrease in interest rates due to the short-term maturities of the majority of these instruments. Because we classify our marketable securities as “available for sale,” no gains or losses are recognized in the consolidated statement of operations due to changes in interest rates unless such securities are sold prior to maturity or declines in fair value are determined to be other-than-temporary. We have the ability to hold all marketable securities until their maturities. A hypothetical 100 basis point increase or decrease in interest rates would not have a material effect on our financial results.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Most of our sales and operating expenses are denominated in U.S. dollars, and therefore our results of operations are not currently subject to significant foreign currency risk. During the year ended December 31, 2020 and the three months ended March 31, 2021, a hypothetical 10% change in foreign currency exchange rates applicable to our business would not have had a material impact on our consolidated financial statements.</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believe that of our significant accounting policies, described in Note 2 to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184"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adopted Accounting Standards Codification, or ASC, Topic 606, Revenue from Contracts with Customers (ASC 606), effective as of January 1, 2019, utilizing the full retrospective method of adoption. The consolidated financial statements for all the periods presented are presented in accordance with ASC 606. We recognize revenue from contracts with Customers using the five-step method described in Note 2 to our consolidated financial statements. We generate revenue from providing Platform services, which includes Interchange Fees and processing fees, and other services, which includes card fulfillment revenue, to our Customers.</w:t>
      </w:r>
    </w:p>
    <w:p>
      <w:pPr>
        <w:spacing w:after="0" w:line="18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contracts with Customers typically include two performance obligations: 1) providing access to our payment processing Platform and 2) providing card fulfillment services. Certain Customer contracts require us to allocate the transaction price of the contract based on the relative stand-alone selling price of the performance obligations which are estimated using an analysis of our historical contract pricing and costs incurred to fulfill services.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satisfy our performance obligation to provide platform services over time as Customers have continuous access to our Platform, and we stand ready to process Customer transactions throughout their term of access. We allocate variable consideration to the distinct month in which the Platform services are delivered. When pricing terms are not consistent throughout the entire term of the contract, we estimate variable consideration in Customers’ contracts primarily using the expected value method. We develop estimates of variable consideration on the basis of both historical information and current trends and do not expect or anticipate significant reversal of revenue in the future periods.</w:t>
      </w:r>
    </w:p>
    <w:p>
      <w:pPr>
        <w:spacing w:after="0" w:line="17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the Issuer Processor for our Customers, we are the principal in providing services under our contracts with Customers. To deliver the services required by our Customers, we contract with Card Networks for transaction routing, reporting, and settlement services and with Issuing Banks for card issuing, Card Network sponsorship, and regulatory compliance approval services. We control these integrated services before delivery to our Customers, we are primarily responsible for the delivery of the services to Customers, and we have discretion in vendor selection. As such, we record fees paid to the Issuing Banks and Card Networks as costs of revenue.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measure compensation expense for all share-based payment awards, including stock options and RSUs, granted to employees, directors, and other service providers, based on the estimated fair value of the awards on the date of grant. The most significant input in determining the fair value of a stock option is the estimated fair value of our common stock. The estimated fair value of our common stock is also used to measure the grant date fair value of RSUs. Additionally, the determination of whether we should ascribe share-based compensation expense to secondary sales of common stock by employees or former employees requires a significant amount of judgment.</w:t>
      </w:r>
    </w:p>
    <w:p>
      <w:pPr>
        <w:spacing w:after="0" w:line="17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methods to estimate the fair value of our common stock and to determine share-based compensation related to secondary sales of common stock are discussed below.</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the common stock underlying our share-based awards was determined by our board of directors, with</w:t>
      </w:r>
      <w:r>
        <w:rPr>
          <w:rFonts w:ascii="Arial" w:cs="Arial" w:eastAsia="Arial" w:hAnsi="Arial"/>
          <w:sz w:val="18"/>
          <w:szCs w:val="18"/>
          <w:i w:val="1"/>
          <w:iCs w:val="1"/>
          <w:color w:val="auto"/>
        </w:rPr>
        <w:t xml:space="preserve"> </w:t>
      </w:r>
      <w:r>
        <w:rPr>
          <w:rFonts w:ascii="Arial" w:cs="Arial" w:eastAsia="Arial" w:hAnsi="Arial"/>
          <w:sz w:val="18"/>
          <w:szCs w:val="18"/>
          <w:color w:val="auto"/>
        </w:rPr>
        <w:t>input from management and contemporaneous third-party valuations. If awards were granted a short period of time preceding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Given the absence of a public trading market for our common stock, and in accordance with the American Institute of Certified Public Accountants Practice Guide, Valuation of Privately-Held-Company Equity Securities Issued as Compensation, or the AICPA Guide, our board of directors exercised reasonable judgment and considered numerous objective and subjective factors to determine the best estimate of the fair value of our common stock including:</w:t>
      </w:r>
    </w:p>
    <w:p>
      <w:pPr>
        <w:spacing w:after="0" w:line="92"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rights, preferences, and privileges of our redeemable convertible preferred stock relative to those of our common stock;</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our company given prevailing market conditions and the nature and history of our business;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multiples of comparable companies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stage of development;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estimating the fair value of our common stock, our board of directors determined our equity value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 recommended in the AICPA Guide for early stage companies and is adjusted to reflect the risks inherent in our cash flows. The market approach estimates fair value based on a comparison to comparable public companies in a similar line of business.</w:t>
      </w:r>
    </w:p>
    <w:p>
      <w:pPr>
        <w:spacing w:after="0" w:line="18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Prior to March of 2019, the equity valuation was based on both the income and the market approach valuation methods and the Option Pricing Method, or OPM, was selected as the principal equity allocation method. Both these methods were consistent with prior valuations. Starting in the second quarter of 2019, we have used a hybrid method to determine the fair value of our common stock, in addition to giving consideration to secondary sales of our common stock. Under the hybrid method, multiple valuation approaches were used and then combined into a single probability weighted valuation. Our approaches included the use of initial public offering scenarios, a scenario assuming continued operation as a private entity, and a scenario assuming an acquisition of Marqeta. In addition, we have considered the impact on our valuation estimates from secondary transactions and given weighting to such transactions in our common stock fair value estimates. We considered the facts and circumstances of each secondary transaction including the different buyers and sellers, transaction volume, timing relative to the valuation date, and whether the transaction involved investors with access to our financial information.</w:t>
      </w:r>
    </w:p>
    <w:p>
      <w:pPr>
        <w:spacing w:after="0" w:line="18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our valuations as of each valuation date and may have a material impact on the valuation of our common stock. Such estimates will not be necessary upon completion of this offering as we will be using the fair value of our publicly traded shares.</w:t>
      </w:r>
    </w:p>
    <w:p>
      <w:pPr>
        <w:spacing w:after="0" w:line="176"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i w:val="1"/>
          <w:iCs w:val="1"/>
          <w:color w:val="auto"/>
        </w:rPr>
        <w:t xml:space="preserve">Secondary Sales of Common Stock. </w:t>
      </w:r>
      <w:r>
        <w:rPr>
          <w:rFonts w:ascii="Arial" w:cs="Arial" w:eastAsia="Arial" w:hAnsi="Arial"/>
          <w:sz w:val="16"/>
          <w:szCs w:val="16"/>
          <w:color w:val="auto"/>
        </w:rPr>
        <w:t>During the years ended December 31, 2019 and 2020 and the three months ended March 31, 2020 and 2021,</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stockholders acquired outstanding common stock from current or former employees for a purchase price greater than our estimated fair value of our common stock at the time of the respective transaction. The determination of whether the excess of purchase price over the estimated fair value represents share-based compensation is highly judgmental. We determine whether secondary sales of common stock by employees and former employees result in share-based compensation by evaluating the extent of our involvement in secondary sale transactions, whether the purchaser of the shares is an existing or new stockholder, and the extent the sale price per share exceeds our estimated fair value per share. We recorded share-based compensation expense for the difference between the price paid and the estimated fair value on the date of the transaction of $14.8 million and $17.3 million during the years ended December 31, 2019 and 2020, respectively, and $1.4 million and $5.9 million during the three months ended March 31, 2020 and 2021, respectively. Such amounts were recorded in compensation and benefits expense on the statements of operations. We do not expect to record share-based compensation expense associated with secondary sales of common stock in periods after the completion of this offering.</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See Note 2 to our Consolidated Financial Statements “Summary of Significant Accounting Policies—New Accounting Standards Not Yet Adopted” for more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LETTER FROM JASON GARDNER, FOUNDER AND CHIEF EXECUTIVE OFFICER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Investor,</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 whiteboard, a computer, and a cell phone. Simple tools to launch a bold idea in a disruption-less area of the global payment card industry. Since that time in January 2010, our Platform has become essential to numerous builders as they tackle the countless demands of supporting consumer and commercial card programs globally. Whether Marqeta underpins our Customers’ core business or supports a core business process, we are essential to our Customers’ modern money movement.</w:t>
      </w:r>
    </w:p>
    <w:p>
      <w:pPr>
        <w:spacing w:after="0" w:line="18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As we scaled to service enterprise Customers globally, we learned and gathered knowledge along the way and paid it forward. Today, we serve some of the most iconic brands in the world. We have over 11 years of learning from the foundational expertise we put forward when we engage at scale with future builders. We love our Customers and are obsessively enthusiastic about supporting their success. The Marqeta ecosystem grows, and the Marqeta Platform benefits. It’s a symbiotic relationship that we believe will extend well beyond what we see at the company today.</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We are very fortunate to live in a part of the world that supports entrepreneurs and technical innovation. Oakland, California, in 2010, was fertile ground for Marqeta to take root. We love complex things, complex ecosystems, and complex technology. Finding the path forward, solving problems, and making progress are fun for us. </w:t>
      </w:r>
      <w:r>
        <w:rPr>
          <w:rFonts w:ascii="Arial" w:cs="Arial" w:eastAsia="Arial" w:hAnsi="Arial"/>
          <w:sz w:val="18"/>
          <w:szCs w:val="18"/>
          <w:i w:val="1"/>
          <w:iCs w:val="1"/>
          <w:color w:val="auto"/>
        </w:rPr>
        <w:t>I see the path ahead of me.</w:t>
      </w:r>
      <w:r>
        <w:rPr>
          <w:rFonts w:ascii="Arial" w:cs="Arial" w:eastAsia="Arial" w:hAnsi="Arial"/>
          <w:sz w:val="15"/>
          <w:szCs w:val="15"/>
          <w:i w:val="1"/>
          <w:iCs w:val="1"/>
          <w:color w:val="auto"/>
        </w:rPr>
        <w:t>1</w:t>
      </w:r>
    </w:p>
    <w:p>
      <w:pPr>
        <w:spacing w:after="0" w:line="18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 xml:space="preserve">Marqeta has been an integral part of the lives of many Marqetans and our families for over 11 years. I am forever grateful for my wife, Jocelyne. Together we have persevered through the highs and lows of life for the past 25 years. Marqeta wouldn’t be where we are today without her, our kids, and the many other wives, husbands, partners, friends, kids, and family across Marqeta, their unwavering support, encouragement, and commitment to Marqeta’s success every step of the way. We are thankful for the journey we are all on together. </w:t>
      </w:r>
      <w:r>
        <w:rPr>
          <w:rFonts w:ascii="Arial" w:cs="Arial" w:eastAsia="Arial" w:hAnsi="Arial"/>
          <w:sz w:val="16"/>
          <w:szCs w:val="16"/>
          <w:i w:val="1"/>
          <w:iCs w:val="1"/>
          <w:color w:val="auto"/>
        </w:rPr>
        <w:t>I only like the shade when you’re blocking the light.</w:t>
      </w:r>
      <w:r>
        <w:rPr>
          <w:rFonts w:ascii="Arial" w:cs="Arial" w:eastAsia="Arial" w:hAnsi="Arial"/>
          <w:sz w:val="13"/>
          <w:szCs w:val="13"/>
          <w:i w:val="1"/>
          <w:iCs w:val="1"/>
          <w:color w:val="auto"/>
        </w:rPr>
        <w:t>2</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we got started</w:t>
      </w:r>
    </w:p>
    <w:p>
      <w:pPr>
        <w:spacing w:after="0" w:line="22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Companies get started with problems that are fun to solve. Over time the problem that gets solved launches a product that finds a market. As the story goes, I was eating sushi with my friend Sukhi at a restaurant in San Francisco in December of 2009. I had recently left MoneyGram International, which acquired a company I co-founded. I wanted to start something new. Sukhi had a bunch of Groupon coupons in his pocket, and he said, “You’re a payment nerd; find a way to put these on a card.” I remember looking at the payment terminal in the restaurant and thinking that there was a world beyond that machine that I didn’t fully understand. That intellectual curiosity led us on a path to where we are today.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focus on people</w:t>
      </w:r>
    </w:p>
    <w:p>
      <w:pPr>
        <w:spacing w:after="0" w:line="22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People who build successful companies are often more concerned about being in service to their customers, teammates, and investors than their own success. I care deeply about my business partners at Marqeta, our Customers, partners, and investors. I talk a lot about my relationships with other human beings and how thankful I am to have them all in my life, their support, hard work, and thoughtfulness. Many minds and hands have shaped what Marqeta is today. Nothing is more powerful than a unified team focused on collective results. We always look at the people around us and feel an immense sense of responsibility to do what’s right and succeed. This north star guided us then and still guides us today.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believe in aligning with the success of our Customers</w:t>
      </w:r>
    </w:p>
    <w:p>
      <w:pPr>
        <w:spacing w:after="0" w:line="22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Everything at Marqeta starts with our Customers. Ensuring their success is at the core of everything we do. At Marqeta, we think about ourselves as mission-critical infrastructure. Our Customers genuinely depend on us to do the best work of our lives. We focus on building world-class infrastructure so that they can stay focused on creating and building world-class payment card experiences. Our success is the result of our Customers’ success.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culture is our excellence</w:t>
      </w:r>
    </w:p>
    <w:p>
      <w:pPr>
        <w:spacing w:after="0" w:line="22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 xml:space="preserve">Every Marqetan is anchored in a core set of values centered around the Customer, our people, and the results: Connect the Customer, Deliver Results, Lead Innovation, Quality First, Build One Marqeta, Marqeta Cares, and Everyone Belongs. We created modern card issuing and are the first to market with multiple product innovations. Solving the unsolved is at the heart of our culture and keeps us at the forefront of innovation. Our culture is the driving force behind our innovation, customer centricity, and excellence. That is why extraordinary people choose to come to Marqeta to do the best work of their lives, and we believe this is why Customers choose us as a partner to scale their businesses globally. </w:t>
      </w:r>
      <w:r>
        <w:rPr>
          <w:rFonts w:ascii="Arial" w:cs="Arial" w:eastAsia="Arial" w:hAnsi="Arial"/>
          <w:sz w:val="16"/>
          <w:szCs w:val="16"/>
          <w:i w:val="1"/>
          <w:iCs w:val="1"/>
          <w:color w:val="auto"/>
        </w:rPr>
        <w:t>Show me something built to last.</w:t>
      </w:r>
      <w:r>
        <w:rPr>
          <w:rFonts w:ascii="Arial" w:cs="Arial" w:eastAsia="Arial" w:hAnsi="Arial"/>
          <w:sz w:val="13"/>
          <w:szCs w:val="13"/>
          <w:i w:val="1"/>
          <w:iCs w:val="1"/>
          <w:color w:val="auto"/>
        </w:rPr>
        <w:t>3</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plan to invest significantly for our future</w:t>
      </w:r>
    </w:p>
    <w:p>
      <w:pPr>
        <w:spacing w:after="0" w:line="22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We invest for the long term based on the thesis that global payment volume is moving to modern infrastructure. According to Euromonitor, this year alone, the market for global money movement is estimated to be $74 trillion, representing approximately 4 trillion individual payment transactions. The size of this market is staggering, and most of this volume lives on legacy platforms. Additionally, as people migrate away from using cash, there is just that much more volume to be transacted over modern infrastructure. That’s the opportunity and the target: to disrupt legacy platforms and move that volume to a modern platform like Marqeta. We are at the forefront of a significant secular shift towards modern money movement. We believe that transformation will happen over the next decade and that we are still in the early innings. At scale, the winners in this industry will control the vast majority of the volume. Our job is to build the go-to-market Platform that winners default to globally. Over time, we intend to broaden our Platform by introducing additional capabilities and functionality to meet our Customers’ evolving global money movement needs. Our Customers need several solutions beyond cards that we’re looking to bring to them in the future. Why? Because we focus relentlessly on our Customers.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to expect from us in the future</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have strong beliefs. We plan to make bold decisions and invest in the business with specific long-term outcomes in mind. At my core, I am an entrepreneur. I plan to use that DNA as we look to chart a path forward and continue leading the industry. We will use data, and we will trust our instincts and those of our Customers.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All meaningful relationships are built on trust. We have been working on creating the conditions for trust to thrive since we wrote our first line of code in 2010. We are incredibly thankful to our Customers for their support and partnership. We are also so very grateful for each other, our partners, and our investors. We hope that you’ll join us on our journey as a public company.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Once in a while, you get shown the light in the strangest of places if you look at it right.</w:t>
      </w:r>
      <w:r>
        <w:rPr>
          <w:rFonts w:ascii="Arial" w:cs="Arial" w:eastAsia="Arial" w:hAnsi="Arial"/>
          <w:sz w:val="15"/>
          <w:szCs w:val="15"/>
          <w:i w:val="1"/>
          <w:iCs w:val="1"/>
          <w:color w:val="auto"/>
        </w:rPr>
        <w:t>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Gardner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Founder, CEO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7715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“Free” performed by Phish. First debuted May 16, 1995, Lowell Memorial Auditorium, Lowell, MA</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“Shade” performed by Phish. First debuted July 21, 2015, Les Schwab Amphitheatre, Bend, OR</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“Built to Last” performed by the Grateful Dead. First debuted October 20, 1988, The Summit, Houston, TX</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“Scarlet Begonias” performed by the Grateful Dead. First debuted March 23, 1974, Cow Palace Daly City, CA</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or Klarna, modern card issuing helps move money to the payment card that Affirm or Klarna uses to seamlessly pay the merchant.</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When you receive money from your friend through an app, modern card issuing helps move the funds to your debit card, making it instantly available to you to make purchases.</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Klarna, and Square—to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16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103% for the year ended December 31, 2020 and our dollar-based net revenue retention of over 200% for each of the years ended December 31, 2019 and 2020.</w:t>
      </w:r>
    </w:p>
    <w:p>
      <w:pPr>
        <w:spacing w:after="0" w:line="18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the three months ended March 31, 2021, the Marqeta Platform processed $24.0 billion of TPV, up 167% from $9.0 billion in the three months ended March 31, 2020. In 2020, the Marqeta Platform processed $60.1 billion of TPV, up 177% from $21.7 billion in 2019. The full year 2020 TPV is less than 1% of the annual $6.7 trillion of transaction volume conducted through U.S. issuers in 2020, as estimated by The Nilson Report, and a fraction of the $30 trillion of value exchanged annually across global Card Networks,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9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grown and scaled rapidly in recent periods. Our total net revenue was $143.3 million and $290.3 million for the years ended December 31, 2019 and 2020, respectively, an increase of 103%. We incurred net losses of $58.2 million and $47.7 million for the years ended December 31, 2019 and 2020, respectively, a decrease of 18%.</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Trends in Our Favor</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projects electronic payments will represent 46% of the total global transaction volume by 2025, up from 31% in 2017. We believe that the COVID-19 pandemic has accelerated these shifts to digital payments. Indeed, Bain &amp; Company estimates that because of the effects of the COVID-19 pandemic, the percentage of global digital transaction volumes in 2025 will increase from 57% to 67%. According to McKinsey, a half-decade of change has happened in a few months as a result of the COVID-19 pandemic, with global cash payments dropping four to five times the annual decline rates seen over the last few years as consumers and businesses purchase a wider range of goods and services online.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these digital commerce and electronic payment trends are the precursors to increased TPV across the Marqeta Platform.</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According to McKinsey, 60% of global digital commerce is expected to be made up of alternative payments by 2023. With this evolution, software companies are partnering with payments companies to provide simple, scalable, and configurable payment services across multiple geographies to meet their end users’ needs.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46"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proliferation of digital commerce required consumers and businesses to become comfortable with digital payments. Two decades after PayPal transformed online payments, consumers and businesses are increasingly turning to digital payments, digital banks, and payment technology companies for a wide range of financial services. Because of the COVID-19 pandemic, more people are willing to rely on digital payments for a wider variety of services. PYMNTS research finds that 40% of all U.S. consumers—approximately 99 million people—do not plan to resume regular in-store shopping.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8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131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8604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Legacy Payments Ecosystem</w:t>
      </w:r>
    </w:p>
    <w:p>
      <w:pPr>
        <w:spacing w:after="0" w:line="252" w:lineRule="exact"/>
        <w:rPr>
          <w:sz w:val="20"/>
          <w:szCs w:val="20"/>
          <w:color w:val="auto"/>
        </w:rPr>
      </w:pPr>
    </w:p>
    <w:p>
      <w:pPr>
        <w:ind w:left="880" w:right="20" w:hanging="224"/>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Issuing Bank: The financial institution that issues the payment card (credit, debit, or prepaid) either on its own behalf or on behalf of a card issuer.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Issuer Processor: </w:t>
      </w:r>
      <w:r>
        <w:rPr>
          <w:rFonts w:ascii="Arial" w:cs="Arial" w:eastAsia="Arial" w:hAnsi="Arial"/>
          <w:sz w:val="18"/>
          <w:szCs w:val="18"/>
          <w:color w:val="auto"/>
        </w:rPr>
        <w:t>Provides the technology platform, ledger, and infrastructure to support a card issuer and connects with a Card Network to</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 payment transactions.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Card issuer: </w:t>
      </w:r>
      <w:r>
        <w:rPr>
          <w:rFonts w:ascii="Arial" w:cs="Arial" w:eastAsia="Arial" w:hAnsi="Arial"/>
          <w:sz w:val="18"/>
          <w:szCs w:val="18"/>
          <w:color w:val="auto"/>
        </w:rPr>
        <w:t>A business that issues customized card products to its end users.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Card Networks: </w:t>
      </w:r>
      <w:r>
        <w:rPr>
          <w:rFonts w:ascii="Arial" w:cs="Arial" w:eastAsia="Arial" w:hAnsi="Arial"/>
          <w:sz w:val="18"/>
          <w:szCs w:val="18"/>
          <w:color w:val="auto"/>
        </w:rPr>
        <w:t>Provides the infrastructure for settlement and card payment information that flows between the Issuer Processor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Acquirer Processor.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Acquirer Processor: </w:t>
      </w:r>
      <w:r>
        <w:rPr>
          <w:rFonts w:ascii="Arial" w:cs="Arial" w:eastAsia="Arial" w:hAnsi="Arial"/>
          <w:sz w:val="18"/>
          <w:szCs w:val="18"/>
          <w:color w:val="auto"/>
        </w:rPr>
        <w:t>Provides the technology that facilitates the flow of card payment information through Card Networks to the Issuing</w:t>
      </w:r>
      <w:r>
        <w:rPr>
          <w:rFonts w:ascii="Arial" w:cs="Arial" w:eastAsia="Arial" w:hAnsi="Arial"/>
          <w:sz w:val="18"/>
          <w:szCs w:val="18"/>
          <w:i w:val="1"/>
          <w:iCs w:val="1"/>
          <w:color w:val="auto"/>
        </w:rPr>
        <w:t xml:space="preserve"> </w:t>
      </w:r>
      <w:r>
        <w:rPr>
          <w:rFonts w:ascii="Arial" w:cs="Arial" w:eastAsia="Arial" w:hAnsi="Arial"/>
          <w:sz w:val="18"/>
          <w:szCs w:val="18"/>
          <w:color w:val="auto"/>
        </w:rPr>
        <w:t>Bank.</w:t>
      </w:r>
    </w:p>
    <w:p>
      <w:pPr>
        <w:spacing w:after="0" w:line="75" w:lineRule="exact"/>
        <w:rPr>
          <w:rFonts w:ascii="Arial" w:cs="Arial" w:eastAsia="Arial" w:hAnsi="Arial"/>
          <w:sz w:val="18"/>
          <w:szCs w:val="18"/>
          <w:color w:val="auto"/>
        </w:rPr>
      </w:pPr>
    </w:p>
    <w:p>
      <w:pPr>
        <w:ind w:left="880" w:right="20" w:hanging="224"/>
        <w:spacing w:after="0" w:line="342"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Acquiring Bank: </w:t>
      </w:r>
      <w:r>
        <w:rPr>
          <w:rFonts w:ascii="Arial" w:cs="Arial" w:eastAsia="Arial" w:hAnsi="Arial"/>
          <w:sz w:val="16"/>
          <w:szCs w:val="16"/>
          <w:color w:val="auto"/>
        </w:rPr>
        <w:t>The financial institution that merchants use to hold funds and manage their business. The Acquiring Bank may work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Acquirer Processor to provide access to the Card Networks. The Acquiring Bank is also referred to sometimes as the merchant bank.</w:t>
      </w:r>
    </w:p>
    <w:p>
      <w:pPr>
        <w:spacing w:after="0" w:line="12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While the acquirer-facing side of the payments ecosystem has seen significant technology innovation over the last several years, the issuer-facing side has remained largely stagnant. There are approximately 300 Acquiring 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 — ultimately stifling innovation.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Today’s card issuers include technology-centric companies that are looking to digitally integrate payment cards into their platforms and process a rapidly growing number of complex payments transactions. Twenty-first 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 processing platform that overcomes legacy technology constraints while also being able to integrate seamlessly with Issuing Banks and Card Networks.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205740</wp:posOffset>
            </wp:positionV>
            <wp:extent cx="5092065" cy="25203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9206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6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Platform and Products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 Our Platform is also sought out by large financial institutions to improve their existing offerings and stay competitive with digitally native new market entrants.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Platform</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Marqeta’s modern card issuing Platform was built by developers for developers. Our Customers are able to use our simple, data-rich, and accessible Platform to build and rapidly scale their card programs, with extensive control and configurability, and with the highest standards of reliability and security. Our Platform is designed to reduce complexity for card issuers, enabling a full spectrum of card issuing and transaction processing services in a single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144780</wp:posOffset>
            </wp:positionV>
            <wp:extent cx="5143500" cy="26231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has a number of key attributes, including:</w:t>
      </w:r>
    </w:p>
    <w:p>
      <w:pPr>
        <w:spacing w:after="0" w:line="117"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 cards (e.g.,</w:t>
      </w:r>
      <w:r>
        <w:rPr>
          <w:rFonts w:ascii="Arial" w:cs="Arial" w:eastAsia="Arial" w:hAnsi="Arial"/>
          <w:sz w:val="18"/>
          <w:szCs w:val="18"/>
          <w:i w:val="1"/>
          <w:iCs w:val="1"/>
          <w:color w:val="auto"/>
        </w:rPr>
        <w:t xml:space="preserve"> </w:t>
      </w:r>
      <w:r>
        <w:rPr>
          <w:rFonts w:ascii="Arial" w:cs="Arial" w:eastAsia="Arial" w:hAnsi="Arial"/>
          <w:sz w:val="18"/>
          <w:szCs w:val="18"/>
          <w:color w:val="auto"/>
        </w:rPr>
        <w:t>Apple Pay, Google Pay, Samsung Pay) that are configured to its individual business needs with the extensive documentation libraries that are available to our Customers on our website. New Customers do not need to have deep payment expertise to issue cards and process transactions. Marqeta’s intuitive and feature-rich Platform is instantly available in our testing environment so developers can build cutting-edge embedded payment capabilities. This immediate availability of features within the developer sandbox environment promotes experimentation and ultimately accelerates product launch and iteration cycles. Once a card program is live, developers have access to rich data and insights that inform future improvements and new programs.</w:t>
      </w:r>
    </w:p>
    <w:p>
      <w:pPr>
        <w:spacing w:after="0" w:line="87" w:lineRule="exact"/>
        <w:rPr>
          <w:sz w:val="20"/>
          <w:szCs w:val="20"/>
          <w:color w:val="auto"/>
        </w:rPr>
      </w:pPr>
    </w:p>
    <w:p>
      <w:pPr>
        <w:jc w:val="both"/>
        <w:ind w:left="440"/>
        <w:spacing w:after="0" w:line="279" w:lineRule="auto"/>
        <w:rPr>
          <w:sz w:val="20"/>
          <w:szCs w:val="20"/>
          <w:color w:val="auto"/>
        </w:rPr>
      </w:pPr>
      <w:r>
        <w:rPr>
          <w:rFonts w:ascii="Arial" w:cs="Arial" w:eastAsia="Arial" w:hAnsi="Arial"/>
          <w:sz w:val="17"/>
          <w:szCs w:val="17"/>
          <w:i w:val="1"/>
          <w:iCs w:val="1"/>
          <w:color w:val="auto"/>
        </w:rPr>
        <w:t xml:space="preserve">Simple: </w:t>
      </w:r>
      <w:r>
        <w:rPr>
          <w:rFonts w:ascii="Arial" w:cs="Arial" w:eastAsia="Arial" w:hAnsi="Arial"/>
          <w:sz w:val="17"/>
          <w:szCs w:val="17"/>
          <w:color w:val="auto"/>
        </w:rPr>
        <w:t>Our Platform makes payment transactions simple by working behind the scenes to translate the complex into intuitive and developer-friendly user experiences. We provide direct integrations with the Card Networks, including Visa, Mastercard, and PULSE, which is part of the Discover Global Network, enabling developers to use Marqeta’s single unified platform for all of their payments integrations. Developers who build on our Platform take advantage of our APIs and services to quickly build products for their card issuing and payment processing needs.</w:t>
      </w:r>
    </w:p>
    <w:p>
      <w:pPr>
        <w:spacing w:after="0" w:line="63" w:lineRule="exact"/>
        <w:rPr>
          <w:sz w:val="20"/>
          <w:szCs w:val="20"/>
          <w:color w:val="auto"/>
        </w:rPr>
      </w:pPr>
    </w:p>
    <w:p>
      <w:pPr>
        <w:jc w:val="both"/>
        <w:ind w:left="440" w:right="20"/>
        <w:spacing w:after="0" w:line="257" w:lineRule="auto"/>
        <w:rPr>
          <w:sz w:val="20"/>
          <w:szCs w:val="20"/>
          <w:color w:val="auto"/>
        </w:rPr>
      </w:pPr>
      <w:r>
        <w:rPr>
          <w:rFonts w:ascii="Arial" w:cs="Arial" w:eastAsia="Arial" w:hAnsi="Arial"/>
          <w:sz w:val="18"/>
          <w:szCs w:val="18"/>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 confidence.</w:t>
      </w:r>
      <w:r>
        <w:rPr>
          <w:rFonts w:ascii="Arial" w:cs="Arial" w:eastAsia="Arial" w:hAnsi="Arial"/>
          <w:sz w:val="18"/>
          <w:szCs w:val="18"/>
          <w:i w:val="1"/>
          <w:iCs w:val="1"/>
          <w:color w:val="auto"/>
        </w:rPr>
        <w:t xml:space="preserve"> </w:t>
      </w:r>
      <w:r>
        <w:rPr>
          <w:rFonts w:ascii="Arial" w:cs="Arial" w:eastAsia="Arial" w:hAnsi="Arial"/>
          <w:sz w:val="18"/>
          <w:szCs w:val="18"/>
          <w:color w:val="auto"/>
        </w:rPr>
        <w:t>As a global platform built on a single codebase to support our Customers worldwide, we have a build-once, deploy-anywhere model, offering seamless integration with global and local Card Networks. Our cloud-based solution is designed for high volumes as evidenced by our rapid TPV growth from $1.9 billion in 2017 to $60.1 billion in 2020 and reliable performance with 99.995% uptime in 2020. Our Customers can create and deploy new card programs in days, not months or years.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257" w:lineRule="auto"/>
        <w:rPr>
          <w:sz w:val="20"/>
          <w:szCs w:val="20"/>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at the point-of-sale in the lending industry. Our Platform’s configurability significantly expands the categories of businesses that can begin issuing their own cards to solve complex payment needs. Developers choose from hundreds of our open API endpoints to easily enable custom features such as spend, authorization, and issuing controls, JIT Funding, and application tools that are PCI compliant, allowing maximum configurability to meet their business needs.</w:t>
      </w:r>
    </w:p>
    <w:p>
      <w:pPr>
        <w:spacing w:after="0" w:line="80" w:lineRule="exact"/>
        <w:rPr>
          <w:sz w:val="20"/>
          <w:szCs w:val="20"/>
          <w:color w:val="auto"/>
        </w:rPr>
      </w:pPr>
    </w:p>
    <w:p>
      <w:pPr>
        <w:jc w:val="both"/>
        <w:ind w:left="440"/>
        <w:spacing w:after="0" w:line="273" w:lineRule="auto"/>
        <w:rPr>
          <w:sz w:val="20"/>
          <w:szCs w:val="20"/>
          <w:color w:val="auto"/>
        </w:rPr>
      </w:pPr>
      <w:r>
        <w:rPr>
          <w:rFonts w:ascii="Arial" w:cs="Arial" w:eastAsia="Arial" w:hAnsi="Arial"/>
          <w:sz w:val="17"/>
          <w:szCs w:val="17"/>
          <w:i w:val="1"/>
          <w:iCs w:val="1"/>
          <w:color w:val="auto"/>
        </w:rPr>
        <w:t xml:space="preserve">Innovative: </w:t>
      </w:r>
      <w:r>
        <w:rPr>
          <w:rFonts w:ascii="Arial" w:cs="Arial" w:eastAsia="Arial" w:hAnsi="Arial"/>
          <w:sz w:val="17"/>
          <w:szCs w:val="17"/>
          <w:color w:val="auto"/>
        </w:rPr>
        <w:t>Marqeta is a hub for innovation. Instant card issuance, provisioning to digital wallets, JIT Funding, and dynamic spend controls enable</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to operate with unmatched speed and control. Real-time notifications on our dashboard provide Customers with rich insights on spend patterns and card program performance. We partner with our Customers to develop cutting-edge use cases applicable to their industry vertical. As a result, developer teams seeking scale and innovation proactively reach out to Marqeta for best-in-class solutions. As our Customers entrust us with increasing scale and additional innovation, we are able to offer even greater performance efficiency, configurability, and better products. This network effect attracts additional innovative and growth-minded Customers.</w:t>
      </w:r>
    </w:p>
    <w:p>
      <w:pPr>
        <w:spacing w:after="0" w:line="70" w:lineRule="exact"/>
        <w:rPr>
          <w:sz w:val="20"/>
          <w:szCs w:val="20"/>
          <w:color w:val="auto"/>
        </w:rPr>
      </w:pPr>
    </w:p>
    <w:p>
      <w:pPr>
        <w:jc w:val="both"/>
        <w:ind w:left="440"/>
        <w:spacing w:after="0" w:line="293" w:lineRule="auto"/>
        <w:rPr>
          <w:sz w:val="20"/>
          <w:szCs w:val="20"/>
          <w:color w:val="auto"/>
        </w:rPr>
      </w:pPr>
      <w:r>
        <w:rPr>
          <w:rFonts w:ascii="Arial" w:cs="Arial" w:eastAsia="Arial" w:hAnsi="Arial"/>
          <w:sz w:val="16"/>
          <w:szCs w:val="16"/>
          <w:i w:val="1"/>
          <w:iCs w:val="1"/>
          <w:color w:val="auto"/>
        </w:rPr>
        <w:t xml:space="preserve">Trusted: </w:t>
      </w:r>
      <w:r>
        <w:rPr>
          <w:rFonts w:ascii="Arial" w:cs="Arial" w:eastAsia="Arial" w:hAnsi="Arial"/>
          <w:sz w:val="16"/>
          <w:szCs w:val="16"/>
          <w:color w:val="auto"/>
        </w:rPr>
        <w:t>Our Platform is trusted by some of the world’s largest financial institutions and commerce disruptors to perform at scale. From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initiation through completion, the Marqeta Platform incorporates real-time confirmation of payments to our Customers in seconds. We meet the highest standards of PCI compliance and provide a trusted environment for card issuing and payment processing with security, transparency, and real-time information. Our industry-first JIT Funding solution enables our Platform to leverage contextual data to provide real-time insights and alerts to prevent transaction fraud and puts the Customer in control of their end users’ transactions. With built-in redundancy, disaster recovery, and failover capabilities, businesses can be confident in the continuity of our solution even during high processing volume spikes.</w:t>
      </w:r>
    </w:p>
    <w:p>
      <w:pPr>
        <w:spacing w:after="0" w:line="164"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Our Platform is trusted by Customers across a number of use cases, verticals, and geographies. For example, Uber uses Marqeta’s card issuing technology to streamline its payments experiences and create more seamless interfaces throughout its wider ecosystem. Uber Eats and Marqeta began partnering in 2019 to launch Uber’s courier card, a physical card that Uber drivers use to pay for orders at restaurants and merchants. Following this initial use case, Uber and Marqeta plan to continue their partnership into new verticals and geographies. Coinbase, one of the world’s leading and most trusted cryptocurrency platforms, uses Marqeta’s Platform to build its Coinbase Card, which enables its customers to make purchases online or in stores using their cryptocurrency wallets. Our Platform supports several unique capabilities for the Coinbase Card in the United States, including our just-in-time funding feature, to make authorization decisions at the point of sale based on a user’s available cryptocurrency balance. In addition, we helped Cornershop launch on our Platform in several countries across the Americas with our build-once, deploy-anywhere model.</w:t>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Products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32658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Issuing</w:t>
      </w:r>
    </w:p>
    <w:p>
      <w:pPr>
        <w:spacing w:after="0" w:line="11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enable our Customers to issue physical, virtual, and tokenized cards. With approximately 320 million cards issued through the Marqeta Platform as of March 31, 2021, across a deep and varied Customer base, we have significant industry experience supporting card programs of multiple types and sizes. We offer fulfillment services, enabling our Customers to optimize their card programs by managing users, fulfillment, and card transactions through the Marqeta Platform. We are also at the forefront of payments innovation, with features such as the provision of a tokenized card into digital wallets like Apple Pay and Google Pay. We offer a number of core card issuing services and functionalities:</w:t>
      </w:r>
    </w:p>
    <w:p>
      <w:pPr>
        <w:spacing w:after="0" w:line="68"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Custom card functionality: </w:t>
      </w:r>
      <w:r>
        <w:rPr>
          <w:rFonts w:ascii="Arial" w:cs="Arial" w:eastAsia="Arial" w:hAnsi="Arial"/>
          <w:sz w:val="18"/>
          <w:szCs w:val="18"/>
          <w:color w:val="auto"/>
        </w:rPr>
        <w:t>Our Issuing Bank relationships and direct integrations with the Card Networks enable our Customers to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launch, manage, and grow card programs that are customized to their specific business needs without needing to build those complex relationships or integrations themselves. We provide simple and quick access to a multitude of controls, customizations, and features to ensure an industry-leading user experience while minimizing fraud.</w:t>
      </w:r>
    </w:p>
    <w:p>
      <w:pPr>
        <w:spacing w:after="0" w:line="79"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Configure cards with open APIs: </w:t>
      </w:r>
      <w:r>
        <w:rPr>
          <w:rFonts w:ascii="Arial" w:cs="Arial" w:eastAsia="Arial" w:hAnsi="Arial"/>
          <w:sz w:val="16"/>
          <w:szCs w:val="16"/>
          <w:color w:val="auto"/>
        </w:rPr>
        <w:t>Customers can easily define card attributes for where and how a card is used. These use cases and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ATM, online, or point-of-sale use; ability to restrict or accept use in certain countries or currencies; and address or postal code acceptance. Single-use cards can be configured to disable after one transaction, or multi-use cards may be leveraged to last until a specific expiration date.</w:t>
      </w:r>
    </w:p>
    <w:p>
      <w:pPr>
        <w:spacing w:after="0" w:line="41"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i w:val="1"/>
          <w:iCs w:val="1"/>
          <w:color w:val="auto"/>
        </w:rPr>
        <w:t xml:space="preserve">Build, test, and launch cards: </w:t>
      </w:r>
      <w:r>
        <w:rPr>
          <w:rFonts w:ascii="Arial" w:cs="Arial" w:eastAsia="Arial" w:hAnsi="Arial"/>
          <w:sz w:val="18"/>
          <w:szCs w:val="18"/>
          <w:color w:val="auto"/>
        </w:rPr>
        <w:t>As part of Marqeta’s issuing services, developers can simultaneously create card products and set up funding 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cardholders, and cards through simulations available in their own private and secure Marqeta sandbox. In this testing environment, developers can seamlessly set up Primary Account Numbers, PINs, Card Verification Codes, and more. These features enable developers to test and validate their programs easily and quickly before launch.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Securely embed cards into apps: </w:t>
      </w:r>
      <w:r>
        <w:rPr>
          <w:rFonts w:ascii="Arial" w:cs="Arial" w:eastAsia="Arial" w:hAnsi="Arial"/>
          <w:sz w:val="18"/>
          <w:szCs w:val="18"/>
          <w:color w:val="auto"/>
        </w:rPr>
        <w:t>Customers using our Platform have the ability to securely embed sensitive card data into mobile apps using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customizable widgets or the Marqeta.js library; this has the added benefit of dramatically reducing the workload necessary to comply with PCI requirements. Cardholders can securely activate their cards, set PINs, and retrieve sensitive card data in web and mobile apps without storing or transmitting information on Customer proprietary servers.</w:t>
      </w:r>
    </w:p>
    <w:p>
      <w:pPr>
        <w:spacing w:after="0" w:line="79" w:lineRule="exact"/>
        <w:rPr>
          <w:sz w:val="20"/>
          <w:szCs w:val="20"/>
          <w:color w:val="auto"/>
        </w:rPr>
      </w:pPr>
    </w:p>
    <w:p>
      <w:pPr>
        <w:jc w:val="both"/>
        <w:ind w:left="440" w:right="20"/>
        <w:spacing w:after="0" w:line="279" w:lineRule="auto"/>
        <w:rPr>
          <w:sz w:val="20"/>
          <w:szCs w:val="20"/>
          <w:color w:val="auto"/>
        </w:rPr>
      </w:pPr>
      <w:r>
        <w:rPr>
          <w:rFonts w:ascii="Arial" w:cs="Arial" w:eastAsia="Arial" w:hAnsi="Arial"/>
          <w:sz w:val="17"/>
          <w:szCs w:val="17"/>
          <w:i w:val="1"/>
          <w:iCs w:val="1"/>
          <w:color w:val="auto"/>
        </w:rPr>
        <w:t xml:space="preserve">Customize cards: </w:t>
      </w:r>
      <w:r>
        <w:rPr>
          <w:rFonts w:ascii="Arial" w:cs="Arial" w:eastAsia="Arial" w:hAnsi="Arial"/>
          <w:sz w:val="17"/>
          <w:szCs w:val="17"/>
          <w:color w:val="auto"/>
        </w:rPr>
        <w:t>Through Marqeta’s suite of issuing and card program services, Customers control the design and feel of their physical and virtual</w:t>
      </w:r>
      <w:r>
        <w:rPr>
          <w:rFonts w:ascii="Arial" w:cs="Arial" w:eastAsia="Arial" w:hAnsi="Arial"/>
          <w:sz w:val="17"/>
          <w:szCs w:val="17"/>
          <w:i w:val="1"/>
          <w:iCs w:val="1"/>
          <w:color w:val="auto"/>
        </w:rPr>
        <w:t xml:space="preserve"> </w:t>
      </w:r>
      <w:r>
        <w:rPr>
          <w:rFonts w:ascii="Arial" w:cs="Arial" w:eastAsia="Arial" w:hAnsi="Arial"/>
          <w:sz w:val="17"/>
          <w:szCs w:val="17"/>
          <w:color w:val="auto"/>
        </w:rPr>
        <w:t>cards. The cards’ extensive customization features, which include design, marketing, and communications, and the promotional materials delivered with the card, all help our Customers establish strong brand identity for their business. Customers choosing physical cards can also customize security features, including magnetic stripe, near field communication, and EMV-chip enabled.</w:t>
      </w:r>
    </w:p>
    <w:p>
      <w:pPr>
        <w:spacing w:after="0" w:line="63" w:lineRule="exact"/>
        <w:rPr>
          <w:sz w:val="20"/>
          <w:szCs w:val="20"/>
          <w:color w:val="auto"/>
        </w:rPr>
      </w:pPr>
    </w:p>
    <w:p>
      <w:pPr>
        <w:jc w:val="both"/>
        <w:ind w:left="440" w:right="20"/>
        <w:spacing w:after="0" w:line="301" w:lineRule="auto"/>
        <w:rPr>
          <w:sz w:val="20"/>
          <w:szCs w:val="20"/>
          <w:color w:val="auto"/>
        </w:rPr>
      </w:pPr>
      <w:r>
        <w:rPr>
          <w:rFonts w:ascii="Arial" w:cs="Arial" w:eastAsia="Arial" w:hAnsi="Arial"/>
          <w:sz w:val="16"/>
          <w:szCs w:val="16"/>
          <w:i w:val="1"/>
          <w:iCs w:val="1"/>
          <w:color w:val="auto"/>
        </w:rPr>
        <w:t xml:space="preserve">Manage card programs: </w:t>
      </w:r>
      <w:r>
        <w:rPr>
          <w:rFonts w:ascii="Arial" w:cs="Arial" w:eastAsia="Arial" w:hAnsi="Arial"/>
          <w:sz w:val="16"/>
          <w:szCs w:val="16"/>
          <w:color w:val="auto"/>
        </w:rPr>
        <w:t>The Marqeta Platform allows Customers to manage card issuance over the entire card lifecycle. Through our dashboard,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can order, activate, set expiration, suspend, and terminate cards. They can also manage lost, stolen, and damaged cards via our APIs. Additional features include card fulfillment, customization of card design, and shipping in bulk. Customers can also integrate Interactive Voice Response for card activation, PIN setting, balance inquiry, and lost or stolen card reporting into their own card programs.</w:t>
      </w:r>
    </w:p>
    <w:p>
      <w:pPr>
        <w:spacing w:after="0" w:line="15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Our deep card issuing capabilities are powering some of the world’s most transformative card programs. We helped Square develop and scale Square Card, its merchant debit card issued through the Marqeta Platform. Square Card is accepted anywhere that Mastercard debit cards are accepted (including in-person, online, and at ATMs). Merchants that use Square receive the Square Card for free, and their Square Card is connected directly to their Square account balance. Once merchants receive a payment, and the payment they received is reflected in their Square balance, they can immediately spend that money through their Square Card—without waiting 1-2 days for the funds to transfer to their bank account. For small and medium businesses, Square Card is solving critical cash flow issues and transforming the way they operate. By using Marqeta’s products, Square has the ability to monitor card activation rates and transactions that flow through the Square Cards to offer promotions to its customers.</w:t>
      </w:r>
    </w:p>
    <w:p>
      <w:pPr>
        <w:spacing w:after="0" w:line="16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Square’s Cash App provides an ecosystem of financial products and services to help individuals manage their money, which began with a modern peer-to-peer money transfer service. The Cash App ecosystem has grown to include not just peer-to-peer payments, but also card transactions, ACH in-and-out transactions, buying and selling of bitcoin as well as investing in stocks. Cash App entrusts Marqeta to help power two mission-critical parts of the customer experience—enabling customers to deposit money, and enabling customers to spend their money by leveraging Marqeta’s card and ACH solutions. Cash App offers customers a free, customizable Visa card called the Cash Card, which is built on the Marqeta Platform and gives users the ability to make purchases using the funds in their Cash App account, whether by using physical Cash Cards in store or online, or tokenized cards to make payments from their mobile devices’ digital wallets. Cash App also offers users ACH capability, powered by Marqeta, which enables consumers to make ACH payments; for example, to pay utility bills or mortgages every month -- as well as to receive direct deposits from employers or even the government.</w:t>
      </w:r>
    </w:p>
    <w:p>
      <w:pPr>
        <w:spacing w:after="0" w:line="19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also partner with some of the world’s largest card issuers. For example, our card-issuing technology will enable J.P. Morgan to instantly provision commercial cards into digital wallets for commercial card customers, accelerating the issuance process and reducing the probability of fraud in each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Processing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can process transactions with control and speed for our Customers, leveraging certain of our core competencies:</w:t>
      </w:r>
    </w:p>
    <w:p>
      <w:pPr>
        <w:spacing w:after="0" w:line="117" w:lineRule="exact"/>
        <w:rPr>
          <w:sz w:val="20"/>
          <w:szCs w:val="20"/>
          <w:color w:val="auto"/>
        </w:rPr>
      </w:pPr>
    </w:p>
    <w:p>
      <w:pPr>
        <w:jc w:val="both"/>
        <w:ind w:left="440" w:right="20"/>
        <w:spacing w:after="0" w:line="286" w:lineRule="auto"/>
        <w:rPr>
          <w:sz w:val="20"/>
          <w:szCs w:val="20"/>
          <w:color w:val="auto"/>
        </w:rPr>
      </w:pPr>
      <w:r>
        <w:rPr>
          <w:rFonts w:ascii="Arial" w:cs="Arial" w:eastAsia="Arial" w:hAnsi="Arial"/>
          <w:sz w:val="17"/>
          <w:szCs w:val="17"/>
          <w:i w:val="1"/>
          <w:iCs w:val="1"/>
          <w:color w:val="auto"/>
        </w:rPr>
        <w:t xml:space="preserve">Secure authentication: </w:t>
      </w:r>
      <w:r>
        <w:rPr>
          <w:rFonts w:ascii="Arial" w:cs="Arial" w:eastAsia="Arial" w:hAnsi="Arial"/>
          <w:sz w:val="17"/>
          <w:szCs w:val="17"/>
          <w:color w:val="auto"/>
        </w:rPr>
        <w:t>Marqeta’s modern Platform provides robust, secure authentication tools. A variety of authentication methods are available to</w:t>
      </w:r>
      <w:r>
        <w:rPr>
          <w:rFonts w:ascii="Arial" w:cs="Arial" w:eastAsia="Arial" w:hAnsi="Arial"/>
          <w:sz w:val="17"/>
          <w:szCs w:val="17"/>
          <w:i w:val="1"/>
          <w:iCs w:val="1"/>
          <w:color w:val="auto"/>
        </w:rPr>
        <w:t xml:space="preserve"> </w:t>
      </w:r>
      <w:r>
        <w:rPr>
          <w:rFonts w:ascii="Arial" w:cs="Arial" w:eastAsia="Arial" w:hAnsi="Arial"/>
          <w:sz w:val="17"/>
          <w:szCs w:val="17"/>
          <w:color w:val="auto"/>
        </w:rPr>
        <w:t>authenticate the card user, including PIN, address verification, card verification value, and 3D Secure, or 3DS, and EMV chip. Customers can securely authenticate online and in-store transactions using a multitude of supported cardholder validation mechanisms.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spacing w:after="0" w:line="279" w:lineRule="auto"/>
        <w:rPr>
          <w:sz w:val="20"/>
          <w:szCs w:val="20"/>
          <w:color w:val="auto"/>
        </w:rPr>
      </w:pPr>
      <w:r>
        <w:rPr>
          <w:rFonts w:ascii="Arial" w:cs="Arial" w:eastAsia="Arial" w:hAnsi="Arial"/>
          <w:sz w:val="17"/>
          <w:szCs w:val="17"/>
          <w:i w:val="1"/>
          <w:iCs w:val="1"/>
          <w:color w:val="auto"/>
        </w:rPr>
        <w:t xml:space="preserve">Configurable spend controls: </w:t>
      </w:r>
      <w:r>
        <w:rPr>
          <w:rFonts w:ascii="Arial" w:cs="Arial" w:eastAsia="Arial" w:hAnsi="Arial"/>
          <w:sz w:val="17"/>
          <w:szCs w:val="17"/>
          <w:color w:val="auto"/>
        </w:rPr>
        <w:t>Customers can reduce fraud by limiting where and how their end users can transact. Transactions can be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custom rules configured through the Marqeta Platform, which allows businesses to apply unique business logic on a per transaction basis to ensure complete control over spend approval. Our Customers can deploy fully tailored spending limits by merchant, merchant category, merchant group, amount, user, user group, frequency of use, time of use, and start/end times, among many other inputs.</w:t>
      </w:r>
    </w:p>
    <w:p>
      <w:pPr>
        <w:spacing w:after="0" w:line="63" w:lineRule="exact"/>
        <w:rPr>
          <w:sz w:val="20"/>
          <w:szCs w:val="20"/>
          <w:color w:val="auto"/>
        </w:rPr>
      </w:pPr>
    </w:p>
    <w:p>
      <w:pPr>
        <w:jc w:val="both"/>
        <w:ind w:left="440"/>
        <w:spacing w:after="0" w:line="275" w:lineRule="auto"/>
        <w:rPr>
          <w:sz w:val="20"/>
          <w:szCs w:val="20"/>
          <w:color w:val="auto"/>
        </w:rPr>
      </w:pPr>
      <w:r>
        <w:rPr>
          <w:rFonts w:ascii="Arial" w:cs="Arial" w:eastAsia="Arial" w:hAnsi="Arial"/>
          <w:sz w:val="17"/>
          <w:szCs w:val="17"/>
          <w:i w:val="1"/>
          <w:iCs w:val="1"/>
          <w:color w:val="auto"/>
        </w:rPr>
        <w:t xml:space="preserve">Just-in-Time Funding: </w:t>
      </w:r>
      <w:r>
        <w:rPr>
          <w:rFonts w:ascii="Arial" w:cs="Arial" w:eastAsia="Arial" w:hAnsi="Arial"/>
          <w:sz w:val="17"/>
          <w:szCs w:val="17"/>
          <w:color w:val="auto"/>
        </w:rPr>
        <w:t>Using Marqeta’s industry-first JIT Funding functionality, Customers can programmatically authorize and fund each</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while participating in the approval decision in real time, freeing up capital and increasing cash flow. Utilizing this feature, each card maintains a zero-amount balance until the card is used and approved in real time, assuming all validations succeed. By configuring an endpoint in a given system, Customers can opt-in to receive and respond to JIT Funding requests from Marqeta and directly participate in the authorization decision. Upon approval, Marqeta automatically moves funds from an identified funding source into the appropriate account.</w:t>
      </w:r>
    </w:p>
    <w:p>
      <w:pPr>
        <w:spacing w:after="0" w:line="68"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color w:val="auto"/>
        </w:rPr>
        <w:t>The following illustration reflects the workflow once a cardholder attempts to make a payment at a merchant using an account configured to use JIT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134620</wp:posOffset>
            </wp:positionV>
            <wp:extent cx="5092065" cy="2082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9206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color w:val="auto"/>
        </w:rPr>
        <w:t>For example, Instacart partners with national, regional, and local retailers, including unique brand names, to offer delivery and/or pickup services across the U.S. and Canada. Instacart shoppers, who pack and deliver customer orders, have a physical or tokenized card issued and powered by Marqeta that they use to make payments in-store. Marqeta helps Instacart authorize transactions at the moment of payment by ensuring the in-store transaction matches the order placed by the customer. Instacart shoppers have zero-balance cards, and the transaction amount and store information are verified before funds are moved, helping reduce fraud and create a more seamless checkout experience. In addition, Marqeta enables Instacart to establish authorization parameters so transactions can only be made at retailers on the Instacart marketplace, which helps minimize transactions at non-approved merchants.</w:t>
      </w:r>
    </w:p>
    <w:p>
      <w:pPr>
        <w:spacing w:after="0" w:line="87" w:lineRule="exact"/>
        <w:rPr>
          <w:sz w:val="20"/>
          <w:szCs w:val="20"/>
          <w:color w:val="auto"/>
        </w:rPr>
      </w:pPr>
    </w:p>
    <w:p>
      <w:pPr>
        <w:jc w:val="both"/>
        <w:ind w:left="440"/>
        <w:spacing w:after="0" w:line="272" w:lineRule="auto"/>
        <w:rPr>
          <w:sz w:val="20"/>
          <w:szCs w:val="20"/>
          <w:color w:val="auto"/>
        </w:rPr>
      </w:pPr>
      <w:r>
        <w:rPr>
          <w:rFonts w:ascii="Arial" w:cs="Arial" w:eastAsia="Arial" w:hAnsi="Arial"/>
          <w:sz w:val="17"/>
          <w:szCs w:val="17"/>
          <w:color w:val="auto"/>
        </w:rPr>
        <w:t>Marqeta’s processing capabilities are important to Customers with on-demand food platforms like DoorDash’s. Marqeta worked closely with the developers behind DoorDash’s delivery platform to help create a solution designed for DoorDash’s needs. Today, when Dashers pick up an order from a restaurant, they can use a Marqeta-powered Red Card to pay at the point of sale. When Dashers pay for an order using their Red Card, Marqeta’s JIT Funding only approves and funds the transaction if the order and amount are accurate, which helps ensure that Dashers are purchasing and delivering the correct order to the consumer. Our Platform also gives DoorDash dynamic, customizable spend controls over the authorization of each transaction. For example, Marqeta’s merchant category code management gives DoorDash the ability to whitelist or blacklist specific merchant category codes to further reduce fraud.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289" w:lineRule="auto"/>
        <w:rPr>
          <w:sz w:val="20"/>
          <w:szCs w:val="20"/>
          <w:color w:val="auto"/>
        </w:rPr>
      </w:pPr>
      <w:r>
        <w:rPr>
          <w:rFonts w:ascii="Arial" w:cs="Arial" w:eastAsia="Arial" w:hAnsi="Arial"/>
          <w:sz w:val="16"/>
          <w:szCs w:val="16"/>
          <w:i w:val="1"/>
          <w:iCs w:val="1"/>
          <w:color w:val="auto"/>
        </w:rPr>
        <w:t xml:space="preserve">Real-time notifications: </w:t>
      </w:r>
      <w:r>
        <w:rPr>
          <w:rFonts w:ascii="Arial" w:cs="Arial" w:eastAsia="Arial" w:hAnsi="Arial"/>
          <w:sz w:val="16"/>
          <w:szCs w:val="16"/>
          <w:color w:val="auto"/>
        </w:rPr>
        <w:t>Our Platform delivers rich functionality built around our core capabilities in issuing and processing. Customers can</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 our unique webhooks or push notification capabilities to receive real-time updates as transactions are processed on the Marqeta Platform. Turning on these notifications empowers our Customers to provide real-time, meaningful messages to their end users. For example, as soon as a food delivery order is paid for, a Customer can receive a push notification from Marqeta and use it to generate an SMS to notify its cardholders (e.g., “Your order will arrive shortly.”). Our Platform supports several event types, including card events, dispute events, and transaction events. For example, cardholders will receive notifications on returns and refunds as they occur to help our Customers apply the right amount of credit to accounts in a timely manner. For dual-message transactions where clearing and settlement happen after authorization (e.g., restaurant tips after the meal price is authorized), Marqeta receives clearing files from the Card Network, processes the included transactions, creates the respective transaction on the Marqeta Platform, and communicates to Marqeta’s Customer via push notification.</w:t>
      </w:r>
    </w:p>
    <w:p>
      <w:pPr>
        <w:spacing w:after="0" w:line="58"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Accelerates reconciliations: </w:t>
      </w:r>
      <w:r>
        <w:rPr>
          <w:rFonts w:ascii="Arial" w:cs="Arial" w:eastAsia="Arial" w:hAnsi="Arial"/>
          <w:sz w:val="18"/>
          <w:szCs w:val="18"/>
          <w:color w:val="auto"/>
        </w:rPr>
        <w:t>Our Platform saves our Customers both time and money. By injecting custom data fields into each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can optimize and accelerate reconciliations by matching the order and ledger system records automatically. For example, inserting a “Booking ID” into the transaction can help our online travel agency Customers more quickly correlate records (e.g., records from the ordering system) with transactions through our Platform.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Applications</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Using the Marqeta Platform, Customers can leverage applications that cover the entire payments lifecycle, including the developer sandbox, card management, transaction monitoring, and case management. These applications help ensure their programs are as successful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187960</wp:posOffset>
            </wp:positionV>
            <wp:extent cx="428625"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8625" cy="20574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127635</wp:posOffset>
            </wp:positionV>
            <wp:extent cx="428625" cy="265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8625" cy="26543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119380</wp:posOffset>
            </wp:positionV>
            <wp:extent cx="419735" cy="274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97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0"/>
        <w:spacing w:after="0"/>
        <w:tabs>
          <w:tab w:leader="none" w:pos="4780" w:val="left"/>
          <w:tab w:leader="none" w:pos="8700" w:val="left"/>
        </w:tabs>
        <w:rPr>
          <w:sz w:val="20"/>
          <w:szCs w:val="20"/>
          <w:color w:val="auto"/>
        </w:rPr>
      </w:pPr>
      <w:r>
        <w:rPr>
          <w:rFonts w:ascii="Arial" w:cs="Arial" w:eastAsia="Arial" w:hAnsi="Arial"/>
          <w:sz w:val="18"/>
          <w:szCs w:val="18"/>
          <w:b w:val="1"/>
          <w:bCs w:val="1"/>
          <w:color w:val="auto"/>
        </w:rPr>
        <w:t>Developer tools</w:t>
      </w:r>
      <w:r>
        <w:rPr>
          <w:sz w:val="20"/>
          <w:szCs w:val="20"/>
          <w:color w:val="auto"/>
        </w:rPr>
        <w:tab/>
      </w:r>
      <w:r>
        <w:rPr>
          <w:rFonts w:ascii="Arial" w:cs="Arial" w:eastAsia="Arial" w:hAnsi="Arial"/>
          <w:sz w:val="18"/>
          <w:szCs w:val="18"/>
          <w:b w:val="1"/>
          <w:bCs w:val="1"/>
          <w:color w:val="auto"/>
        </w:rPr>
        <w:t>Program administration</w:t>
      </w:r>
      <w:r>
        <w:rPr>
          <w:sz w:val="20"/>
          <w:szCs w:val="20"/>
          <w:color w:val="auto"/>
        </w:rPr>
        <w:tab/>
      </w:r>
      <w:r>
        <w:rPr>
          <w:rFonts w:ascii="Arial" w:cs="Arial" w:eastAsia="Arial" w:hAnsi="Arial"/>
          <w:sz w:val="16"/>
          <w:szCs w:val="16"/>
          <w:b w:val="1"/>
          <w:bCs w:val="1"/>
          <w:color w:val="auto"/>
        </w:rPr>
        <w:t>Fraud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171450</wp:posOffset>
            </wp:positionV>
            <wp:extent cx="428625" cy="291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8625" cy="29146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188595</wp:posOffset>
            </wp:positionV>
            <wp:extent cx="351155" cy="274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1155" cy="27432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188595</wp:posOffset>
            </wp:positionV>
            <wp:extent cx="428625" cy="274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86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spacing w:after="0"/>
        <w:tabs>
          <w:tab w:leader="none" w:pos="4700" w:val="left"/>
          <w:tab w:leader="none" w:pos="8700" w:val="left"/>
        </w:tabs>
        <w:rPr>
          <w:sz w:val="20"/>
          <w:szCs w:val="20"/>
          <w:color w:val="auto"/>
        </w:rPr>
      </w:pPr>
      <w:r>
        <w:rPr>
          <w:rFonts w:ascii="Arial" w:cs="Arial" w:eastAsia="Arial" w:hAnsi="Arial"/>
          <w:sz w:val="18"/>
          <w:szCs w:val="18"/>
          <w:b w:val="1"/>
          <w:bCs w:val="1"/>
          <w:color w:val="auto"/>
        </w:rPr>
        <w:t>Case management</w:t>
      </w:r>
      <w:r>
        <w:rPr>
          <w:sz w:val="20"/>
          <w:szCs w:val="20"/>
          <w:color w:val="auto"/>
        </w:rPr>
        <w:tab/>
      </w:r>
      <w:r>
        <w:rPr>
          <w:rFonts w:ascii="Arial" w:cs="Arial" w:eastAsia="Arial" w:hAnsi="Arial"/>
          <w:sz w:val="18"/>
          <w:szCs w:val="18"/>
          <w:b w:val="1"/>
          <w:bCs w:val="1"/>
          <w:color w:val="auto"/>
        </w:rPr>
        <w:t>Compliance and reporting</w:t>
      </w:r>
      <w:r>
        <w:rPr>
          <w:sz w:val="20"/>
          <w:szCs w:val="20"/>
          <w:color w:val="auto"/>
        </w:rPr>
        <w:tab/>
      </w:r>
      <w:r>
        <w:rPr>
          <w:rFonts w:ascii="Arial" w:cs="Arial" w:eastAsia="Arial" w:hAnsi="Arial"/>
          <w:sz w:val="16"/>
          <w:szCs w:val="16"/>
          <w:b w:val="1"/>
          <w:bCs w:val="1"/>
          <w:color w:val="auto"/>
        </w:rPr>
        <w:t>Data intelligence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applications allow Customers to:</w:t>
      </w:r>
    </w:p>
    <w:p>
      <w:pPr>
        <w:spacing w:after="0" w:line="117"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Utilize developer tools: </w:t>
      </w:r>
      <w:r>
        <w:rPr>
          <w:rFonts w:ascii="Arial" w:cs="Arial" w:eastAsia="Arial" w:hAnsi="Arial"/>
          <w:sz w:val="18"/>
          <w:szCs w:val="18"/>
          <w:color w:val="auto"/>
        </w:rPr>
        <w:t>Developers have access to Marqeta’s wealth of tools, including a private sandbox, APIs, SDKs, widgets, and documentation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customize, test, and issue their cards and programs. With multiple API endpoints, developers can configure spend controls, simulate transaction processing, and quickly roll out new features with confidence.</w:t>
      </w:r>
    </w:p>
    <w:p>
      <w:pPr>
        <w:spacing w:after="0" w:line="76"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Streamline program administration: </w:t>
      </w:r>
      <w:r>
        <w:rPr>
          <w:rFonts w:ascii="Arial" w:cs="Arial" w:eastAsia="Arial" w:hAnsi="Arial"/>
          <w:sz w:val="18"/>
          <w:szCs w:val="18"/>
          <w:color w:val="auto"/>
        </w:rPr>
        <w:t>Our Platform is transforming how our Customers can approach program administration. We offer tools 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 program funds, monitor cardholder balances, report lost or stolen cards, and view a multitude of white-labeled reports, all through a single application.</w:t>
      </w:r>
    </w:p>
    <w:p>
      <w:pPr>
        <w:spacing w:after="0" w:line="76" w:lineRule="exact"/>
        <w:rPr>
          <w:sz w:val="20"/>
          <w:szCs w:val="20"/>
          <w:color w:val="auto"/>
        </w:rPr>
      </w:pPr>
    </w:p>
    <w:p>
      <w:pPr>
        <w:jc w:val="both"/>
        <w:ind w:left="440" w:right="20"/>
        <w:spacing w:after="0" w:line="301" w:lineRule="auto"/>
        <w:rPr>
          <w:sz w:val="20"/>
          <w:szCs w:val="20"/>
          <w:color w:val="auto"/>
        </w:rPr>
      </w:pPr>
      <w:r>
        <w:rPr>
          <w:rFonts w:ascii="Arial" w:cs="Arial" w:eastAsia="Arial" w:hAnsi="Arial"/>
          <w:sz w:val="16"/>
          <w:szCs w:val="16"/>
          <w:i w:val="1"/>
          <w:iCs w:val="1"/>
          <w:color w:val="auto"/>
        </w:rPr>
        <w:t xml:space="preserve">Reduce and mitigate fraud: </w:t>
      </w:r>
      <w:r>
        <w:rPr>
          <w:rFonts w:ascii="Arial" w:cs="Arial" w:eastAsia="Arial" w:hAnsi="Arial"/>
          <w:sz w:val="16"/>
          <w:szCs w:val="16"/>
          <w:color w:val="auto"/>
        </w:rPr>
        <w:t>We offer unique functionality to help card issuers combat fraud. Using Marqeta’s powerful authorization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decisioning engine, Customers can configure rules using a variety of inputs that approve or decline transactions based on real-time and dynamic parameters. This along with our KYC, 3D Secure, and dispute management services provide a multi-layer security framework, helping our Customers detect and prevent unauthorized, fraudulent activities, while empowering them to create frictionless experiences for their customers.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i w:val="1"/>
          <w:iCs w:val="1"/>
          <w:color w:val="auto"/>
        </w:rPr>
        <w:t xml:space="preserve">Manage cases and resolve disputes: </w:t>
      </w:r>
      <w:r>
        <w:rPr>
          <w:rFonts w:ascii="Arial" w:cs="Arial" w:eastAsia="Arial" w:hAnsi="Arial"/>
          <w:sz w:val="18"/>
          <w:szCs w:val="18"/>
          <w:color w:val="auto"/>
        </w:rPr>
        <w:t>Marqeta’s case management API endpoints help our Customers to optimize the entire dispute process.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submitting disputes, receiving statements, participating in arbitration, all while receiving live status updates via push notifications. Our holistic solution helps to simplify case management while enabling an optimized experience for the end user.</w:t>
      </w:r>
    </w:p>
    <w:p>
      <w:pPr>
        <w:spacing w:after="0" w:line="76" w:lineRule="exact"/>
        <w:rPr>
          <w:sz w:val="20"/>
          <w:szCs w:val="20"/>
          <w:color w:val="auto"/>
        </w:rPr>
      </w:pPr>
    </w:p>
    <w:p>
      <w:pPr>
        <w:jc w:val="both"/>
        <w:ind w:left="440" w:right="20"/>
        <w:spacing w:after="0" w:line="296" w:lineRule="auto"/>
        <w:rPr>
          <w:sz w:val="20"/>
          <w:szCs w:val="20"/>
          <w:color w:val="auto"/>
        </w:rPr>
      </w:pPr>
      <w:r>
        <w:rPr>
          <w:rFonts w:ascii="Arial" w:cs="Arial" w:eastAsia="Arial" w:hAnsi="Arial"/>
          <w:sz w:val="16"/>
          <w:szCs w:val="16"/>
          <w:i w:val="1"/>
          <w:iCs w:val="1"/>
          <w:color w:val="auto"/>
        </w:rPr>
        <w:t xml:space="preserve">Simplify compliance and reporting: </w:t>
      </w:r>
      <w:r>
        <w:rPr>
          <w:rFonts w:ascii="Arial" w:cs="Arial" w:eastAsia="Arial" w:hAnsi="Arial"/>
          <w:sz w:val="16"/>
          <w:szCs w:val="16"/>
          <w:color w:val="auto"/>
        </w:rPr>
        <w:t>With our Platform, Customers can monitor and review reports for potential violations and leverage data and</w:t>
      </w:r>
      <w:r>
        <w:rPr>
          <w:rFonts w:ascii="Arial" w:cs="Arial" w:eastAsia="Arial" w:hAnsi="Arial"/>
          <w:sz w:val="16"/>
          <w:szCs w:val="16"/>
          <w:i w:val="1"/>
          <w:iCs w:val="1"/>
          <w:color w:val="auto"/>
        </w:rPr>
        <w:t xml:space="preserve"> </w:t>
      </w:r>
      <w:r>
        <w:rPr>
          <w:rFonts w:ascii="Arial" w:cs="Arial" w:eastAsia="Arial" w:hAnsi="Arial"/>
          <w:sz w:val="16"/>
          <w:szCs w:val="16"/>
          <w:color w:val="auto"/>
        </w:rPr>
        <w:t>insights for compliance reporting such as anti-money-laundering and Bank Secrecy Act, or BSA, monitoring, as well as know-your-customer requirements. We provide valuable insights, including foreign transactions made by a cardholder, and the number of times a cardholder withdraws or transfers money in a day. We are compliant with industry regulations for data security and privacy. Our solutions are certified as compliant with PCI DSS and 3DS, among others. Our bank-grade encryption safeguards payment card data, including personally identifiable information.</w:t>
      </w:r>
    </w:p>
    <w:p>
      <w:pPr>
        <w:spacing w:after="0" w:line="53"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Analyze data intelligence: </w:t>
      </w:r>
      <w:r>
        <w:rPr>
          <w:rFonts w:ascii="Arial" w:cs="Arial" w:eastAsia="Arial" w:hAnsi="Arial"/>
          <w:sz w:val="16"/>
          <w:szCs w:val="16"/>
          <w:color w:val="auto"/>
        </w:rPr>
        <w:t>We dissect and analyze transaction data. Customers can monitor balances, authorizations, and settlements over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track every aspect of their card program. Customers can see chargebacks, declined transactions, and card activities on a regular basis, while data can be reported on a daily, weekly, or monthly cadence. Data is easily filtered by date, transaction type, and Card Network to monitor program details.</w:t>
      </w:r>
    </w:p>
    <w:p>
      <w:pPr>
        <w:spacing w:after="0" w:line="14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Our applications are integrated into some of the largest innovators globally. We help Klarna improve shopping experiences as they offer payment, social shopping, and personal financing services to over 250,000 merchants and 90 million consumers. Klarna set out to empower consumers to buy what they want today and pay later with interest-free installments over time, all in a seamless checkout experience. Klarna offers an alternative way to make purchases with its Pay Later offering by instantly issuing customers a single-use virtual card, powered by Marqeta, that customers can use to check out at online or in-store merchants. Klarna’s developers use Marqeta’s private sandbox to test and launch new programs with an accelerated time-to-market, while the breadth and simplicity of our APIs enables Klarna to make modifications and iterate rapidly once launched. The data insights offered by our Platform enable Klarna to execute targeted promotions to its customers and manage cases and chargebacks autonomously. Klarna chose Marqeta to help launch its U.S. operations, quickly followed by a successful launch in Australia. With our build once, deploy anywhere model, Klarna can rely on Marqeta as a trusted partner and to support its global growth ambitions.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4</w:t>
      </w:r>
      <w:r>
        <w:rPr>
          <w:rFonts w:ascii="Arial" w:cs="Arial" w:eastAsia="Arial" w:hAnsi="Arial"/>
          <w:sz w:val="18"/>
          <w:szCs w:val="18"/>
          <w:color w:val="auto"/>
        </w:rPr>
        <w:t xml:space="preserve"> and during the twelve-month period ended December 31, 2020, we processed approximately 1.6 billion transactions on our Platform across the globe.</w:t>
      </w:r>
    </w:p>
    <w:p>
      <w:pPr>
        <w:spacing w:after="0" w:line="18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employ a usage-based model, based on processing volume,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Interchange Fees are transaction- and volume-based fees paid by the Acquiring Bank to the Issuing Bank that issued the payment card used to purchase goods or services from the merchant. Our agreements with Issuing Banks provide that we receive 100% of the Interchange Fees for processing our Customers’ card transactions. Our Customer contracts typically include provisions under which we share a portion of Interchange Fees with our Customers, referred to as “Revenue Share.” As Customers increase processing volumes on our Platform, they may earn an increased percentage of Revenue Share. Sharing an increased percentage of Interchange Fees with our Customers aligns our interests with our Customers’ growth and builds deeper 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440" w:hanging="324"/>
        <w:spacing w:after="0"/>
        <w:tabs>
          <w:tab w:leader="none" w:pos="440" w:val="left"/>
        </w:tabs>
        <w:numPr>
          <w:ilvl w:val="0"/>
          <w:numId w:val="46"/>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we strive to democratize payments and simplify card issuing and transaction processing, our strategic partnerships and direct integrations with Issuing Banks and Card Networks are important to our customer value proposition. Greater processing volume also allows us to achieve better volume pricing with our Issuing Banks and Card Networks, which we can pass along to our Customers. This, in turn, can make our product offerings more competitive.</w:t>
      </w:r>
    </w:p>
    <w:p>
      <w:pPr>
        <w:spacing w:after="0" w:line="18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Platform enables new and existing Customers to create innovative and configurable card issuing programs and to increase their processing volumes. Additionally, as we expand our use cases, product offerings, and global footprint, we help our Customers expand into new verticals, programs, markets, and geographies. We have experienced significant success with this strategy to date. We achieved year-over-year net revenue growth of 103% for the year ended December 31, 2020 and dollar-based net revenue retention of over 200% for each of the years ended December 31, 2019 and 2020.</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We believe we have the first-mover advantage and we have leveraged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establish strong brand recognition and capture significant market share in an industry where customer retention is key and innovation can provide outsized rewards. We believe being first in the market </w:t>
      </w:r>
      <w:r>
        <w:rPr>
          <w:rFonts w:ascii="Arial" w:cs="Arial" w:eastAsia="Arial" w:hAnsi="Arial"/>
          <w:sz w:val="18"/>
          <w:szCs w:val="18"/>
          <w:i w:val="1"/>
          <w:iCs w:val="1"/>
          <w:color w:val="auto"/>
        </w:rPr>
        <w:t>and</w:t>
      </w:r>
      <w:r>
        <w:rPr>
          <w:rFonts w:ascii="Arial" w:cs="Arial" w:eastAsia="Arial" w:hAnsi="Arial"/>
          <w:sz w:val="18"/>
          <w:szCs w:val="18"/>
          <w:color w:val="auto"/>
        </w:rPr>
        <w:t xml:space="preserve"> one of the only modern platforms focused on issuing and processing gives us a deep moat of technology, customer, and industry expertise. Our modern Platform offers multiple issuing and processing innovations, including open APIs, JIT Funding, and Tokenization as a Service. We continue to innovate on our Platform, and we believe that this innovation, coupled with our deep expertise, keeps us in a market-leading position.</w:t>
      </w:r>
    </w:p>
    <w:p>
      <w:pPr>
        <w:spacing w:after="0" w:line="84"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b w:val="1"/>
          <w:bCs w:val="1"/>
          <w:i w:val="1"/>
          <w:iCs w:val="1"/>
          <w:color w:val="auto"/>
        </w:rPr>
        <w:t xml:space="preserve">Widening the Gap via Continuous Innovation: </w:t>
      </w:r>
      <w:r>
        <w:rPr>
          <w:rFonts w:ascii="Arial" w:cs="Arial" w:eastAsia="Arial" w:hAnsi="Arial"/>
          <w:sz w:val="17"/>
          <w:szCs w:val="17"/>
          <w:color w:val="auto"/>
        </w:rPr>
        <w:t>We believe that we continually increase our market-leading position by innovating on our flexible,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b w:val="1"/>
          <w:bCs w:val="1"/>
          <w:i w:val="1"/>
          <w:iCs w:val="1"/>
          <w:color w:val="auto"/>
        </w:rPr>
        <w:t xml:space="preserve">Enduring Customer Relationships: </w:t>
      </w:r>
      <w:r>
        <w:rPr>
          <w:rFonts w:ascii="Arial" w:cs="Arial" w:eastAsia="Arial" w:hAnsi="Arial"/>
          <w:sz w:val="16"/>
          <w:szCs w:val="16"/>
          <w:color w:val="auto"/>
        </w:rPr>
        <w:t>Our dollar-based net revenue retention was 200% for each of the years ended December 31, 2019 and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illustrating the 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6"/>
          <w:szCs w:val="16"/>
          <w:i w:val="1"/>
          <w:iCs w:val="1"/>
          <w:color w:val="auto"/>
        </w:rPr>
        <w:t>technically</w:t>
      </w:r>
      <w:r>
        <w:rPr>
          <w:rFonts w:ascii="Arial" w:cs="Arial" w:eastAsia="Arial" w:hAnsi="Arial"/>
          <w:sz w:val="16"/>
          <w:szCs w:val="16"/>
          <w:color w:val="auto"/>
        </w:rPr>
        <w:t xml:space="preserve"> integrated within their products and solutions, </w:t>
      </w:r>
      <w:r>
        <w:rPr>
          <w:rFonts w:ascii="Arial" w:cs="Arial" w:eastAsia="Arial" w:hAnsi="Arial"/>
          <w:sz w:val="16"/>
          <w:szCs w:val="16"/>
          <w:i w:val="1"/>
          <w:iCs w:val="1"/>
          <w:color w:val="auto"/>
        </w:rPr>
        <w:t>operationally</w:t>
      </w:r>
      <w:r>
        <w:rPr>
          <w:rFonts w:ascii="Arial" w:cs="Arial" w:eastAsia="Arial" w:hAnsi="Arial"/>
          <w:sz w:val="16"/>
          <w:szCs w:val="16"/>
          <w:color w:val="auto"/>
        </w:rPr>
        <w:t xml:space="preserve"> integrated as Customers develop core processes around our tools and platform, and </w:t>
      </w:r>
      <w:r>
        <w:rPr>
          <w:rFonts w:ascii="Arial" w:cs="Arial" w:eastAsia="Arial" w:hAnsi="Arial"/>
          <w:sz w:val="16"/>
          <w:szCs w:val="16"/>
          <w:i w:val="1"/>
          <w:iCs w:val="1"/>
          <w:color w:val="auto"/>
        </w:rPr>
        <w:t>culturally</w:t>
      </w:r>
      <w:r>
        <w:rPr>
          <w:rFonts w:ascii="Arial" w:cs="Arial" w:eastAsia="Arial" w:hAnsi="Arial"/>
          <w:sz w:val="16"/>
          <w:szCs w:val="16"/>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5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b w:val="1"/>
          <w:bCs w:val="1"/>
          <w:i w:val="1"/>
          <w:iCs w:val="1"/>
          <w:color w:val="auto"/>
        </w:rPr>
        <w:t xml:space="preserve">People-centric Culture and Values: </w:t>
      </w:r>
      <w:r>
        <w:rPr>
          <w:rFonts w:ascii="Arial" w:cs="Arial" w:eastAsia="Arial" w:hAnsi="Arial"/>
          <w:sz w:val="18"/>
          <w:szCs w:val="18"/>
          <w:color w:val="auto"/>
        </w:rPr>
        <w:t>Nothing is more powerful than a unified team focused on collective results. We believe our culture of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also believe our culture helps us hire and retain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best-in-class talent. We believe we have created an environment where everyone belongs, and employees are empowered to do the best work of their lives.</w:t>
      </w:r>
    </w:p>
    <w:p>
      <w:pPr>
        <w:spacing w:after="0" w:line="170"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 xml:space="preserve">The aggregate effect of these strengths and advantages is a strong competitive moat, predicated on our scale, Customer relationships, and the technological complexities that we have managed to streamline over time, while remaining agile, extensible, and innovative. We believe it would require a significant commitment of time and resources for a potential competitor to </w:t>
      </w:r>
      <w:r>
        <w:rPr>
          <w:rFonts w:ascii="Arial" w:cs="Arial" w:eastAsia="Arial" w:hAnsi="Arial"/>
          <w:sz w:val="16"/>
          <w:szCs w:val="16"/>
          <w:i w:val="1"/>
          <w:iCs w:val="1"/>
          <w:color w:val="auto"/>
        </w:rPr>
        <w:t>imitate</w:t>
      </w:r>
      <w:r>
        <w:rPr>
          <w:rFonts w:ascii="Arial" w:cs="Arial" w:eastAsia="Arial" w:hAnsi="Arial"/>
          <w:sz w:val="16"/>
          <w:szCs w:val="16"/>
          <w:color w:val="auto"/>
        </w:rPr>
        <w:t xml:space="preserve"> our Platform. We also believe that we have and continue to build significant technical know-how and card issuing and transaction processing expertise so that potential competitors cannot easily </w:t>
      </w:r>
      <w:r>
        <w:rPr>
          <w:rFonts w:ascii="Arial" w:cs="Arial" w:eastAsia="Arial" w:hAnsi="Arial"/>
          <w:sz w:val="16"/>
          <w:szCs w:val="16"/>
          <w:i w:val="1"/>
          <w:iCs w:val="1"/>
          <w:color w:val="auto"/>
        </w:rPr>
        <w:t>replicate</w:t>
      </w:r>
      <w:r>
        <w:rPr>
          <w:rFonts w:ascii="Arial" w:cs="Arial" w:eastAsia="Arial" w:hAnsi="Arial"/>
          <w:sz w:val="16"/>
          <w:szCs w:val="16"/>
          <w:color w:val="auto"/>
        </w:rPr>
        <w:t xml:space="preserve"> our business. We believe these structural advantages, and our culture and values driven business, should enable us to extend our lead over time.</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believe the opportunity within payments and modern card issuing is tremendous. Euromonitor projects that global money movement will exceed $74 trillion in 2021, representing approximately 4 trillion individual payment transactions. The Nilson Report estimates that in 2019, approximately one-tenth of these transactions was carried out across global network cards, representing approximately $30 trillion of value exchanged. In 2020, the Marqeta Platform processed $60.1 billion of volume. This is less than 1% of the annual $6.7 trillion of transaction volume conducted through U.S. issuers in 2020, as estimated by The Nilson Report. We believe that our share of this massive opportunity will continue to increase due to our unique Platform, competitive advantages, and a strong culture of innovation.</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transaction volumes today. Based on the Edgar Dunn study, these new verticals represented over $2 trillion of card transaction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on our Platform and TPV both rapidly grow. Today, the top 20 U.S. issuers support the processing of more than $4.5 trillion in annual transaction volume, according to The Nilson Report. Our Platform is sought out by large financial institutions to improve their existing offerings and stay competitive with digitally native new market entrants.</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Marqeta continues to expand its international footprint and capabilities, we expect to leverage our Customers’ international growth, as well as onboarding new international Customers.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market opportunity is tremendous, and we intend to expand our addressable market and increase our revenue by pursuing the following strategies:</w:t>
      </w:r>
    </w:p>
    <w:p>
      <w:pPr>
        <w:spacing w:after="0" w:line="140"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b w:val="1"/>
          <w:bCs w:val="1"/>
          <w:i w:val="1"/>
          <w:iCs w:val="1"/>
          <w:color w:val="auto"/>
        </w:rPr>
        <w:t xml:space="preserve">Grow With Our Existing Customers. </w:t>
      </w:r>
      <w:r>
        <w:rPr>
          <w:rFonts w:ascii="Arial" w:cs="Arial" w:eastAsia="Arial" w:hAnsi="Arial"/>
          <w:sz w:val="16"/>
          <w:szCs w:val="16"/>
          <w:color w:val="auto"/>
        </w:rPr>
        <w:t>Our current Customers include some of today’s leading commerce disruptors, digital banks, tech giants, and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Many of these Customers are experiencing rapid growth on our Platform. We participate in our Customers’ growth alongside them because as our Customers’ businesses scale and their processing volumes increase, so does our revenue. Through our Platform and business strategy, we become an integral part of our Customers’ operations and a trusted partner in enabling their success. We intend to retain and expand our existing Customer relationships through excellent Platform performance, Customer service, and further innovations to our products and services.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b w:val="1"/>
          <w:bCs w:val="1"/>
          <w:i w:val="1"/>
          <w:iCs w:val="1"/>
          <w:color w:val="auto"/>
        </w:rPr>
        <w:t xml:space="preserve">Onboard New Customers. </w:t>
      </w:r>
      <w:r>
        <w:rPr>
          <w:rFonts w:ascii="Arial" w:cs="Arial" w:eastAsia="Arial" w:hAnsi="Arial"/>
          <w:sz w:val="17"/>
          <w:szCs w:val="17"/>
          <w:color w:val="auto"/>
        </w:rPr>
        <w:t>We believe our opportunity to attract new Customers to our Platform is massive. Market shifts towards digitization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 for modern card issuing and transaction processing is increasingly becoming a necessity for a greater number and variety of businesses globally. We intend to solidify our reach in existing categories and expand to new use cases and industry verticals. Our sales teams focus on attracting an even greater number of commerce disruptors, digital banks, and tech giants. We also intend to expand our relationships with large financial institutions as we help them compete in the new digitized world through our industry-leading solutions. We intend to attract and engage new Customers through customer referrals from existing Customers, marketing campaigns, outbound sales calls, and key industry conferences and tradeshows. We will also look for opportunities to grow through strategic partnerships and acquisitions.</w:t>
      </w:r>
    </w:p>
    <w:p>
      <w:pPr>
        <w:spacing w:after="0" w:line="6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Broaden Our Global Reach. </w:t>
      </w:r>
      <w:r>
        <w:rPr>
          <w:rFonts w:ascii="Arial" w:cs="Arial" w:eastAsia="Arial" w:hAnsi="Arial"/>
          <w:sz w:val="18"/>
          <w:szCs w:val="18"/>
          <w:color w:val="auto"/>
        </w:rPr>
        <w:t>We are currently certified to operate in 36 countries across North America, Europe, and Asia-Pacific and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our international expansion in the future. Because our Customers employ digital models that transcend borders, we are constantly extending our Platform’s reach. This allows us to offer a single global Platform to all Customers, no matter where they originate or how they expand. With Marqeta, developers only have to integrate once to gain access to a global market and to take advantage of all of the tools our Platform offers for a global reach.</w:t>
      </w:r>
    </w:p>
    <w:p>
      <w:pPr>
        <w:spacing w:after="0" w:line="80"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 xml:space="preserve">Develop New Products and Services. </w:t>
      </w:r>
      <w:r>
        <w:rPr>
          <w:rFonts w:ascii="Arial" w:cs="Arial" w:eastAsia="Arial" w:hAnsi="Arial"/>
          <w:sz w:val="18"/>
          <w:szCs w:val="18"/>
          <w:color w:val="auto"/>
        </w:rPr>
        <w:t>Our closely integrated relationships with our Customers and deep insight into our Customers’ transaction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us to anticipate our Customers’ product needs and emerging market opportunities. Our modern card issuing Platform and best-in-class APIs allow us to rapidly develop new products, features, and use cases to serve our current and future Customers. For example, in 2020, we debuted Marqeta’s Tokenization as a Service product. Tokenization as a Service allows non-Marqeta card programs to benefit from our modern card issuing Platform, tokenization expertise, and built-in certifications with digital wallets and the Card Networks. This new offering is available for any card type —including cards not directly issued on the Marqeta Platform—and is used to instantly provision cards into a mobile wallet. In February 2021, we launched credit servicing capabilities on our Platform, which we believe makes us the only modern card issuing platform that supports every card type —prepaid, debit, and credit.</w:t>
      </w:r>
    </w:p>
    <w:p>
      <w:pPr>
        <w:spacing w:after="0" w:line="84"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 xml:space="preserve">Expand Our Platform. </w:t>
      </w:r>
      <w:r>
        <w:rPr>
          <w:rFonts w:ascii="Arial" w:cs="Arial" w:eastAsia="Arial" w:hAnsi="Arial"/>
          <w:sz w:val="18"/>
          <w:szCs w:val="18"/>
          <w:color w:val="auto"/>
        </w:rPr>
        <w:t>Our vision is to democratize money movement globally. Over time, we intend to broaden our Platform by introducing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and functionality to meet the evolving money movement needs of our Customer base. We will continue to invest in our Platform to create additional deployment controls, increased stability, greater flexibility, and data-driven decision-making, all within increasingly shorter timeframes. We plan to build new APIs to deliver for our Customers and expand our migration to the cloud to provide enhanced scalability, paving the way for data localization options and reducing our maintenance burden. We continue to deepen our ability to execute in and across multiple regions so our Customers can expand their businesses globally while keeping the same single underlying processing platform interfaces and execution. We initially targeted card issuing through a modern and disruptive lens, and we believe we can leverage our Platform to replicate our success in other areas of the payments ecosystem.</w:t>
      </w:r>
    </w:p>
    <w:p>
      <w:pPr>
        <w:spacing w:after="0" w:line="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Invest In Our People. </w:t>
      </w:r>
      <w:r>
        <w:rPr>
          <w:rFonts w:ascii="Arial" w:cs="Arial" w:eastAsia="Arial" w:hAnsi="Arial"/>
          <w:sz w:val="18"/>
          <w:szCs w:val="18"/>
          <w:color w:val="auto"/>
        </w:rPr>
        <w:t>We believe we can advance our growth strategies because of our deeply talented team. As of December 31, 2020, 51%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were part of our Product, Technology, and Design teams. We intend to continue to invest in talent to further increase both the depth and breadth of our products and services. We believe we have already attracted some of the world’s best technical talent. The majority of the team works in Oakland, a culturally rich and diverse community adjacent to Silicon Valley, while others are part of our dispersed workforce. Our geographic flexibility enables us to attract top tier talent from a large pool of candidates.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Culture &amp; Values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1242695" cy="11144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4269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realized some time ago that words like “company” and “customer” are just another way to say “people.” Companies are collections of people who unite behind a common mission and then align behind values that bind them together. Each person on our team is called a Marqetan. On their first day, we share with each Marqetan our values. Key among these is “Everyone Belongs.”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Every Marqetan brings their authentic self to work every day. When a new Marqetan walks through the door, we strive to make that person feel that they belong and are empowered to do the best work of their lives. We respect, value, and include each other, demonstrating empathy and celebrating diversity.</w:t>
      </w:r>
    </w:p>
    <w:p>
      <w:pPr>
        <w:spacing w:after="0" w:line="184"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part of our onboarding process, we also ask each new employee an empowering question: “What is your superpower?” We believe everyone has a superpower. It might be singing, it might be baking, it might be coding. Whatever it is, we want that person to embrace it, share it, and celebrate all of our unique abilities, viewpoints, and personalities together as Marqetans. United, these superpowers allow us to be more than just the sum of the people who work at Marqeta. With over 500 Marqetans, we believe that each Marqetan brings their own unique superpower to the company. The humanity of our collective superpowers and individuality is the driving force behind Marqeta’s category-defining technology and modern card issuing Platform. People come to Marqeta to do the best work of their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1251585" cy="1028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5158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Nothing is more powerful than a unified team of people who are focused on the results of the team over their individual success. If you want to go fast, go alone. If you want to go far, go together.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do what’s right for all of us, not one of us. We succeed together. We center our products and services around openness, accessibility, and simplicity.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relationships are with partners who align with our values of trust, transparency, and inclusiveness.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543050" cy="10026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 xml:space="preserve">Customers are the people we seek to delight every day. Our Customers consistently tell us that our ability to work at speed, cut through complexity, and always have their end users’ experience at heart helps them focus on what they do best – </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build enduring and trusting relationships with our Customers, setting the bar high, and striving to exceed them every day through delightful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097280" cy="10629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9728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Because of our value of Lead Innovation, we believe we are the first modern Platform to market with multiple issuing and processing innovations, including the first open APIs, JIT Funding, and Tokenization as a Service.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love to lean into the unknown and find the path forward. We welcome the new, embrace change and challenge limits, and find new heights.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 xml:space="preserve">Success is measured in results. At our heart, we are developers who build for developers, and we have not forgotten our entrepreneurial roots. Customers have chosen to build and scale their businesses on our Platform because we understand that </w:t>
      </w:r>
      <w:r>
        <w:rPr>
          <w:rFonts w:ascii="Arial" w:cs="Arial" w:eastAsia="Arial" w:hAnsi="Arial"/>
          <w:sz w:val="16"/>
          <w:szCs w:val="16"/>
          <w:i w:val="1"/>
          <w:iCs w:val="1"/>
          <w:color w:val="auto"/>
        </w:rPr>
        <w:t>our</w:t>
      </w:r>
      <w:r>
        <w:rPr>
          <w:rFonts w:ascii="Arial" w:cs="Arial" w:eastAsia="Arial" w:hAnsi="Arial"/>
          <w:sz w:val="16"/>
          <w:szCs w:val="16"/>
          <w:color w:val="auto"/>
        </w:rPr>
        <w:t xml:space="preserve"> Customers need to deliver for </w:t>
      </w:r>
      <w:r>
        <w:rPr>
          <w:rFonts w:ascii="Arial" w:cs="Arial" w:eastAsia="Arial" w:hAnsi="Arial"/>
          <w:sz w:val="16"/>
          <w:szCs w:val="16"/>
          <w:i w:val="1"/>
          <w:iCs w:val="1"/>
          <w:color w:val="auto"/>
        </w:rPr>
        <w:t>their</w:t>
      </w:r>
      <w:r>
        <w:rPr>
          <w:rFonts w:ascii="Arial" w:cs="Arial" w:eastAsia="Arial" w:hAnsi="Arial"/>
          <w:sz w:val="16"/>
          <w:szCs w:val="16"/>
          <w:color w:val="auto"/>
        </w:rPr>
        <w:t xml:space="preserve"> customers.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keep it simple and find a solution. We act like owners and deliver the best outcome for the Customer. We are reliable and consistent.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019810" cy="11055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1981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Quality is at the heart of everything we build. At its core, quality means that we meet or exceed every Customer’s expectations.</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are proud of the work we do and strive to improve it every day. Everything we build is strong, sturdy, and lasting. When you provide high-quality products and do great work, people remember it and trust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011555" cy="1045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1155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purpose has never been more clear: pay it forward. We aspire to a positive global impact by making complex payment infrastructure accessible and leveling the playing field for innovation and financial access across communities. Our celebration of diversity and community is critically important to our culture and why we are proud to be headquartered in Oakland. Our commitment to the people in the communities we serve is embodied in our value of Marqeta Cares:</w:t>
      </w:r>
    </w:p>
    <w:p>
      <w:pPr>
        <w:spacing w:after="0" w:line="18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invest in corporate social responsibility. Our people, technology, and resources make a positive impact in our community, and we are responsible stewards of our environment.</w:t>
      </w:r>
    </w:p>
    <w:p>
      <w:pPr>
        <w:spacing w:after="0" w:line="170"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created Marqeta Cares, our social impact initiative, as our corporate giving program and to help select the charities we support. Marqeta Cares seeks to create inclusive communities and build pathways to economic prosperity. We do this by leveraging our financial and human capital to support nonprofit organizations that advance economic opportunity for under-resourced and under-served communities. We approved up to 400,000 shares of our common stock to be contributed to the Marqeta Cares program over the next ten years, beginning in 2020. Marqeta Cares will leverage these resources to make targeted and thoughtful donations where our equity and dollars can make a meaningful difference.</w:t>
      </w:r>
    </w:p>
    <w:p>
      <w:pPr>
        <w:spacing w:after="0" w:line="17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To help implement our Marqeta Cares goals, Marqeta has partnered with an experienced donor-advised fund, operated as a 501(c)(3) public charity, that will serve as the legal vehicle for implementing Marqeta Cares’ corporate philanthropic vision. In the third and fourth quarters of 2020, we made cash contributions to the donor-advised fund that we believe represented a fair market value of approximately 40,000 shares. Finally, we are also partnering with Pledge 1%, an advisory non-profit organization that assists companies in donating to charitable causes.</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modern card issuing Platform powers mission-critical experiences for our Customers, leading to strong relationships over time as we extend their reach both from a product and geographic perspective. We had over 130 and over 160 Customers as of December 31, 2019 and 2020, respectively. Currently, we provide solutions in the following verticals:</w:t>
      </w:r>
    </w:p>
    <w:p>
      <w:pPr>
        <w:spacing w:after="0" w:line="89"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Commerce Disruptors</w:t>
      </w:r>
    </w:p>
    <w:p>
      <w:pPr>
        <w:spacing w:after="0" w:line="130" w:lineRule="exact"/>
        <w:rPr>
          <w:rFonts w:ascii="Arial" w:cs="Arial" w:eastAsia="Arial" w:hAnsi="Arial"/>
          <w:sz w:val="18"/>
          <w:szCs w:val="18"/>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On-Demand Services</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Buy Now, Pay Later</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Expense Management</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Travel</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Alternative Lending</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eCommerce</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7"/>
        </w:numPr>
        <w:rPr>
          <w:rFonts w:ascii="Arial" w:cs="Arial" w:eastAsia="Arial" w:hAnsi="Arial"/>
          <w:sz w:val="15"/>
          <w:szCs w:val="15"/>
          <w:color w:val="auto"/>
        </w:rPr>
      </w:pPr>
      <w:r>
        <w:rPr>
          <w:rFonts w:ascii="Arial" w:cs="Arial" w:eastAsia="Arial" w:hAnsi="Arial"/>
          <w:sz w:val="18"/>
          <w:szCs w:val="18"/>
          <w:color w:val="auto"/>
        </w:rPr>
        <w:t>Disbursements &amp; Incentives</w:t>
      </w:r>
    </w:p>
    <w:p>
      <w:pPr>
        <w:spacing w:after="0" w:line="130" w:lineRule="exact"/>
        <w:rPr>
          <w:rFonts w:ascii="Arial" w:cs="Arial" w:eastAsia="Arial" w:hAnsi="Arial"/>
          <w:sz w:val="15"/>
          <w:szCs w:val="15"/>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Digital 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Tech Giants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Large Financial Institutions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Large Customers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Square</w:t>
      </w:r>
    </w:p>
    <w:p>
      <w:pPr>
        <w:spacing w:after="0" w:line="117"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On April 19, 2016, we entered into a master services agreement with Square, subsequently amended, which provides for the commercial terms of our relationship with Square. Pursuant to the terms of the agreement, we have agreed to manage certain card issuing programs for Square, including the Square Cash App and Square Card programs. Under the agreement to manage these card programs, we agree to share with Square a portion of the net interchange revenue that we earn from processing the volume of these programs. The Revenue Share provisions include increased rates of Revenue Share when processing volumes reach specified volume tiers. Additionally, the Company generates revenue from other processing services under the agreement. In addition, on March 13, 2021, and as specified in our agreement with Square, we granted Square a warrant to purchase up to 1,100,000 shares of our common stock at an exercise price of $0.01 per share, which is exercisable upon attaining the Square Warrant Milestones. The current term of our agreement with Square for Cash App expires in March 2024, the current term of our agreement with Square for Square Card expires in December 2024, and each agreement automatically renews thereafter for successive one-year periods, unless terminated earlier by either party. Either we or Square may terminate the master services agreement under certain specified circumstances, including upon a material breach. The agreement also provides for certain other terms, including representations and warranties of the parties, intellectual property rights, data ownership and security, limitations on liability, confidentiality and indemnification rights, and other covenants.</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Relationships with Issuing Banks and Card Networks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contractual relationships with Issuing Banks and Card Networks contribute to Marqeta’s ability to create and manage customized card programs for our Customers.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partner with Issuing Banks to provide services to Marqeta that include card issuance, Card Network sponsorship, and creating deposit accounts used to settle our Customers’ transactions. Our contracts with Issuing Banks entitle Marqeta to all of the Interchange Fees generated from our Customers’ card programs and obligate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us to pay all Card Network fees associated with our Customers’ card transactions. Issuing Banks require Marqeta to comply with their requirements and those of the Card Networks necessary to sponsor the Customer’s card programs.</w:t>
      </w:r>
    </w:p>
    <w:p>
      <w:pPr>
        <w:spacing w:after="0" w:line="170"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We provide all of our Customers issuer processor services, and for most of our Customers, we also act as the program manager. As a program manager, we are responsible for ensuring compliance with the Issuing Bank’s requirements and Card Network rules and help create regulatory compliant card programs for our Customers. When our Customers engage us solely as an Issuer Processor, more often internationally, we facilitate through Issuing Banks and Card Networks the authorization and settlement of our Customers’ card transactions. We intend to expand and deepen our relationships with Issuing Banks and Card Networks and expect to see an increased demand for both our program manager and issuer processor services.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Issuing Banks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While an Issuing Bank ultimately approves each card program, Marqeta is able to configure the program design, negotiate key program terms, and select the Issuing Bank. Marqeta actively “shops” the potential card program to various Issuing Banks to identify the most appropriate bank based on the Customer’s needs. Marqeta pays the Issuing Banks a fixed fee (either a fixed percentage of the purchase volume or a fixed fee per transaction) as compensation for the services they provide to Marqeta.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Sutton Bank</w:t>
      </w:r>
    </w:p>
    <w:p>
      <w:pPr>
        <w:spacing w:after="0" w:line="117"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On April 1, 2016, we entered into a prepaid card program manager agreement with Sutton Bank. Under the terms of the agreement, as amended, Sutton Bank settles payment transactions for us and provides prepaid card and other related services to us, including the issuance of cards for approved card programs. The agreement provides that we pay Sutton Bank a fee based on a percentage of the value of transactions processed. Under this agreement we are entitled to receive 100% of the Interchange Fees for processing our Customers’ card transactions. The agreement also provides for the payment of termination fees, including fees and costs to Sutton Bank, in the case of early termination by us. The current term of the agreement expires in 2027, after which it automatically renews on the same terms and conditions for a two-year renewal term, unless either party provides written notice of its intent not to renew at least 180 days prior to the expiration of the then-current term. Either we or Sutton Bank may terminate the agreement under certain specified circumstances, including if the other party commits a material breach that is not cured within 30 days.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Card Networks</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The Card Networks oversee their worldwide payment networks, through which debit, credit, and prepaid card payments are authorized, processed, and settled between an Issuing Bank and an Acquiring Bank. Card Networks also set the Interchange Fee rates that the Acquiring Bank routes through the Card Network to the Issuing Bank. We currently partner with a number of Card Networks, including Visa, Mastercard, and PULSE, which is part of the Discover Global Network, and a number of PIN networks, to process our Customers’ transactions on our Platform. Marqeta arranges for our Customers to use one or more of the available Card Networks, and we pay standard fees to Card Networks directly, or indirectly through reimbursement of these fees upon the settlement of card transactions by the Issuing Banks. Our contracts with the Card Networks also provide us with certain monetary incentives based on the volume of our Customers’ transactions processed through the respective Card Network. Additionally, we partner with Card Networks to develop our processing capabilities in international locations as we expand globally.</w:t>
      </w:r>
    </w:p>
    <w:p>
      <w:pPr>
        <w:spacing w:after="0" w:line="17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relationships with the Card Networks allow us to connect our Platform directly to the Card Networks, which allows for transaction authorization (or decline) messages to be sent electronically to and from our Platform. This connection provides for virtually instant notification of our Customers’ card transactions and allows for quick response to the authorization request. Once an authorization approval response has been sent by Marqeta to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Card Network (based on parameters established by the applicable Customer), the transaction is able to occur on the Card Network’s secure network.</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Mastercard</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2020, we entered into a strategic relationship agreement with Mastercard. We have also entered into a number of subsequent arrangements with Mastercard, including certain brand agreements. Under these agreements, we have agreed to cooperate with Mastercard on a number of initiatives, including international expansion, product, marketing and business development collaboration. The contracts provide Marqeta with tiered incentives based on the processing volume of our Customers’ transactions routed through Mastercard and its affiliated networks. The current term of the strategic relationship agreement expires in 2028 or at an earlier date if Marqeta achieves a certain processing volume milestone through the Mastercard network. Either party may terminate the agreements under specified circumstances, including upon a material breach that remains uncured for a specified period of time.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Visa</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2017, we entered into a strategic alliance framework agreement with Visa, subsequently amended. We have also entered into a number of subsequent arrangements with Visa, as governed by the strategic alliance framework agreement, including a service evaluation agreement and certain brand agreements. Under these agreements, we have agreed to cooperate with Visa on a number of initiatives, including international expansion, product, marketing and business development collaboration. The contracts provide Marqeta with tiered incentives based on the processing volume of our Customers’ transactions routed through Visa and its affiliated networks. The current term of the strategic alliance framework agreement expires in 2022 and automatically renews annually thereafter. Either party may terminate the agreements under specified circumstances, including upon a material breach that remains uncured for a specified period of time. Visa may also elect to terminate the agreements prior to the natural expiration of the then-current term due to our failure to meet certain performance requirements.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Pulse Network</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2013, we entered into a direct processor agreement with Pulse Network LLC, or Pulse, subsequently amended. The contract provides Marqeta with tiered incentives based on the processing volume of our Customers’ transactions routed through Pulse and its affiliated networks. The contract is currently under a renewal term, which automatically renews annually, unless either party provides written notice of its intent not to renew. Either party may terminate the agreement under specified circumstances, including upon a material breach that remains uncured for a specified period of time.</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Competitors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compete in a large and evolving market. We believe that the principal competitive factors in our market include:</w:t>
      </w:r>
    </w:p>
    <w:p>
      <w:pPr>
        <w:spacing w:after="0" w:line="131"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industry expertise;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platform and product features and functionality;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ability to build new technology and keep pace with innovation;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scalability;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extensibility;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agility;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speed to market.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competitors fall into three primary categories:</w:t>
      </w:r>
    </w:p>
    <w:p>
      <w:pPr>
        <w:spacing w:after="0" w:line="131"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Providers with legacy technology platforms, including Global Payments (TSYS), Fiserv (First Data), and FIS:</w:t>
      </w:r>
    </w:p>
    <w:p>
      <w:pPr>
        <w:spacing w:after="0" w:line="11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We believe we offer a more agile and configurable solution that is faster to market than the traditional providers. We believe that, in general, legacy solutions are more rigid and are slower to both implement and innovate. Legacy platforms are often oriented to serve large financial institutions with standard product offerings. In contrast, the Marqeta Platform supports a range of digitally enabled use cases to serve the evolving card issuing marketplace.</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Vertical-focused providers, including Wex and Comdata:</w:t>
      </w:r>
    </w:p>
    <w:p>
      <w:pPr>
        <w:spacing w:after="0" w:line="11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While we also compete with providers focused on a certain vertical, we believe that our modern card issuing Platform’s depth and breadth offer a better and more complete solution for innovators. From its initial inception, our Platform was built to be horizontal, making it more configurable and extensible for a variety of emerging use cases and verticals. Furthermore, our experience in one vertical often informs similar use cases in other verticals, helping us bring new features to market faster.</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Emerging providers, including Adyen and Stripe:</w:t>
      </w:r>
    </w:p>
    <w:p>
      <w:pPr>
        <w:spacing w:after="0" w:line="117" w:lineRule="exact"/>
        <w:rPr>
          <w:rFonts w:ascii="Arial" w:cs="Arial" w:eastAsia="Arial" w:hAnsi="Arial"/>
          <w:sz w:val="18"/>
          <w:szCs w:val="18"/>
          <w:color w:val="auto"/>
        </w:rPr>
      </w:pPr>
    </w:p>
    <w:p>
      <w:pPr>
        <w:jc w:val="both"/>
        <w:ind w:left="880"/>
        <w:spacing w:after="0" w:line="255" w:lineRule="auto"/>
        <w:rPr>
          <w:rFonts w:ascii="Arial" w:cs="Arial" w:eastAsia="Arial" w:hAnsi="Arial"/>
          <w:sz w:val="18"/>
          <w:szCs w:val="18"/>
          <w:color w:val="auto"/>
        </w:rPr>
      </w:pPr>
      <w:r>
        <w:rPr>
          <w:rFonts w:ascii="Arial" w:cs="Arial" w:eastAsia="Arial" w:hAnsi="Arial"/>
          <w:sz w:val="18"/>
          <w:szCs w:val="18"/>
          <w:color w:val="auto"/>
        </w:rPr>
        <w:t>Our Customers tell us that industry expertise is the number one reason for selecting an Issuer Processor. Marqeta has a ten-year track record of successful innovation. Emerging providers lack the years of card issuing experience and generally do not have the same demonstrated track record in card issuing. In addition, emerging providers that are also Acquirer Processors as their core business, are required to dedicate both time and capital to non-core parts of their business to serve the card issuing market. Overall, emerging providers have different go-to-market strategies and technological capabilities, rendering their solutions less attractive to businesses that need card issuing and transaction processing services.</w:t>
      </w:r>
    </w:p>
    <w:p>
      <w:pPr>
        <w:spacing w:after="0" w:line="19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a deep history of card issuing expertise, enabling us to achieve technical and operating leverage that we believe potential competitors are unable to replicate. However, some of our competitors have greater financial and operating resources. Moreover, as we expand the scope of our Platform, we may face additional competition. See the section titled “Risk Factors – 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 Though we rely in part upon these legal and contractual protections, we believe that factors such as the skills and ingenuity of our employees, the functionality and infrastructure of our Platform and our business, and frequent enhancements to and expansions of our Platform are more important contributors to our success.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we had three issued patents in the United States, which expire between 2033 and 2037, and four pending patent applications in the United States that cover various aspects of our business in the United States and abroad. These patents and patent applications are intended to protect our proprietary inventions relevant to our business. We continually review our development efforts to assess the existence and patentability of new intellectual property.</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and product names, taglines, and logos in the United States and internationally to the extent we determine appropriate and cost-effective. We also have registered domain names for websites that we use in our business, such as www.marqeta.com and other similar variations.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we seek to protect our intellectual property rights by requiring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we operate may not protect our intellectual property rights to the same extent as laws in the United States. We expect that infringement claims may increase as the number of products and competitors in our market increase. In addition, to the extent that we gain greater visibility and market exposure as a public company, we face a higher risk of being the subject of intellectual property infringement claims from third parties. Any third-party intellectual property claims against us could significantly increase our expenses and could have a significant and negative impact on our business, results of operations and financial condition.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From time to time, we also incorporate certain intellectual property licensed from third parties, including under certain open source licenses. Even if any such third-party technology did not continue to be available to us on commercially reasonable terms, we believe that alternative technologies would be available as needed in every case.</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marketing and business development teams partner closely to grow awareness and adoption of our Platform, accelerate Customer acquisition, and generate revenue. We deploy a range of marketing strategies to drive brand awareness and adoption, including public relations, advertising campaigns, and generating leads and opportunities through direct marketing (online and offline). Our marketing team collaborates with our business development and sales teams to create, influence and mature opportunities with a variety of initiatives, ranging from tailored content to high touch activities such as leading industry trade shows and events.</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business development teams, incorporating sales and partnerships, employ strategies specific to the industry, vertical, use-case and Customer, to convert interest into Customers, capture market share and drive revenue. Our thoughtful, multi-stage engagement process sets the stage for enduring enterprise partnerships with our Customers.</w:t>
      </w:r>
    </w:p>
    <w:p>
      <w:pPr>
        <w:spacing w:after="0" w:line="184"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We complement these marketing, business development, and sales activities with a focus on Customer experience and Customer success. We believe that highly responsive and effective support and education are an extension of our brand and are core to building and maintaining trust. We firmly believe in the importance of partnering with our Customers, and this is made possible by close cooperation between Customers and our Customer success and program management teams, enabling us to react quickly to Customer needs and fostering collaboration on future product innovation.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research and development efforts focus on building enterprise-grade product and service capabilities for our Customers. Technical direction is derived from our understanding of the payments ecosystem and our partners, the evolving opportunity and needs of our Customer base, and the developer community. This focus enables the development of a robust, global platform to support a wide array of products, services, and use cases. Our design, product, engineering, and Customer success teams collaborate to connect our Customers to our Issuing Banks and Card Networks. Software development is primarily executed by our team of professionals across design, product management, and engineering disciplines.</w:t>
      </w:r>
    </w:p>
    <w:p>
      <w:pPr>
        <w:spacing w:after="0" w:line="16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 of December 31, 2020, we had 260 employees in our research and development organization, defined as our Product &amp; Technology organization. We intend to continue to invest in our research and development capabilities to extend our Platform. The technical operations team in our Product &amp; Technology organization also works to ensure the successful deployment and monitoring of our Platform.</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We are subject to a number of U.S. federal and state and foreign laws and regulations that involve matters central to our business. These laws and regulations involve privacy, data protection, information security, intellectual property, competition or other subjects. In addition to laws and regulations that apply to our business directly, we are contractually subject to certain laws and regulations through our relationships with Issuing Banks, Card Networks, our Customers, and our service providers. Many of the laws and regulations that we are subject to are still evolving and being tested in courts and could be interpreted in ways that could harm our business. In addition, the application and interpretation of these laws and regulations often are uncertain, particularly in the new and rapidly evolving industry that we operate in. Further, these laws and regulations are sometimes ambiguous or inconsistent, and the extent they apply to us is at times unclear. As global laws and regulations have continued to develop and evolve rapidly, it is possible that we may not be, or may not have been, compliant with each such applicable law or regulation or that we may in the future be required to obtain licenses and registrations. Any actual or alleged failure to comply with applicable laws or regulations may result in, among other things, private litigation, regulatory investigations and enforcement actions, sanctions, civil and criminal liability and constraints on our ability to continue to operate.</w:t>
      </w:r>
    </w:p>
    <w:p>
      <w:pPr>
        <w:spacing w:after="0" w:line="16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we grow and expand our geographical reach and our offerings, we may become subject to additional regulations, in the United States and internationally.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Data Protection and Information Security Regulations</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provide services that are subject to various state, federal and foreign laws and regulations relating to privacy, data protection, and information security, including, among others, the Gramm-Leach Bliley Act, GDPR, and the CCPA. In some cases, we are subject to regulation as a result of our relationship with Issuing Banks or due to our Customers’ relationships with their cardholders, banks, or regulators. In providing our services, we collect, use, and otherwise process a wide variety of information to help ensure the integrity of our services and products and to provide features and functionality to our Customers. This aspect of our business, including the collection, use, processing, and protection of the information we acquire from our own services as well as from third-party sources, including our Customers and their cardholders, is subject to laws and regulations in the United States and elsewhere. Accordingly, we publish our privacy policies and terms of service, which describe our practices concerning the use, transmission and disclosure of certain information. As our business continues to expand, and as laws and regulations continue to be passed and their interpretations continue to evolve, additional laws and regulations relating to privacy, data protection, and information security may become relevant to us. For additional information about our approach to laws and regulations relating to privacy, data protection, and information security, please see “Risk Factors —Risks Relating to Our Business—Regulations and industry standards related to privacy and data protection could adversely affect our ability to effectively provide our services.”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Additionally, our Platform hosts, transmits, processes, and stores payment card data and is therefore required to comply with PCI DSS. As a result, we are subject to PCI audits and must comply with related security requirements. See the risk factor titled “Our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Association and Card Network Rules</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Our Issuing Banks must comply with the bylaws, regulations, and requirements that are set forth by the Card Networks, including PCI DSS and other applicable data-security program requirements. To the extent that we provide certain services in connection with cards issued by our Issuing Banks, we are also subject to such requirements. To provide payment processing services, we are certified and registered with Visa and Mastercard as a processor for member institutions. We are also certified and registered with debit and transaction networks. As such, we are subject to applicable card association, Card Network and national scheme rules that could subject us to fines or penalties for certain acts or omissions. The Card Networks routinely update and modify their requirements and we, in turn, must work to comply with such updates to continue processing transactions on their networks.</w:t>
      </w:r>
    </w:p>
    <w:p>
      <w:pPr>
        <w:spacing w:after="0" w:line="16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depending on our role in the provision of our services, we are subject to network operating rules promulgated by the National Automated Clearing House Association relating to payment transactions processed on our Platform using the Automated Clearing House Network and to various federal and state laws regarding such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Card Regulations</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Prepaid card programs that we manage for our Customers are subject to various federal and state laws and regulations, including the Credit Card Accountability, Responsibility, and Disclosure Act of 2009 and the Federal Reserve Board’s Regulation E, which impose requirements on general-use prepaid cards, store gift cards and electronic gift certificates. The Consumer Financial Protection Bureau, or the CFPB, has also issued a final rule on prepaid accounts. The definition of prepaid account under this rule includes certain accounts that are capable of being loaded with funds and whose primary function is to conduct transactions with multiple, unaffiliated merchants, at ATMs or for person-to-person transfers. The requirements under this rule include, among other things,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 publication of such agreements to the general public. These laws and regulations are evolving, unclear, and sometimes inconsistent and subject to judicial and regulatory challenge and interpretation, and therefore the extent these laws and rules apply to, and impact, us is in flux. The extensive nature of these regulations may result in additional compliance obligations and expense for our business.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Although we are not a “money services business” or otherwise subject to anti-money laundering registration requirements under U.S. federal or state law, we are subject to certain anti-money laundering laws and regulations in the United States, the United Kingdom, the European Union, and other jurisdictions. In the United States, the Currency and Foreign Transactions Reporting Act, which is also known as the BSA, and which was amended by the USA PATRIOT Act of 2001, contains a variety of provisions aimed at fighting terrorism and money laundering. Among other things, the BSA and implementing regulations issued by the U.S. Treasury Department require certain financial institutions to establish anti-money laundering programs, to not engage in terrorist financing, to report suspicious activity and to maintain a number of related records.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Due to our relationships with Issuing Banks that are directly regulated for anti-money laundering purposes, we have implemented an anti-money laundering program designed to prevent our Platform from being used to facilitate money laundering, terrorist financing and other illicit activity. When providing program management services, we ensure that our anti-money laundering program complies with the requirements of our Issuing Banks. Our programs are also designed to prevent our Platform from being used to facilitate activity in violation of applicable sanctions laws and regulations, including conducting business in specified countries or with designated persons or entities, including those on lists promulgated by the U.S. Department of the Treasury’s Office of Foreign Assets Controls and equivalent foreign authorities. Our anti-money laundering compliance program includes policies, procedures, reporting protocols and internal controls, including the designation of a bank secrecy act officer in the U.S. and the equivalent in other jurisdictions, and it is designed to assist in managing risk associated with money laundering and terrorist financing.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Anti-Bribery Laws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are subject to anti-corruption and anti-bribery and similar laws, such as the FCPA, the U.S. domestic bribery statute contained in 18 U.S.C. § 201, the U.S. Travel Act, the U.K. Bribery Act 2010, and other anti-corruption and anti-bribery laws in countries where we conduct activities. The FCPA and other applicable anti-corruption and anti-bribery laws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FCPA includes anti-bribery and accounting provisions enforced by the Department of Justice and SEC. The statute has a broad reach, covering all U.S. companies and citizens doing business abroad, among others, and defining a foreign official to include not only those holding public office but also local citizens affiliated with foreign government-run or -owned organizations. The statute also requires maintenance of appropriate books and records and maintenance of adequate internal controls.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Trade Commission Act</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All persons engaged in commerce, including, but not limited to, us and our Issuing Banks and our Customers are subject to Section 5 of the Federal Trade Commission Act prohibiting unfair or deceptive acts or practices, and certain products are subject to the jurisdiction of the CFPB regarding the prohibition of unfair, deceptive or abusive acts and practices, collectively UDAAP. A number of state laws and regulations also prohibit unfair and deceptive business practices. Various federal and state regulatory enforcement agencies including the Federal Trade Commission, or the FTC, CFPB and the state attorneys general have authority to investigate and take action against businesses, merchants and financial institutions that are alleged to engage in UDAAP or violate other laws, rules and regulations. While we are not directly subject to the purview of the CFPB, if our Issuing Banks are accused of violating such laws, rules, or regulations, we may be required to cooperate with investigations and assist our Issuing Banks in responding to inquiries.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Dodd-Frank Wall Street Reform and Consumer Protection Act of 2010, or the Dodd-Frank Act, effected comprehensive revisions to a wide array of federal laws governing financial institutions, financial services and financial markets. Among its most notable provisions is the creation of the CFPB, which is charged with regulating consumer financial products or services and which assumes much of the rulemaking authority under federal laws affecting the extension of credit. In addition to rulemaking authority over several enumerated federal consumer financial protection laws, the CFPB is authorized to issue rules prohibiting UDAAP by persons offering consumer financial products or services and their service providers and has authority to enforce these consumer financial protection laws and CFPB rules. The CFPB has not defined what is a consumer financial product or service but has indicated informally that, in some instances, small businesses may be covered under consumer protection.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Due to our relationships with certain Issuing Banks and Card Networks, we may be subject to indirect supervision and examination by the CFPB in connection with our Platform and certain of our products and services. CFPB rules, examinations, and enforcement actions may require us to adjust our activities and may increase our compliance costs.</w:t>
      </w:r>
    </w:p>
    <w:p>
      <w:pPr>
        <w:spacing w:after="0" w:line="184"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In addition, the Durbin Amendment to the Dodd-Frank Act provides that Interchange Fees that an Issuing Bank or Card Network receives or charges for debit transactions are regulated by the Federal Reserve and must be “reasonable and proportional” to the cost incurred by the card issuer in authorizing, clearing, and settling the transaction. Card Network fees may not be used directly or indirectly to compensate Issuing Banks in circumvention of the interchange transaction fee restrictions. While we only contract with Issuing Banks who are exempt from the Durbin Amendment, we remain sensitive to changes in the regulation of Interchange Fees. The implementation of the Dodd-Frank Act is ongoing, and as a result, its overall impact remains unclear. Its provisions, however, are sufficiently far reaching that it is possible that we could be further directly or indirectly impacted.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Escheat Regulations</w:t>
      </w:r>
    </w:p>
    <w:p>
      <w:pPr>
        <w:spacing w:after="0" w:line="117"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are generally exempt from escheat regulations, unless an Issuing Bank must comply and contractually obligates us to cooperate in the Issuing Bank’s compliance. As a result, our Issuing Banks are subject to unclaimed or abandoned property (escheat) laws in the United States. These state laws require banks to turn over to certain government authorities the property of others that such Issuing Banks hold that has been unclaimed for a specified period of time, such as payment instruments that have not been presented for payment and account balances that are due to a Customer following discontinuation of our relationship. We may be required to cooperate with such Issuing Banks in the course of their compliance. In connection with our relationships with Issuing Banks, we may be subject to audit by individual U.S. states with regard to our escheatment practices.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subject to examination by our Issuing Banks’ regulators and must comply with certain regulations to which our sponsor banks are subject, as applicable. For instance, due to our relationships with certain Issuing Banks, we may be subject to indirect supervision and examination by the Federal Deposit Insurance Corporation, state banks, and the Office of the Comptroller of the Currency in connection with our Platform and certain of our products and services. We are also subject to audit by certain Issuing Banks. Further, certain of our Customers are financial institutions or non-bank regulated entities and, as a result, we may be indirectly subject to examination and obligated to assist those Customers in complying with certain regulations to which they are subject or with responses to audits of such Customers.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conduct of our business and the use of our products and services outside the United States are subject to various foreign laws and regulations administered by government entities and agencies in the countries and territories where we operate and where our Customers and their cardholders use our products and service. For instance, we are subject to processing fee and transaction fee regulation where our cards are used and may in the future be subject to Interchange Fee regulations in other countries where our cards are used.</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Privacy, and Data Protection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Trust is important for our relationship with our Customers, and we take significant measures to protect the privacy and security of their data and the data of their cardholders.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We devote considerable resources to our information security program, which is dedicated to ensuring the highest confidence in our custodianship of the data of our Customers. Our security program is aligned to the ISO 27000 standards and is regularly audited and assessed by third parties. In addition, our security program has achieved several internationally-recognized certifications and industry standard audited attestations.</w:t>
      </w:r>
    </w:p>
    <w:p>
      <w:pPr>
        <w:spacing w:after="0" w:line="16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security program focuses on preserving the confidentiality, integrity, and availability of the personal data and other confidential information of our Customers and our Customers’ cardholders. To this end, our team of security professionals, working in partnership with peers across our company, work to identify and mitigate risks, implement best practices, and continue to evaluate ways to improve our information security. These steps include data encryption in transit and at rest, network security, classifying and inventorying data, limiting and authorizing access controls, and multi-factor authentication for access to systems with data. We also employ regular system monitoring, logging, and alerting to retain and analyze the security state of our corporate and production infrastructure. In addition, we take steps to help ensure that appropriate security measures are maintained by the third-party vendors we use, including by conducting security reviews and audits.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privacy of our Customers’ data and our Customers’ cardholders’ data is important to our continued growth and success. Privacy is a shared responsibility among all our employees. We also have a privacy team that builds and executes on our privacy program, including support for data protection and privacy-related requests.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committed to complying with applicable privacy and data protection laws. We monitor guidance from industry and regulatory bodies and update our Platform and contractual commitments accordingly.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maintain a privacy policy that describes how we collect, use, and share personal information relating to our Customers and we implement appropriate contractual provisions relating to our processing of cardholders’ personal information.</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Employees and Human Capital Resources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of December 31, 2020, we had a total of 509 employees. We supplement our workforce with contractors and consultants. To our knowledge, none of our employees is represented by a labor union or covered by a collective bargaining agreement. We have not experienced any work stoppages, and we consider our relations with our employees to be good. Our human capital resources objectives include, as applicable, identifying, recruiting, retaining, incentivizing and integrating our existing and new employees. The principal purposes of our equity incentive plans are to attract, retain and reward personnel through the granting of share-based compensation awards and cash-based performance bonus awards in order to increase stockholder value and the success of our company by motivating such individuals to perform to the best of their abilities and achieve our objectives.</w:t>
      </w: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not currently a party to any material pending legal proceedings. From time to time, we may be subject to legal proceedings and claims arising in the ordinary course of business.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Our corporate headquarters is located in Oakland, California, where we currently lease approximately 63,284 square feet pursuant to a lease agreement that expires in 2026. We also lease and purchase service memberships to additional facilities in London and Manchester, United Kingdom.</w:t>
      </w:r>
    </w:p>
    <w:p>
      <w:pPr>
        <w:spacing w:after="0" w:line="12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provides information as of the date of this prospectus regarding our executive officers, key employees, and directors to be in place upon the consummation of this offering: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Age</w:t>
            </w:r>
          </w:p>
        </w:tc>
        <w:tc>
          <w:tcPr>
            <w:tcW w:w="4520" w:type="dxa"/>
            <w:vAlign w:val="bottom"/>
            <w:gridSpan w:val="3"/>
          </w:tcPr>
          <w:p>
            <w:pPr>
              <w:ind w:left="34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5"/>
        </w:trPr>
        <w:tc>
          <w:tcPr>
            <w:tcW w:w="348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Executive Officers: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Jason Gardner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2"/>
              </w:rPr>
              <w:t>Chief Executive Officer, Founder, Director, and Chairperson</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Kevin Doerr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Product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Vidya Peters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Marketing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Darren Mowry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Revenue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Randy Kern</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Technology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Philip (Tripp) Faix</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Seth Weissman</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Legal Officer, General Counsel, and Secretary</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Renata Caine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0"/>
              </w:rPr>
              <w:t>Senior Vice President of International, Strategy, and Planning</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Brian Kieley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Senior Vice President of Program Management</w:t>
            </w:r>
          </w:p>
        </w:tc>
      </w:tr>
      <w:tr>
        <w:trPr>
          <w:trHeight w:val="269"/>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Key Employees: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Lori McAdams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People Officer</w:t>
            </w:r>
          </w:p>
        </w:tc>
      </w:tr>
      <w:tr>
        <w:trPr>
          <w:trHeight w:val="269"/>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Amy Chang</w:t>
            </w:r>
            <w:r>
              <w:rPr>
                <w:rFonts w:ascii="Arial" w:cs="Arial" w:eastAsia="Arial" w:hAnsi="Arial"/>
                <w:sz w:val="15"/>
                <w:szCs w:val="15"/>
                <w:color w:val="auto"/>
              </w:rPr>
              <w:t>(3)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Martha Cummings</w:t>
            </w:r>
            <w:r>
              <w:rPr>
                <w:rFonts w:ascii="Arial" w:cs="Arial" w:eastAsia="Arial" w:hAnsi="Arial"/>
                <w:sz w:val="15"/>
                <w:szCs w:val="15"/>
                <w:color w:val="auto"/>
              </w:rPr>
              <w:t>(1)(3)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Gerri Elliot</w:t>
            </w:r>
            <w:r>
              <w:rPr>
                <w:rFonts w:ascii="Arial" w:cs="Arial" w:eastAsia="Arial" w:hAnsi="Arial"/>
                <w:sz w:val="15"/>
                <w:szCs w:val="15"/>
                <w:color w:val="auto"/>
              </w:rPr>
              <w:t>(2)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Helen Riley</w:t>
            </w:r>
            <w:r>
              <w:rPr>
                <w:rFonts w:ascii="Arial" w:cs="Arial" w:eastAsia="Arial" w:hAnsi="Arial"/>
                <w:sz w:val="15"/>
                <w:szCs w:val="15"/>
                <w:color w:val="auto"/>
              </w:rPr>
              <w:t>(1)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Arnon Dinur</w:t>
            </w:r>
            <w:r>
              <w:rPr>
                <w:rFonts w:ascii="Arial" w:cs="Arial" w:eastAsia="Arial" w:hAnsi="Arial"/>
                <w:sz w:val="15"/>
                <w:szCs w:val="15"/>
                <w:color w:val="auto"/>
              </w:rPr>
              <w:t>(2)(3)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Judson Linville*</w:t>
            </w:r>
            <w:r>
              <w:rPr>
                <w:rFonts w:ascii="Arial" w:cs="Arial" w:eastAsia="Arial" w:hAnsi="Arial"/>
                <w:sz w:val="15"/>
                <w:szCs w:val="15"/>
                <w:color w:val="auto"/>
              </w:rPr>
              <w:t>(2)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Christopher McKay</w:t>
            </w:r>
            <w:r>
              <w:rPr>
                <w:rFonts w:ascii="Arial" w:cs="Arial" w:eastAsia="Arial" w:hAnsi="Arial"/>
                <w:sz w:val="15"/>
                <w:szCs w:val="15"/>
                <w:color w:val="auto"/>
              </w:rPr>
              <w:t>(1)(2)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Godfrey Sullivan</w:t>
            </w:r>
            <w:r>
              <w:rPr>
                <w:rFonts w:ascii="Arial" w:cs="Arial" w:eastAsia="Arial" w:hAnsi="Arial"/>
                <w:sz w:val="15"/>
                <w:szCs w:val="15"/>
                <w:color w:val="auto"/>
              </w:rPr>
              <w:t>(1)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22" w:lineRule="exact"/>
        <w:rPr>
          <w:sz w:val="20"/>
          <w:szCs w:val="20"/>
          <w:color w:val="auto"/>
        </w:rPr>
      </w:pPr>
    </w:p>
    <w:p>
      <w:pPr>
        <w:ind w:left="660" w:hanging="544"/>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22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i w:val="1"/>
          <w:iCs w:val="1"/>
          <w:color w:val="auto"/>
        </w:rPr>
        <w:t>Jason Gardner</w:t>
      </w:r>
      <w:r>
        <w:rPr>
          <w:rFonts w:ascii="Arial" w:cs="Arial" w:eastAsia="Arial" w:hAnsi="Arial"/>
          <w:sz w:val="18"/>
          <w:szCs w:val="18"/>
          <w:color w:val="auto"/>
        </w:rPr>
        <w:t>. Mr. Gardner founded Marqeta and has served as our Chief Executive Officer and as a member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2010. He also serves as Chairperson of our board of directors. Prior to founding Marqeta, Mr. Gardner co-founded PropertyBridge, Inc., a rent and lease-related platform that was acquired by MoneyGram International, Inc. in October 2007, and served as its Vice President from August 2008 to December 2009, Vice President of Business Development from October 2007 to July 2008, and President from May 2004 to October 2007. From June 2002 to May 2004, Mr. Gardner was the Director of Sales for The 451 Group, a technology research group. Mr. Gardner also founded Vertical Think, Inc., an IT management company, and served as its Chief Executive Officer from January 1999 to January 2002. Mr. Gardner holds a Bachelor of Arts in Political Science from Arizona State University.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Gardner is qualified to serve as a member of our board of directors because of his experience and perspective as our Chief Executive Officer and founder.</w:t>
      </w:r>
    </w:p>
    <w:p>
      <w:pPr>
        <w:spacing w:after="0" w:line="170"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i w:val="1"/>
          <w:iCs w:val="1"/>
          <w:color w:val="auto"/>
        </w:rPr>
        <w:t xml:space="preserve">Kevin Doerr. </w:t>
      </w:r>
      <w:r>
        <w:rPr>
          <w:rFonts w:ascii="Arial" w:cs="Arial" w:eastAsia="Arial" w:hAnsi="Arial"/>
          <w:sz w:val="18"/>
          <w:szCs w:val="18"/>
          <w:color w:val="auto"/>
        </w:rPr>
        <w:t>Mr. Doerr has served as our Chief Product Officer since March 2020. Since May 2010, Mr. Doerr has served as the Founder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of Archimedes Labs, Inc., a venture-based incubation firm focused on consumer mobile services. From June 2016 to March 2020, Mr. Doerr served as the Senior Vice President and General Manager of Domains and Security of GoDaddy, Inc., a publicly traded internet domain registrar and web hosting company. From January 2013 to April 2015, Mr. Doerr served as the Executive Vice President and General Manager, Digital of The Weather Company, a weather forecasting and information technology company. Prior to The Weather Company, Mr. Doerr served in various senior roles at Microsoft Corporation, a publicly traded multinational computer software company, and Yahoo! Inc., a web services provider. Mr. Doerr studied Computer Information Systems at Suffolk University.</w:t>
      </w:r>
    </w:p>
    <w:p>
      <w:pPr>
        <w:spacing w:after="0" w:line="19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 xml:space="preserve">Vidya Peters. </w:t>
      </w:r>
      <w:r>
        <w:rPr>
          <w:rFonts w:ascii="Arial" w:cs="Arial" w:eastAsia="Arial" w:hAnsi="Arial"/>
          <w:sz w:val="17"/>
          <w:szCs w:val="17"/>
          <w:color w:val="auto"/>
        </w:rPr>
        <w:t>Ms. Peters has served as our Chief Marketing Officer since September 2019. Prior to joining Marqeta, Ms. Peters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Officer of MuleSoft, Inc., an enterprise software company, from December 2017 to September 2019 and Vice President of Corporate Marketing from August 2015 to December 2017. Prior to MuleSoft, Ms. Peters held various roles at Intuit Inc., a global financial platform company, from September 2008 to July 2015, most recently as Director of Marketing, Small Business Group from April 2014 to July 2015. Ms. Peters started her career as a strategy consultant at Bain &amp; Company, a global management consulting firm, from October 2002 to June 2005. Ms. Peters holds a Master of Public Administration from Harvard University, a Master of Business Administration in Marketing and Finance from the Kellogg School of Management at Northwestern University, and a Bachelor of Science in Industrial Engineering from Northwestern University.</w:t>
      </w:r>
    </w:p>
    <w:p>
      <w:pPr>
        <w:spacing w:after="0" w:line="17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i w:val="1"/>
          <w:iCs w:val="1"/>
          <w:color w:val="auto"/>
        </w:rPr>
        <w:t>Darren Mowry</w:t>
      </w:r>
      <w:r>
        <w:rPr>
          <w:rFonts w:ascii="Arial" w:cs="Arial" w:eastAsia="Arial" w:hAnsi="Arial"/>
          <w:sz w:val="17"/>
          <w:szCs w:val="17"/>
          <w:color w:val="auto"/>
        </w:rPr>
        <w:t>. Mr. Mowry has served as our Chief Revenue Officer since June 2021. Prior to joining Marqeta, Mr. Mowry held positions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responsibility at Amazon Web Services, a subsidiary of Amazon.com, Inc., a publicly traded company, that provides on-demand cloud computing platforms and APIs, from November 2011 to April 2021, including as Managing Director of Europe, Middle East, and Africa (EMEA) from March 2020 to April 2021, Managing Director, United Kingdom and Ireland from April 2019 to April 2020, and Managing Director, Business Development, Amazon Web Services EMEA from May 2017 to April 2019. Prior to Amazon Web Services, Mr. Mowry held several roles at Microsoft Corporation, a publicly traded multinational computer software company from May 2002 to November 2011, most recently as Director, Mid-Atlantic District from June 2008 to November 2011. Mr. Mowry holds a graduate specialization and certification in Change Management and Organizational Development from Georgetown University and a Bachelor of Arts in Public Relations from The University of Alabama.</w:t>
      </w:r>
    </w:p>
    <w:p>
      <w:pPr>
        <w:spacing w:after="0" w:line="17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Randy Kern</w:t>
      </w:r>
      <w:r>
        <w:rPr>
          <w:rFonts w:ascii="Arial" w:cs="Arial" w:eastAsia="Arial" w:hAnsi="Arial"/>
          <w:sz w:val="18"/>
          <w:szCs w:val="18"/>
          <w:color w:val="auto"/>
        </w:rPr>
        <w:t>. Mr. Kern has served as our Chief Technology Officer since June 2021. Prior to joining Marqeta, Mr. Kern held positions of increasing</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at salesforce.com, inc., a publicly traded cloud-based customer relationship management company, from May 2014 to May 2021, including as Executive Vice President of Infrastructure Engineering and Executive Vice President, Chief Customer Technology Officer. Prior to Salesforce, Mr. Kern served as a Partner Director of Development at Microsoft Corporation, a publicly traded multinational computer software company from February 2002 to May 2014.</w:t>
      </w:r>
    </w:p>
    <w:p>
      <w:pPr>
        <w:spacing w:after="0" w:line="188"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Tripp Faix</w:t>
      </w:r>
      <w:r>
        <w:rPr>
          <w:rFonts w:ascii="Arial" w:cs="Arial" w:eastAsia="Arial" w:hAnsi="Arial"/>
          <w:sz w:val="17"/>
          <w:szCs w:val="17"/>
          <w:color w:val="auto"/>
        </w:rPr>
        <w:t>. Mr. Faix has served as our Chief Financial Officer since August 2018. Prior to joining Marqeta, Mr. Faix served in several roles at Intuit</w:t>
      </w:r>
      <w:r>
        <w:rPr>
          <w:rFonts w:ascii="Arial" w:cs="Arial" w:eastAsia="Arial" w:hAnsi="Arial"/>
          <w:sz w:val="17"/>
          <w:szCs w:val="17"/>
          <w:i w:val="1"/>
          <w:iCs w:val="1"/>
          <w:color w:val="auto"/>
        </w:rPr>
        <w:t xml:space="preserve"> </w:t>
      </w:r>
      <w:r>
        <w:rPr>
          <w:rFonts w:ascii="Arial" w:cs="Arial" w:eastAsia="Arial" w:hAnsi="Arial"/>
          <w:sz w:val="17"/>
          <w:szCs w:val="17"/>
          <w:color w:val="auto"/>
        </w:rPr>
        <w:t>Inc., a publicly traded global financial platform company, from September 2011 to August 2018, most recently as the Head of Finance for the Services Division of the Small Business Group. Mr. Faix also worked at Blackstone Advisory Partners L.P. (formerly known as The Blackstone Group L.P.), a global investment firm, from 2008 to 2010, most recently as Vice President. Mr. Faix also worked at Bear Stearns, a global investment bank, from 2006 to 2008 as an Associate in the investment banking division. Mr. Faix holds a Master of Business Administration from the Wharton School of Business of the University of Pennsylvania and a Bachelor of Arts in History from Georgetown University.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Seth Weissman</w:t>
      </w:r>
      <w:r>
        <w:rPr>
          <w:rFonts w:ascii="Arial" w:cs="Arial" w:eastAsia="Arial" w:hAnsi="Arial"/>
          <w:sz w:val="17"/>
          <w:szCs w:val="17"/>
          <w:color w:val="auto"/>
        </w:rPr>
        <w:t>. Mr. Weissman has served as our Chief Legal Officer and General Counsel since April 2019 and Secretary since October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Weissman has also served as Principal at Pacifica Coaching and Consulting, an executive coaching and consulting services firm, since June 2017. Since December 2016, Mr. Weissman has been an Advisory Board Member of Powerhouse Venture Fund I L.P., an innovation firm and venture fund. From September 2008 to November 2016, Mr. Weissman served as the Executive Vice President, General Counsel, and Secretary for SolarCity Corporation, a provider of energy services and publicly traded company until its acquisition by Tesla, Inc. in 2016. Mr. Weissman holds a Juris Doctor from Boston University School of Law and a Bachelor of Arts in Political Science from Pennsylvania State University.</w:t>
      </w:r>
    </w:p>
    <w:p>
      <w:pPr>
        <w:spacing w:after="0" w:line="17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Renata Caine</w:t>
      </w:r>
      <w:r>
        <w:rPr>
          <w:rFonts w:ascii="Arial" w:cs="Arial" w:eastAsia="Arial" w:hAnsi="Arial"/>
          <w:sz w:val="18"/>
          <w:szCs w:val="18"/>
          <w:color w:val="auto"/>
        </w:rPr>
        <w:t>. Ms. Caine has served as our Senior Vice President of International, Strategy, and Planning since January 2021. Ms. Caine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Vice President of Corporate Strategy and Planning from September 2019 to January 2021 and Head of International Strategy from December 2017 to August 2019. Prior to joining Marqeta, Ms. Caine held various roles at WEX Inc., a publicly traded global corporate payment solutions company, from May 2006 to December 2017, most recently as Vice President of Virtual Payments from June 2015 to December 2017. Ms. Caine holds a Bachelor of Arts in Psychology from the University of Minnesota.</w:t>
      </w:r>
    </w:p>
    <w:p>
      <w:pPr>
        <w:spacing w:after="0" w:line="18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i w:val="1"/>
          <w:iCs w:val="1"/>
          <w:color w:val="auto"/>
        </w:rPr>
        <w:t>Brian Kieley</w:t>
      </w:r>
      <w:r>
        <w:rPr>
          <w:rFonts w:ascii="Arial" w:cs="Arial" w:eastAsia="Arial" w:hAnsi="Arial"/>
          <w:sz w:val="17"/>
          <w:szCs w:val="17"/>
          <w:color w:val="auto"/>
        </w:rPr>
        <w:t>. Mr. Kieley has served as our Senior Vice President of Program Management since February 2019, and he served as our Head of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from April 2018 to February 2019. Prior to joining Marqeta, Mr. Kieley served as the Chief Operating Officer of Rêv Worldwide, Inc., a payment products and services technology company, from November 2016 to April 2018. From June 2016 to March 2018, Mr. Kieley served as the volunteer Vice President of Social Media &amp; Marketing at Austin SCORE Association, a national non-profit organization that provides free mentorship and free or low-cost education to small businesses across the United States. From June 2014 to November 2016, Mr. Kieley was a self-employed Global Payments and Operations Consultant, working with the provincial government ministry in Canada. From February 2005 to January 2014, Mr. Kieley held a variety of customer service, operations, and product development roles at Visa Inc., a publicly traded global financial platform company, most recently as Senior Vice President and Global Head of Client Support Services from November 2011 to January 2014. Mr. Kieley holds a Bachelor of Commerce in General Finance from Carleton University.</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Employees</w:t>
      </w:r>
    </w:p>
    <w:p>
      <w:pPr>
        <w:spacing w:after="0" w:line="121"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Lori McAdams</w:t>
      </w:r>
      <w:r>
        <w:rPr>
          <w:rFonts w:ascii="Arial" w:cs="Arial" w:eastAsia="Arial" w:hAnsi="Arial"/>
          <w:sz w:val="17"/>
          <w:szCs w:val="17"/>
          <w:color w:val="auto"/>
        </w:rPr>
        <w:t>. Ms. McAdams has served as our Chief People Officer since March 2020. Prior to joining Marqeta, Ms. McAdams served as the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of People of LendingHome Corporation, a real estate lending company, from August 2018 to March 2020. From April 2004 to May 2018, Ms. McAdams served as the Vice President of Human Resources and Administration of Pixar Animation Studios, a computer animation studio and division of The Walt Disney Company. Ms. McAdams holds a Master of Arts in Human Resources and Organizational Development from the University of San Francisco and a Bachelor of Arts in Communications from California State University, Chico.</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Ms. McAdams has informed us of her plans to resign her position at Marqeta, and we have begun a process for identifying her successor. Ms. McAdams currently intends to stay with Marqeta in her capacity as Chief People Officer until her successor has been identified. Ms. McAdams’ formal departure may occur before or after the consummation of this offering, depending on when a successor is identified.</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i w:val="1"/>
          <w:iCs w:val="1"/>
          <w:color w:val="auto"/>
        </w:rPr>
        <w:t>Amy Chang</w:t>
      </w:r>
      <w:r>
        <w:rPr>
          <w:rFonts w:ascii="Arial" w:cs="Arial" w:eastAsia="Arial" w:hAnsi="Arial"/>
          <w:sz w:val="17"/>
          <w:szCs w:val="17"/>
          <w:color w:val="auto"/>
        </w:rPr>
        <w:t>. Ms. Chang has served as a member of our board of directors since April 2021. She has served as Executive Advisor at Cisco Systems, Inc.,</w:t>
      </w:r>
      <w:r>
        <w:rPr>
          <w:rFonts w:ascii="Arial" w:cs="Arial" w:eastAsia="Arial" w:hAnsi="Arial"/>
          <w:sz w:val="17"/>
          <w:szCs w:val="17"/>
          <w:i w:val="1"/>
          <w:iCs w:val="1"/>
          <w:color w:val="auto"/>
        </w:rPr>
        <w:t xml:space="preserve"> </w:t>
      </w:r>
      <w:r>
        <w:rPr>
          <w:rFonts w:ascii="Arial" w:cs="Arial" w:eastAsia="Arial" w:hAnsi="Arial"/>
          <w:sz w:val="17"/>
          <w:szCs w:val="17"/>
          <w:color w:val="auto"/>
        </w:rPr>
        <w:t>a publicly traded networking technology company, since August 2020 and previously served as Executive Vice President and General Manager of Cisco Systems’ Collaboration Technology Group from May 2018 to July 2020. She is the founder and former Chief Executive Officer of Accompani, Inc., a relationship intelligence company, a position she held from May 2013 to May 2018. She previously held positions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increasing responsibility at Google, Inc., a multinational technology company, from July 2005 to November 2012, most recently serving as Global Head of Product, Google Ads Measurement and Reporting. Prior to joining Google, she held product management and strategy positions at eBay, Inc., a global commerce provider, and served as a consultant with McKinsey &amp; Company, a management consulting firm, where she specialized in semi-conductors, software, and services. Ms. Chang has served as a board member of Procter &amp; Gamble Co., a publicly traded multi-national consumer goods company, since April 2017 and as a board member of The Walt Disney Company, a multinational media and entertainment company, since May 2021. Ms. Chang served on the board of directors of Cisco Systems from October 2016 to May 2018, Splunk, Inc., a publicly traded big data company, from March 2015 to March 2017, Informatica Corporation, a publicly traded software development company, from July 2012 to August 2015, when it was taken private, and was a member of Target Corporation’s Digital Advisory Council from May 2013 to February 2016. Ms. Chang holds a Master of Science in Electrical Engineering from Stanford University and a Bachelor of Science in Electrical Engineering from Stanford University.</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Ms. Chang is qualified to serve as a member of our board of directors because of her extensive experience in leadership and online marketing and her previous board experience.</w:t>
      </w:r>
    </w:p>
    <w:p>
      <w:pPr>
        <w:spacing w:after="0" w:line="170"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i w:val="1"/>
          <w:iCs w:val="1"/>
          <w:color w:val="auto"/>
        </w:rPr>
        <w:t>Martha Cummings</w:t>
      </w:r>
      <w:r>
        <w:rPr>
          <w:rFonts w:ascii="Arial" w:cs="Arial" w:eastAsia="Arial" w:hAnsi="Arial"/>
          <w:sz w:val="18"/>
          <w:szCs w:val="18"/>
          <w:color w:val="auto"/>
        </w:rPr>
        <w:t>. Ms. Cummings has served as a member of our board of directors since January 2021. From July 2018 to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Ms. Cummings served as Executive Vice President, Head of Compliance Strategy &amp; Operations at Wells Fargo Bank N.A., a publicly traded global financial services company. Previously, from October 2012 to June 2018, Ms. Cummings served as Senior Vice President and Senior Supervisory Officer at the Federal Reserve Bank of New York. Ms. Cummings served in several roles with Banco Santander, S.A., a publicly traded multinational financial services company, between October 2006 and September 2012, including Managing Director, Head of North America Financial Sponsors and Managing Director, Chief Risk Officer for Banco Santander S.A., New York Branch, and was Senior Vice President, Latin America Capital Markets Risk from September 1997 to April 2001. Ms. Cummings holds a Master of Business Administration from the Wharton School of Business and a Master of Arts in International Studies from the Lauder Institute of the University of Pennsylvania, and a Bachelor of Arts in Economics from the University of Minnesota.</w:t>
      </w:r>
    </w:p>
    <w:p>
      <w:pPr>
        <w:spacing w:after="0" w:line="19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Cummings is qualified to serve as a member of our board of directors because of her experience in management and her knowledge of the global financial services industry.</w:t>
      </w:r>
    </w:p>
    <w:p>
      <w:pPr>
        <w:spacing w:after="0" w:line="170"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i w:val="1"/>
          <w:iCs w:val="1"/>
          <w:color w:val="auto"/>
        </w:rPr>
        <w:t>Gerri Elliott</w:t>
      </w:r>
      <w:r>
        <w:rPr>
          <w:rFonts w:ascii="Arial" w:cs="Arial" w:eastAsia="Arial" w:hAnsi="Arial"/>
          <w:sz w:val="16"/>
          <w:szCs w:val="16"/>
          <w:color w:val="auto"/>
        </w:rPr>
        <w:t>. Ms. Elliott has served as a member of our board of directors since April 2021. She has served as Executive Vice President and Chief Sales</w:t>
      </w:r>
      <w:r>
        <w:rPr>
          <w:rFonts w:ascii="Arial" w:cs="Arial" w:eastAsia="Arial" w:hAnsi="Arial"/>
          <w:sz w:val="16"/>
          <w:szCs w:val="16"/>
          <w:i w:val="1"/>
          <w:iCs w:val="1"/>
          <w:color w:val="auto"/>
        </w:rPr>
        <w:t xml:space="preserve"> </w:t>
      </w:r>
      <w:r>
        <w:rPr>
          <w:rFonts w:ascii="Arial" w:cs="Arial" w:eastAsia="Arial" w:hAnsi="Arial"/>
          <w:sz w:val="16"/>
          <w:szCs w:val="16"/>
          <w:color w:val="auto"/>
        </w:rPr>
        <w:t>and Marketing Officer at Cisco Systems, Inc., a publicly traded networking technology company, since April 2018. From July 2009 to March 2014, Ms. Elliott held positions of increasing responsibility at Juniper Networks, Inc., a publicly traded networking company, most recently serving as Executive Vice President, Strategic Advisor and Chief Customer Officer. Before joining Juniper Networks, Ms. Elliott held a series of senior executive positions at Microsoft Corporation, a publicly traded technology company, from September 2001 to December 2008, including as Corporate Vice President, Worldwide Public Sector. Prior to Microsoft, Ms. Elliott spent 21 years at International Business Machines Corporation, a publicly traded technology and consulting company, where she held executive and management positions in North America and Asia Pacific in sales, services, consulting, strategy development, and product management. Ms. Elliott has served on the board of directors of Whirlpool Corporation, a publicly traded home appliances company, since February 2014. Ms. Elliott was previously a director of Marvell Technology Group Ltd., a publicly traded data infrastructure company, from July 2017 to July 2018, Mimecast Limited, a publicly traded cloud services company, from November 2017 to April 2018, Imperva, Inc., a cybersecurity company that was publicly traded until its acquisition by Thoma Bravo in 2019, from August 2015 to May 2018, and Bed Bath &amp; Beyond, Inc., a publicly traded merchandise retailer, from February 2014 to July 2017. Ms. Elliott is the founder of Broadroom.com, a website dedicated to executive women who serve or want to serve on corporate boards. Ms. Elliott holds a Bachelor of Arts in Political Science from New York University.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Elliott is qualified to serve as a member of our board of directors because of her extensive experience in executive leadership and experience as a board member of several public companies.</w:t>
      </w:r>
    </w:p>
    <w:p>
      <w:pPr>
        <w:spacing w:after="0" w:line="1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i w:val="1"/>
          <w:iCs w:val="1"/>
          <w:color w:val="auto"/>
        </w:rPr>
        <w:t>Helen Riley</w:t>
      </w:r>
      <w:r>
        <w:rPr>
          <w:rFonts w:ascii="Arial" w:cs="Arial" w:eastAsia="Arial" w:hAnsi="Arial"/>
          <w:sz w:val="16"/>
          <w:szCs w:val="16"/>
          <w:color w:val="auto"/>
        </w:rPr>
        <w:t>. Ms. Riley has served as a member of our board of directors since May 2020. Since June 2015, Ms. Riley has served as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at X Development LLC, a research and development company and subsidiary of Alphabet, Inc., a publicly traded internet-related services and products company. From 2011 to 2015, Ms. Riley was the Senior Finance Director of Global Marketing and Global General Administration at Google LLC, a multinational technology company and subsidiary of Alphabet, Inc. Ms. Riley held various other positions in finance at Google from 2003 to 2011. Ms. Riley currently serves on the board of directors of Eventbrite Inc., a publicly traded global service ticketing platform. She also serves on the board of directors of WildAid, a wildlife conservation non-profit organization. Ms. Riley holds a Master of Business Administration from the Harvard Business School and a Bachelor of Arts in Philosophy, Politics and Economics and a Master of Arts from the University of Oxford.</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Riley is qualified to serve as a member of our board of directors because of her experience in management, knowledge of the global financial services industry, and experience as a board member of a public company.</w:t>
      </w:r>
    </w:p>
    <w:p>
      <w:pPr>
        <w:spacing w:after="0" w:line="17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Arnon Dinur</w:t>
      </w:r>
      <w:r>
        <w:rPr>
          <w:rFonts w:ascii="Arial" w:cs="Arial" w:eastAsia="Arial" w:hAnsi="Arial"/>
          <w:sz w:val="17"/>
          <w:szCs w:val="17"/>
          <w:color w:val="auto"/>
        </w:rPr>
        <w:t>. Mr. Dinur has served as a member of our board of directors since September 2013. Since June 2009, Mr. Dinur has served as a Partner at</w:t>
      </w:r>
      <w:r>
        <w:rPr>
          <w:rFonts w:ascii="Arial" w:cs="Arial" w:eastAsia="Arial" w:hAnsi="Arial"/>
          <w:sz w:val="17"/>
          <w:szCs w:val="17"/>
          <w:i w:val="1"/>
          <w:iCs w:val="1"/>
          <w:color w:val="auto"/>
        </w:rPr>
        <w:t xml:space="preserve"> </w:t>
      </w:r>
      <w:r>
        <w:rPr>
          <w:rFonts w:ascii="Arial" w:cs="Arial" w:eastAsia="Arial" w:hAnsi="Arial"/>
          <w:sz w:val="17"/>
          <w:szCs w:val="17"/>
          <w:color w:val="auto"/>
        </w:rPr>
        <w:t>83North, a venture capital firm. Previously, from November 2006 to June 2009, Mr. Dinur led mobile strategy at SanDisk Corporation, a publicly traded Flash memory card company, as Senior Vice President after joining SanDisk Corporation in connection with the acquisition of Msystems Ltd, in 2006. From July 2002 to November 2006, Mr. Dinur served in several roles, including Senior Vice President of Strategy and M&amp;A and Corporate Vice President and General Manager of the DiskOnKey division, at Msystems, a producer of flash memory storage products. Mr. Dinur currently serves on the board of directors of a number of privately held companies. Mr. Dinur holds a Master of Business Administration from the University of Texas at Austin and a Bachelor of Laws and a Bachelor of Arts in Accounting from Tel Aviv University.</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Dinur is qualified to serve as a member of our board of directors because of his experience as a seasoned venture capital investor, his experience as a current and former director of many companies and his knowledge of the industry that we operate in.</w:t>
      </w:r>
    </w:p>
    <w:p>
      <w:pPr>
        <w:spacing w:after="0" w:line="17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i w:val="1"/>
          <w:iCs w:val="1"/>
          <w:color w:val="auto"/>
        </w:rPr>
        <w:t>Judson Linville</w:t>
      </w:r>
      <w:r>
        <w:rPr>
          <w:rFonts w:ascii="Arial" w:cs="Arial" w:eastAsia="Arial" w:hAnsi="Arial"/>
          <w:sz w:val="17"/>
          <w:szCs w:val="17"/>
          <w:color w:val="auto"/>
        </w:rPr>
        <w:t>. Mr. Linville has served as a member of our board of directors since May 2020. Since October 2019, Mr. Linville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Senior Advisor at General Atlantic LLC, a global growth equity firm. He previously served as the Chief Executive Officer of Global Cards and Consumer Services at Citigroup Inc., a publicly traded global financial services institution, from November 2010 to September 2018. Prior to joining Citigroup, Mr. Linville served in various leadership roles at American Express Company, a publicly traded multinational financial services corporation, from October 1989 to October 2010, including as President and Chief Executive Officer of Consumer Services, President of the U.S. Consumer Card Services Group and President of Corporate Services. Mr. Linville currently serves as a member of the Board of Visitors of Duke University’s Fuqua School of Business and as a member of the Board of Trustees of Lafayette College. Mr. Linville holds a Doctor of Psychology in Clinical Psychology from the College of Medicine at Drexel University and a Bachelor of Arts in Psychology from Lafayette College.</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believe that Mr. Linville is qualified to serve as a member of our board of directors because of his extensive business experience in the financial industry, his experience in management and his knowledge of the industry that we operate in.</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i w:val="1"/>
          <w:iCs w:val="1"/>
          <w:color w:val="auto"/>
        </w:rPr>
        <w:t>Christopher McKay</w:t>
      </w:r>
      <w:r>
        <w:rPr>
          <w:rFonts w:ascii="Arial" w:cs="Arial" w:eastAsia="Arial" w:hAnsi="Arial"/>
          <w:sz w:val="18"/>
          <w:szCs w:val="18"/>
          <w:color w:val="auto"/>
        </w:rPr>
        <w:t>. Mr. McKay has served as a member of our board of directors since June 2011. Mr. McKay is a Managing Director of Granite</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a venture capital firm he joined at its inception in September 1998. Prior to Granite Ventures, Mr. McKay worked as an Associate in the venture capital group at Hambrecht &amp; Quist, an investment bank. Mr. McKay currently serves on the board of directors of a number of privately held software companies. Mr. McKay holds a Bachelor of Arts in English Literature from the University of Virginia.</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McKay is qualified to serve as a member of our board of directors because of his extensive experience in the venture capital industry and as a board member of privately held technology companies and his knowledge of software and financial technology.</w:t>
      </w:r>
    </w:p>
    <w:p>
      <w:pPr>
        <w:spacing w:after="0" w:line="17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i w:val="1"/>
          <w:iCs w:val="1"/>
          <w:color w:val="auto"/>
        </w:rPr>
        <w:t>Godfrey Sullivan</w:t>
      </w:r>
      <w:r>
        <w:rPr>
          <w:rFonts w:ascii="Arial" w:cs="Arial" w:eastAsia="Arial" w:hAnsi="Arial"/>
          <w:sz w:val="18"/>
          <w:szCs w:val="18"/>
          <w:color w:val="auto"/>
        </w:rPr>
        <w:t>. Mr. Sullivan has served on our board of directors since May 2021. Mr. Sullivan previously served as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Splunk, Inc., a publicly traded big data company, from September 2008 to November 2015. Prior to Splunk, Mr. Sullivan held several executive roles at Hyperion Solutions Corporation, a performance management software company acquired by Oracle Corporation in April 2007, most recently as President and Chief Executive Officer from October 2001 to April 2007. Mr. Sullivan has served as a member of the board of directors of CrowdStrike Holdings, Inc., a publicly traded cybersecurity company, since December 2017 and Ring Central, Inc., a publicly traded software-as-a-service solutions provider, since April 2019. Mr. Sullivan previously served on the board of directors of Splunk, Inc. from December 2011 to June 2019, including as chairman of the board of directors from December 2011 until March 2019, Citrix Systems, Inc., a publicly traded enterprise software company, from February 2005 to June 2018, and Informatica Corporation, a publicly traded software development company, from January 2008 to June 2013. Mr. Sullivan holds a Bachelor of Business Administration in Real Estate and Economics from the Hankamer School of Business at Baylor University.</w:t>
      </w:r>
    </w:p>
    <w:p>
      <w:pPr>
        <w:spacing w:after="0" w:line="19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Mr. Sullivan is qualified to serve as a member of our board of directors because of his extensive experience in leadership, business, and software, and his experience as a board member of several public companies.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board of directors has adopted a code of conduct that will apply to all of our employees, officers and directors, including our Chief Executive Officer, Chief Financial Officer and other executive and senior financial officers. Upon the completion of this offering, we will post the full text of our code of conduct on our website. We intend to disclose any amendments to our code of conduct, or waivers of its requirements, on our website or in filings under the Exchange Act.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that will become effective immediately prior to the completion of this offering. Our board of directors consists of nine directors, eight of whom will qualify as “independent” under Nasdaq listing standards.</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and our amended and restated bylaws, immediately after the completion of this offering our board of directors will be divided into three classes with staggered three-year terms. Only one class of directors will be elected at each annual meeting of our stockholders, with the other classes continuing for the remainder of their respective three-year terms. Our directors will be divided among the three classes as follows:</w:t>
      </w:r>
    </w:p>
    <w:p>
      <w:pPr>
        <w:spacing w:after="0" w:line="92" w:lineRule="exact"/>
        <w:rPr>
          <w:sz w:val="20"/>
          <w:szCs w:val="20"/>
          <w:color w:val="auto"/>
        </w:rPr>
      </w:pPr>
    </w:p>
    <w:p>
      <w:pPr>
        <w:ind w:left="880" w:right="20" w:hanging="224"/>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Class I directors will be Mr. Gardner, Mr. Dinur, and Mr. McKay, and their terms will expire at the annual meeting of stockholders to be held in 2022;</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Class II directors will be Ms. Cummings, Ms. Riley, and Mr. Linville, and their terms will expire at the annual meeting of stockholders to be held in 2023; and</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Class III directors will be Ms. Chang, Ms. Elliott, and Mr. Sullivan, and their terms will expire at the annual meeting of stockholders to be held in 2024.</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Messrs. Dinur, Linville, McKay, and Sullivan and Mmes. Chang, Cummings, Elliott, and Riley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Lead Independent Director</w:t>
      </w:r>
    </w:p>
    <w:p>
      <w:pPr>
        <w:spacing w:after="0" w:line="22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Our board of directors has adopted, effective upon the completion of this offering, corporate governance guidelines that provide that one of our independent directors will serve as our lead independent director. Our board of directors has appointed Mr. Linville to serve as our lead independent director. As lead independent director, Mr. Linville will preside over periodic meetings of our independent directors, serve as a liaison between the Chairperson of our board of directors and the independent directors, and perform such additional duties as our board of directors may otherwise determine and delegate.</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audit committee consists of Mmes. Riley and Cummings and Messrs. McKay and Sullivan, with Ms. Riley serving as Chairperson. The composition of our audit committee meets the requirements for independence under current Nasdaq listing standards and SEC rules and regulations. Each member of our audit committee meets the financial literacy requirements of Nasdaq listing standards. In addition, our board of directors has determined that Ms. Riley is an audit committee financial expert within the meaning of Item 407(d) of Regulation S-K under the Securities Act. Our audit committee will, among other things:</w:t>
      </w:r>
    </w:p>
    <w:p>
      <w:pPr>
        <w:spacing w:after="0" w:line="93"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registered public accounting firm, our interim and year-end results of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our financial statements and our critical accounting policies and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the adequacy of our internal controls;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related-party transactions;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pre-approve all audit and all permissible non-audit services to be performed by the independent registered public accounting firm; and</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oversee the performance of our internal audit function when established.</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rules of the SEC and the listing standards of Nasdaq.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compensation committee consists of Ms. Elliott and Messrs. Linville, Dinur and McKay, with Mr. Linville serving as Chairperson.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of directors relating to compensation of our executive officers. Our compensation committee will, among other things:</w:t>
      </w:r>
    </w:p>
    <w:p>
      <w:pPr>
        <w:spacing w:after="0" w:line="93" w:lineRule="exact"/>
        <w:rPr>
          <w:sz w:val="20"/>
          <w:szCs w:val="20"/>
          <w:color w:val="auto"/>
        </w:rPr>
      </w:pPr>
    </w:p>
    <w:p>
      <w:pPr>
        <w:ind w:left="880" w:hanging="224"/>
        <w:spacing w:after="0"/>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 approve and determine, or make recommendations to our board of directors regarding, the compensation of our executive officers;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administer our stock and equity incentive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and approve, or make recommendation to our board of directors regarding, incentive compensation and equity plans;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and review general policies relating to compensation and benefits of our employees.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rules of the SEC and the listing standards of Nasdaq.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nominating and corporate governance committee consists of Mmes. Cummings and Chang and Mr. Dinur, with Ms. Cummings serving as Chairperson. The composition of our nominating and corporate governance committee meets the requirements for independence under Nasdaq listing standards and SEC rules and regulations. Our nominating and corporate governance committee will, among other things:</w:t>
      </w:r>
    </w:p>
    <w:p>
      <w:pPr>
        <w:spacing w:after="0" w:line="71" w:lineRule="exact"/>
        <w:rPr>
          <w:sz w:val="20"/>
          <w:szCs w:val="20"/>
          <w:color w:val="auto"/>
        </w:rPr>
      </w:pPr>
    </w:p>
    <w:p>
      <w:pPr>
        <w:ind w:left="880" w:right="20" w:hanging="224"/>
        <w:spacing w:after="0" w:line="277"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develop and make recommendations to our board of directors regarding corporate governance guidelines and matters.</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nominating and corporate governance committee will operate under a written charter, to be effective prior to the completion of this offering, that satisfies the applicable listing requirements and rules of Nasdaq.</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Role of Board of Directors in Risk Oversight Process</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 See the section titled “Certain Relationships and Related Party Transactions” for information about related party transaction involving members of our compensation committee or their affiliates.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Other than as set forth in the table and described more fully below, we did not provide any compensation or make any equity awards or non-equity awards to any person who served as a non-employee member of our board of directors during 2020. During 2020, Jason Gardner, our Chief Executive Officer, and Omri Dahan, our former Chief Revenue Officer, served as members of our board of directors as well as employees, and received no additional compensation for their services as a member of our board of directors. Mr. Dahan’s service as a member of our board terminated in November 2020. See the section titled “Executive Compensation” for more information about Mr. Gardner and Mr. Dahan’s compensation for 2020. We reimburse all reasonable out-of-pocket expenses incurred by directors for their attendance at meetings of our board of directors or any committee thereof.</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w:t>
            </w:r>
            <w:r>
              <w:rPr>
                <w:rFonts w:ascii="Arial" w:cs="Arial" w:eastAsia="Arial" w:hAnsi="Arial"/>
                <w:sz w:val="12"/>
                <w:szCs w:val="12"/>
                <w:b w:val="1"/>
                <w:bCs w:val="1"/>
                <w:color w:val="auto"/>
                <w:w w:val="90"/>
              </w:rPr>
              <w:t>(1)</w:t>
            </w:r>
          </w:p>
        </w:tc>
        <w:tc>
          <w:tcPr>
            <w:tcW w:w="766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(2)(3)</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w:t>
            </w:r>
          </w:p>
        </w:tc>
      </w:tr>
      <w:tr>
        <w:trPr>
          <w:trHeight w:val="203"/>
        </w:trPr>
        <w:tc>
          <w:tcPr>
            <w:tcW w:w="8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McKay, Arnon Dinur, and Stefan Tirtey</w:t>
            </w:r>
            <w:r>
              <w:rPr>
                <w:rFonts w:ascii="Arial" w:cs="Arial" w:eastAsia="Arial" w:hAnsi="Arial"/>
                <w:sz w:val="15"/>
                <w:szCs w:val="15"/>
                <w:color w:val="auto"/>
              </w:rPr>
              <w:t>(4)</w:t>
            </w:r>
          </w:p>
        </w:tc>
        <w:tc>
          <w:tcPr>
            <w:tcW w:w="14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Helen Riley</w:t>
            </w:r>
            <w:r>
              <w:rPr>
                <w:rFonts w:ascii="Arial" w:cs="Arial" w:eastAsia="Arial" w:hAnsi="Arial"/>
                <w:sz w:val="15"/>
                <w:szCs w:val="15"/>
                <w:color w:val="auto"/>
              </w:rPr>
              <w:t>(5)</w:t>
            </w: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1,344,000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1,344,000</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Judson Linville</w:t>
            </w:r>
            <w:r>
              <w:rPr>
                <w:rFonts w:ascii="Arial" w:cs="Arial" w:eastAsia="Arial" w:hAnsi="Arial"/>
                <w:sz w:val="15"/>
                <w:szCs w:val="15"/>
                <w:color w:val="auto"/>
              </w:rPr>
              <w:t>(6)</w:t>
            </w: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Except as set forth below, none of our directors held options to purchase our common stock or any other stock awards as of December 31, 2020.</w:t>
      </w:r>
    </w:p>
    <w:p>
      <w:pPr>
        <w:spacing w:after="0" w:line="22" w:lineRule="exact"/>
        <w:rPr>
          <w:rFonts w:ascii="Arial" w:cs="Arial" w:eastAsia="Arial" w:hAnsi="Arial"/>
          <w:sz w:val="16"/>
          <w:szCs w:val="16"/>
          <w:color w:val="auto"/>
        </w:rPr>
      </w:pPr>
    </w:p>
    <w:p>
      <w:pPr>
        <w:jc w:val="both"/>
        <w:ind w:left="660" w:right="20" w:hanging="544"/>
        <w:spacing w:after="0" w:line="268"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non-employee directors during fiscal year 2020, calculated in accordance with the Financial Accounting Standards Board, or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directors upon the exercise of the stock options or any sale of the underlying shares of Class B common stock.</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660" w:hanging="544"/>
        <w:spacing w:after="0" w:line="265"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Ms. Riley and Mr. Linville received options to purchase 600,000 and 500,000 shares of our Class B common stock, respectively, which vest in four equal annual installments commencing on May 14, 2020, subject to the non-employee director’s continuous service on the board of directors of the company through each applicable vesting date. The shares underlying the options are immediately exercisable. In the event of a Corporate Transaction (as defined in the 2011 Plan), the shares subject to the stock options shall accelerate and become fully vested as of the date of such Corporate Transaction.</w:t>
      </w:r>
    </w:p>
    <w:p>
      <w:pPr>
        <w:ind w:left="660" w:hanging="544"/>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Mr. Tirtey resigned from our board of directors in February 2021.</w:t>
      </w:r>
    </w:p>
    <w:p>
      <w:pPr>
        <w:spacing w:after="0" w:line="18" w:lineRule="exact"/>
        <w:rPr>
          <w:rFonts w:ascii="Arial" w:cs="Arial" w:eastAsia="Arial" w:hAnsi="Arial"/>
          <w:sz w:val="16"/>
          <w:szCs w:val="16"/>
          <w:color w:val="auto"/>
        </w:rPr>
      </w:pPr>
    </w:p>
    <w:p>
      <w:pPr>
        <w:jc w:val="both"/>
        <w:ind w:left="660" w:right="20" w:hanging="544"/>
        <w:spacing w:after="0" w:line="264"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Ms. Riley joined our board of directors in May 2020. As of December 31, 2020, Ms. Riley held an outstanding option for 600,000 shares of our Class B common stock. Pursuant to the board of director agreement we entered into with Ms. Riley on May 12, 2020, in consideration for her service as a non-employee director, she was granted an option for our Class B common stock.</w:t>
      </w:r>
    </w:p>
    <w:p>
      <w:pPr>
        <w:jc w:val="both"/>
        <w:ind w:left="660" w:hanging="544"/>
        <w:spacing w:after="0" w:line="276"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Mr. Linville joined our board of directors in May 2020. As of December 31, 2020, Mr. Linville held an outstanding option for 500,000 shares of our Class B common stock. Pursuant to the board of director agreement we entered into with Mr. Linville on May 12, 2020, in consideration for his service as a non-employee director, he was granted an option for our Class B common stock.</w:t>
      </w:r>
    </w:p>
    <w:p>
      <w:pPr>
        <w:spacing w:after="0" w:line="180"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January 2021, Martha Cummings joined our board of directors and received an early exercisable stock option to purchase 300,000 shares of our Class B common stock, which shares vest in four equal annual installments beginning on the first anniversary of January 12, 2021, subject to her continued services to us on our board of directors. In April 2021, Amy Chang and Gerri Elliott also joined our board of directors and each received an early exercisable stock option grant to purchase 600,000 shares of our Class B common stock, which shares vest in four equal annual installments beginning on the first anniversary of April 7, 2021 and April 12, 2021, respectively, subject to their continued services to us on our board of directors. Additionally, in April 2021, Ms. Cummings and Mr. Linville received an early exercisable stock option grant to purchase 300,000 and 100,000 shares of our Class B common stock, respectively which shares vest in four equal annual installments beginning on the first anniversary of January 12, 2021 and May 4, 2020, respectively, subject to their continued services to us on our board of directors. Lastly, in May 2021, Godfrey Sullivan joined our board of directors and received an early exercisable stock option to purchase 600,000 shares of our Class B common stock, which shares vest in four equal annual installments beginning on the first anniversary of May 5, 2021, subject to his continued services to us on our board of directors. In the event of a Corporate Transaction (as defined in the 2011 Plan), the shares subject to such stock options shall accelerate and become fully vested as of the date of such Corporate Transaction.</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Prior to this offering, we did not have a formal policy to compensate our non-employee directors and did not pay any cash compensation to any of our non-employee directors. In connection with this offering, we have adopted a formal policy pursuant to which our non-employee directors will be eligible to receive the following cash retainers and equity awards: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720" w:type="dxa"/>
            <w:vAlign w:val="bottom"/>
          </w:tcPr>
          <w:p>
            <w:pPr>
              <w:spacing w:after="0"/>
              <w:rPr>
                <w:sz w:val="20"/>
                <w:szCs w:val="20"/>
                <w:color w:val="auto"/>
              </w:rPr>
            </w:pPr>
            <w:r>
              <w:rPr>
                <w:rFonts w:ascii="Arial" w:cs="Arial" w:eastAsia="Arial" w:hAnsi="Arial"/>
                <w:sz w:val="18"/>
                <w:szCs w:val="18"/>
                <w:b w:val="1"/>
                <w:bCs w:val="1"/>
                <w:color w:val="auto"/>
              </w:rPr>
              <w:t>Annual Retainer for Board Membership</w:t>
            </w:r>
          </w:p>
        </w:tc>
        <w:tc>
          <w:tcPr>
            <w:tcW w:w="4220" w:type="dxa"/>
            <w:vAlign w:val="bottom"/>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Annual service on the board of directors</w:t>
            </w:r>
          </w:p>
        </w:tc>
        <w:tc>
          <w:tcPr>
            <w:tcW w:w="4220" w:type="dxa"/>
            <w:vAlign w:val="bottom"/>
          </w:tcPr>
          <w:p>
            <w:pPr>
              <w:jc w:val="right"/>
              <w:spacing w:after="0"/>
              <w:rPr>
                <w:sz w:val="20"/>
                <w:szCs w:val="20"/>
                <w:color w:val="auto"/>
              </w:rPr>
            </w:pPr>
            <w:r>
              <w:rPr>
                <w:rFonts w:ascii="Arial" w:cs="Arial" w:eastAsia="Arial" w:hAnsi="Arial"/>
                <w:sz w:val="18"/>
                <w:szCs w:val="18"/>
                <w:color w:val="auto"/>
              </w:rPr>
              <w:t>$ 50,000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82"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Our policy provides that each non-employee director that is elected to our board following our initial public offering will be granted a one-time restricted stock unit award of our Class A common stock with a value of $350,000, or the Initial Grant. Furthermore, on the date of each of our annual meetings of stockholders following the completion of this offering, each non-employee director who will continue as a non-employee director following such meeting and who has fully vested in all equity grants granted by us to such non-employee director prior to our initial public offering will be granted a restricted stock unit award of our Class A common stock with a value of $175,000, or the Annual Grant. The Annual Grant will vest in full on the earlier of (i) the first anniversary of the grant date or (ii) our next annual meeting of stockholders, subject to continued service through the applicable vesting date. The Initial Grant will vest in three equal annual installments commencing on the first anniversary of the grant date, subject to continued service through the applicable vesting date. Such awards are subject to full acceleration of vesting upon a “sale event” as defined in the 2021 Plan.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directors will receive no additional compensation for their service as a director.</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will reimburse all reasonable out-of-pocket expenses incurred by directors for their attendance at meetings of our board of directors or any committee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each individual who served as our principal executive officer during our fiscal year ending December 31, 2020, or fiscal year 2020, and our next two most highly compensated executive officers in respect of their service to our company for fiscal year 2020. We refer to these individuals as our named executive officers. Our named executive officers for fiscal year 2020 are:</w:t>
      </w:r>
    </w:p>
    <w:p>
      <w:pPr>
        <w:spacing w:after="0" w:line="82"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Jason Gardner, our Chief Executive Officer;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Omri Dahan, our Chief Revenue Officer (resigned from such position in February 2021);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Kevin Doerr, our Chief Product Officer.</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Our executive compensation program is based on a pay-for-performance philosophy. Compensation for our executive officers is composed primarily of the following main components: base salary, bonus, and equity incentives in the form of stock options. Our executive officers, like all full-time employees, are eligible to participate in our health and welfare benefit plans. As we transition from a private company to a publicly traded company, we intend to evaluate our compensation philosophy and compensation plans and arrangements as circumstances require.</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Summary Compensation Table</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earned by our named executive officers during fiscal year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Salary</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Bonus</w:t>
            </w:r>
          </w:p>
        </w:tc>
        <w:tc>
          <w:tcPr>
            <w:tcW w:w="106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1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2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560" w:type="dxa"/>
            <w:vAlign w:val="bottom"/>
          </w:tcPr>
          <w:p>
            <w:pPr>
              <w:jc w:val="right"/>
              <w:ind w:right="37"/>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80" w:type="dxa"/>
            <w:vAlign w:val="bottom"/>
          </w:tcPr>
          <w:p>
            <w:pPr>
              <w:spacing w:after="0"/>
              <w:rPr>
                <w:sz w:val="15"/>
                <w:szCs w:val="15"/>
                <w:color w:val="auto"/>
              </w:rPr>
            </w:pPr>
          </w:p>
        </w:tc>
        <w:tc>
          <w:tcPr>
            <w:tcW w:w="880" w:type="dxa"/>
            <w:vAlign w:val="bottom"/>
          </w:tcPr>
          <w:p>
            <w:pPr>
              <w:jc w:val="right"/>
              <w:ind w:right="20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880" w:type="dxa"/>
            <w:vAlign w:val="bottom"/>
          </w:tcPr>
          <w:p>
            <w:pPr>
              <w:jc w:val="center"/>
              <w:ind w:right="179"/>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80" w:type="dxa"/>
            <w:vAlign w:val="bottom"/>
          </w:tcPr>
          <w:p>
            <w:pPr>
              <w:spacing w:after="0"/>
              <w:rPr>
                <w:sz w:val="15"/>
                <w:szCs w:val="15"/>
                <w:color w:val="auto"/>
              </w:rPr>
            </w:pPr>
          </w:p>
        </w:tc>
        <w:tc>
          <w:tcPr>
            <w:tcW w:w="78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Gardner</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350,000</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9,778</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1,035,000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297,740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1,692,518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040" w:type="dxa"/>
            <w:vAlign w:val="bottom"/>
            <w:gridSpan w:val="2"/>
          </w:tcPr>
          <w:p>
            <w:pPr>
              <w:spacing w:after="0"/>
              <w:rPr>
                <w:sz w:val="20"/>
                <w:szCs w:val="20"/>
                <w:color w:val="auto"/>
              </w:rPr>
            </w:pPr>
            <w:r>
              <w:rPr>
                <w:rFonts w:ascii="Arial" w:cs="Arial" w:eastAsia="Arial" w:hAnsi="Arial"/>
                <w:sz w:val="18"/>
                <w:szCs w:val="18"/>
                <w:color w:val="auto"/>
              </w:rPr>
              <w:t>Omri Dahan</w:t>
            </w:r>
            <w:r>
              <w:rPr>
                <w:rFonts w:ascii="Arial" w:cs="Arial" w:eastAsia="Arial" w:hAnsi="Arial"/>
                <w:sz w:val="15"/>
                <w:szCs w:val="15"/>
                <w:color w:val="auto"/>
              </w:rPr>
              <w:t>(5)</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2020</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350,000</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14,668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931,500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397,391</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8,550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1,702,109</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Revenue Officer</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271,923</w:t>
            </w:r>
            <w:r>
              <w:rPr>
                <w:rFonts w:ascii="Arial" w:cs="Arial" w:eastAsia="Arial" w:hAnsi="Arial"/>
                <w:sz w:val="15"/>
                <w:szCs w:val="15"/>
                <w:color w:val="auto"/>
              </w:rPr>
              <w:t>(6)</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7,582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2,538,000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230,850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3,052,333</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Product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amounts reflect a discretionary bonus provided to the named executive officers in recognition of their services to us during fiscal year 2020.</w:t>
      </w:r>
    </w:p>
    <w:p>
      <w:pPr>
        <w:spacing w:after="0" w:line="22" w:lineRule="exact"/>
        <w:rPr>
          <w:rFonts w:ascii="Arial" w:cs="Arial" w:eastAsia="Arial" w:hAnsi="Arial"/>
          <w:sz w:val="16"/>
          <w:szCs w:val="16"/>
          <w:color w:val="auto"/>
        </w:rPr>
      </w:pPr>
    </w:p>
    <w:p>
      <w:pPr>
        <w:ind w:left="660" w:right="100" w:hanging="544"/>
        <w:spacing w:after="0" w:line="268"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named executive officers during our fiscal year ending December 31, 2020, or fiscal year 2020, calculated in accordance with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named executive officers upon the exercise of the stock options or any sale of the underlying shares of Class B common stock.</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60" w:hanging="544"/>
        <w:spacing w:after="0" w:line="26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amounts reported reflect bonuses paid to each of our named executive officers, as described more fully in the “Narratives to 2020 Summary Compensation Table” below.</w:t>
      </w:r>
    </w:p>
    <w:p>
      <w:pPr>
        <w:spacing w:after="0" w:line="1" w:lineRule="exact"/>
        <w:rPr>
          <w:rFonts w:ascii="Arial" w:cs="Arial" w:eastAsia="Arial" w:hAnsi="Arial"/>
          <w:sz w:val="16"/>
          <w:szCs w:val="16"/>
          <w:color w:val="auto"/>
        </w:rPr>
      </w:pPr>
    </w:p>
    <w:p>
      <w:pPr>
        <w:ind w:left="660" w:hanging="544"/>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amount reported represents a 401(k) matching contribution.</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Dahan resigned as our Chief Revenue Officer in February 2021.</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Doerr joined us in March 2020 and his salary reflects his compensation for his partial year of service.</w:t>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Narratives to 2020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For fiscal year 2020, the annual base salary for each of Mr. Gardner, Mr. Dahan, and Mr. Doerr was $350,000.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Bonuses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During fiscal year 2020, our named executive officers were eligible to earn a cash bonus based upon achievement of both corporate and individual goals determined by the board of directors based on a target percentage of annual base salary. The bonus targets for Mr. Gardner, Mr. Dahan, and Mr. Doerr were 50%, 75%, and 50% of their respective base salaries. For fiscal year 2020, Mr. Doerr’s bonus was prorated to account for his partial year of employment starting in March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may grant equity incentive awards to them from time to time. During fiscal year 2020, we granted stock options to purchase shares of our Class B common stock to Mr. Gardner, Mr. Dahan, and Mr. Doerr, as described in more detail in the “Outstanding Equity Awards at Fiscal 2020 Year End” table.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generally do not provide perquisites to our executives, other than 401(k) matching contributions that are provided to all of our employees, including our named executive officers.</w:t>
      </w:r>
    </w:p>
    <w:p>
      <w:pPr>
        <w:spacing w:after="0" w:line="27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Executive Employment Arrangements</w:t>
      </w:r>
    </w:p>
    <w:p>
      <w:pPr>
        <w:spacing w:after="0" w:line="229" w:lineRule="exact"/>
        <w:rPr>
          <w:sz w:val="20"/>
          <w:szCs w:val="20"/>
          <w:color w:val="auto"/>
        </w:rPr>
      </w:pPr>
    </w:p>
    <w:p>
      <w:pPr>
        <w:ind w:left="120" w:right="5020"/>
        <w:spacing w:after="0" w:line="375" w:lineRule="auto"/>
        <w:rPr>
          <w:sz w:val="20"/>
          <w:szCs w:val="20"/>
          <w:color w:val="auto"/>
        </w:rPr>
      </w:pPr>
      <w:r>
        <w:rPr>
          <w:rFonts w:ascii="Arial" w:cs="Arial" w:eastAsia="Arial" w:hAnsi="Arial"/>
          <w:sz w:val="18"/>
          <w:szCs w:val="18"/>
          <w:b w:val="1"/>
          <w:bCs w:val="1"/>
          <w:i w:val="1"/>
          <w:iCs w:val="1"/>
          <w:color w:val="auto"/>
        </w:rPr>
        <w:t xml:space="preserve">Offer Letters in Place During the Fiscal Year 2020 for Named Executive Officers </w:t>
      </w:r>
      <w:r>
        <w:rPr>
          <w:rFonts w:ascii="Arial" w:cs="Arial" w:eastAsia="Arial" w:hAnsi="Arial"/>
          <w:sz w:val="18"/>
          <w:szCs w:val="18"/>
          <w:i w:val="1"/>
          <w:iCs w:val="1"/>
          <w:color w:val="auto"/>
        </w:rPr>
        <w:t>Jason Gardner</w:t>
      </w:r>
    </w:p>
    <w:p>
      <w:pPr>
        <w:spacing w:after="0" w:line="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June 6, 2011, we entered into an employment offer letter with Mr. Gardner for the position of Chief Executive Officer. The offer letter provides for Mr. Gardner’s at-will employment and sets forth his initial base salary and eligibility to participate in our benefit plans. Mr. Gardner is subject to our proprietary information and inventions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Omri Dahan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June 9, 2011, we entered into an employment offer letter with Mr. Dahan for the position of Vice President of Business Development; Mr. Dahan subsequently served as our Chief Revenue Officer, a position he held until February 1, 2021. The offer letter provided for Mr. Dahan’s at-will employment and set forth his initial base salary, an initial stock option grant, and eligibility to participate in our benefit plans. Mr. Dahan was subject to our proprietary information and inventions agreement.</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 March 2021, we entered into a separation agreement with Mr. Dahan whereby we mutually agreed that his employment with us as our Chief Revenue Officer ended on February 1, 2021, and that thereafter he would serve as a non-executive employee at his current annual salary and benefits until the first to occur of (i) April 1, 2021, or (ii) a certain project renewal by us (the Separation Date). In connection with the separation agreement, Mr. Dahan received (1) a one-time lump sum payment of $262,500; (2) accelerated vesting of his outstanding option awards equal to that number of shares that, absent his separation, were scheduled to become vested through April 1, 2021; and (3) continuation of health insurance under COBRA or Cal-COBRA for nine months following the Separation Date.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Kevin Doerr</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February 25, 2020, we entered into an employment offer letter with Mr. Doerr for the position of Chief Product Officer. The offer letter provides for Mr. Doerr’s at-will employment and sets forth his initial base salary, eligibility to receive an annual performance bonus targeted at 50% of his base salary, an initial stock option grant, and eligibility to participate in our benefit plans. Mr. Doerr is subject to our confidential information and inventions assignment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Awards to Certain Named Executive Officers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February 2021, our board of directors granted early exercisable stock options to Mr. Gardner and Mr. Doerr to purchase 1,209,639 and 251,463 shares of our Class B common stock, respectively, that vest based on continued services over four years. The options are subject to 100% accelerated vesting in the event the applicable named executive officer is terminated by us without cause or by the named executive officer with good reason, in either case within 3 months before or 12 months after a corporate transaction, as each term is defined in the applicable award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CEO Long-Term Performance Award</w:t>
      </w:r>
    </w:p>
    <w:p>
      <w:pPr>
        <w:spacing w:after="0" w:line="117"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In April and May 2021, our board of directors granted stock options to Mr. Gardner, providing for a maximum of 19,740,923 shares and 47,267 shares of our Class B common stock, which we refer to collectively as the CEO Long-Term Performance Award. The CEO Long-Term Performance Award has an exercise price of $21.49 and $23.40 per share, respectively, which was the fair market value of our Class B common stock at the time of each grant as determined by our board of directors. The CEO Long-Term Performance Award vests over a period of up to seven years following the expiration of the lock-up period associated with this public offering with an option term of up to 10 years from the date of grant, subject to earlier termination, including if Mr. Gardner’s service ends or 18 months from the respective grant dates if a public offering of our common stock has not occurred by such time. The CEO Long-Term Performance Award vests subject to Mr. Gardner remaining our chief executive officer or executive chairman of our board of directors (the “Service Condition”) through the achievement of certain performance conditions, as described below.</w:t>
      </w:r>
    </w:p>
    <w:p>
      <w:pPr>
        <w:spacing w:after="0" w:line="16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board of directors, in consultation with Compensia, an independent compensation consultant, and upon the recommendation of the Compensation Committee, considered many factors in determining the CEO Long-Term Performance Award, including the size, terms and conditions of the award. The board of directors considered Mr. Gardner’s significant ownership percentage in the company obtained primarily in connection with his co-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founding of the Company and the amount of his ownership interests that were unvested as of the date of the grant in its deliberations of this award. The board of directors reviewed market data for similarly situated executives at comparable companies with an emphasis on the ownership percentage and equity value of founder chief executive officers at the time of an initial public offering. The board was intent on establishing an award that would encourage long-term sustained stockholder value creation by including a long vesting schedule and performance-based vesting. Our board of directors believed it was important for the CEO Long-Term Performance Award to not simply vest based on the passage of time while Mr. Gardner provides services to us. Rather, the CEO Long-Term Performance Award will vest only if we achieve certain stock price goals, which if achieved, would allow our other stockholders to benefit from the increases in our stock price. The board of directors believe these stock price goals represent challenging hurdles and, if achieved, would result in a return to our stockholders in excess of market norms for comparable technology companies. The CEO Long-Term Performance Award is meant to support our transition to a public company while providing a meaningful incentive to Mr. Gardner with sustained long-term value creation for our stockholders, and minimize dilution if returns are lower than contemplated. The board of directors currently intends the CEO Long-Term Performance Award to be the exclusive equity award that Mr. Gardner receives for a period of seven years.</w:t>
      </w:r>
    </w:p>
    <w:p>
      <w:pPr>
        <w:spacing w:after="0" w:line="172"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CEO Long-Term Performance Award has a performance period that commences upon the expiration of the lock-up period associated with an underwritten public offering of our Class A common stock and expires on the earlier of the 7-year anniversary of the date our initial public offering, a change in control of the company, or Mr. Gardner ceasing to meet the Service Condition. Shares subject to the award that have not vested by the end of the performance period will terminate and be forfeited for no consideration.</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CEO Long-Term Performance Award is divided into seven equal tranches. If an initial public offering of our Class A common stock is completed within 18 months of the date of grant, then the shares will be eligible to vest upon the achievement of certain “Company Stock Price Hurdles” during the performance period. Except as set forth below, 1/7th of the total number of option shares will vest and become exercisable for the applicable tranche in the table below, subject to Mr. Gardner satisfying the Service Condition through the vesting date: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w w:val="88"/>
              </w:rPr>
              <w:t>Tranche</w:t>
            </w:r>
          </w:p>
        </w:tc>
        <w:tc>
          <w:tcPr>
            <w:tcW w:w="7200" w:type="dxa"/>
            <w:vAlign w:val="bottom"/>
            <w:gridSpan w:val="3"/>
          </w:tcPr>
          <w:p>
            <w:pPr>
              <w:jc w:val="center"/>
              <w:ind w:left="3530"/>
              <w:spacing w:after="0"/>
              <w:rPr>
                <w:sz w:val="20"/>
                <w:szCs w:val="20"/>
                <w:color w:val="auto"/>
              </w:rPr>
            </w:pPr>
            <w:r>
              <w:rPr>
                <w:rFonts w:ascii="Arial" w:cs="Arial" w:eastAsia="Arial" w:hAnsi="Arial"/>
                <w:sz w:val="18"/>
                <w:szCs w:val="18"/>
                <w:b w:val="1"/>
                <w:bCs w:val="1"/>
                <w:color w:val="auto"/>
                <w:w w:val="91"/>
              </w:rPr>
              <w:t>Common Stock Price Hurdle</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320" w:type="dxa"/>
            <w:vAlign w:val="bottom"/>
            <w:vMerge w:val="restart"/>
          </w:tcPr>
          <w:p>
            <w:pPr>
              <w:ind w:left="3940"/>
              <w:spacing w:after="0"/>
              <w:rPr>
                <w:sz w:val="20"/>
                <w:szCs w:val="20"/>
                <w:color w:val="auto"/>
              </w:rPr>
            </w:pPr>
            <w:r>
              <w:rPr>
                <w:rFonts w:ascii="Arial" w:cs="Arial" w:eastAsia="Arial" w:hAnsi="Arial"/>
                <w:sz w:val="18"/>
                <w:szCs w:val="18"/>
                <w:color w:val="auto"/>
              </w:rPr>
              <w:t>2.5x</w:t>
            </w:r>
          </w:p>
        </w:tc>
        <w:tc>
          <w:tcPr>
            <w:tcW w:w="2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4320" w:type="dxa"/>
            <w:vAlign w:val="bottom"/>
            <w:vMerge w:val="continue"/>
          </w:tcPr>
          <w:p>
            <w:pPr>
              <w:spacing w:after="0"/>
              <w:rPr>
                <w:sz w:val="16"/>
                <w:szCs w:val="16"/>
                <w:color w:val="auto"/>
              </w:rPr>
            </w:pPr>
          </w:p>
        </w:tc>
        <w:tc>
          <w:tcPr>
            <w:tcW w:w="2880" w:type="dxa"/>
            <w:vAlign w:val="bottom"/>
            <w:gridSpan w:val="2"/>
          </w:tcPr>
          <w:p>
            <w:pPr>
              <w:spacing w:after="0" w:line="195" w:lineRule="exact"/>
              <w:rPr>
                <w:sz w:val="20"/>
                <w:szCs w:val="20"/>
                <w:color w:val="auto"/>
              </w:rPr>
            </w:pPr>
            <w:r>
              <w:rPr>
                <w:rFonts w:ascii="Arial" w:cs="Arial" w:eastAsia="Arial" w:hAnsi="Arial"/>
                <w:sz w:val="18"/>
                <w:szCs w:val="18"/>
                <w:color w:val="auto"/>
              </w:rPr>
              <w:t>Opening Price (“First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2</w:t>
            </w:r>
          </w:p>
        </w:tc>
        <w:tc>
          <w:tcPr>
            <w:tcW w:w="7200" w:type="dxa"/>
            <w:vAlign w:val="bottom"/>
            <w:gridSpan w:val="3"/>
          </w:tcPr>
          <w:p>
            <w:pPr>
              <w:jc w:val="center"/>
              <w:ind w:left="3530"/>
              <w:spacing w:after="0"/>
              <w:rPr>
                <w:sz w:val="20"/>
                <w:szCs w:val="20"/>
                <w:color w:val="auto"/>
              </w:rPr>
            </w:pPr>
            <w:r>
              <w:rPr>
                <w:rFonts w:ascii="Arial" w:cs="Arial" w:eastAsia="Arial" w:hAnsi="Arial"/>
                <w:sz w:val="18"/>
                <w:szCs w:val="18"/>
                <w:color w:val="auto"/>
                <w:w w:val="91"/>
              </w:rPr>
              <w:t>1.17x First Price Target (“Second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w:t>
            </w:r>
          </w:p>
        </w:tc>
        <w:tc>
          <w:tcPr>
            <w:tcW w:w="7200" w:type="dxa"/>
            <w:vAlign w:val="bottom"/>
            <w:gridSpan w:val="3"/>
          </w:tcPr>
          <w:p>
            <w:pPr>
              <w:jc w:val="center"/>
              <w:ind w:left="3550"/>
              <w:spacing w:after="0"/>
              <w:rPr>
                <w:sz w:val="20"/>
                <w:szCs w:val="20"/>
                <w:color w:val="auto"/>
              </w:rPr>
            </w:pPr>
            <w:r>
              <w:rPr>
                <w:rFonts w:ascii="Arial" w:cs="Arial" w:eastAsia="Arial" w:hAnsi="Arial"/>
                <w:sz w:val="18"/>
                <w:szCs w:val="18"/>
                <w:color w:val="auto"/>
                <w:w w:val="91"/>
              </w:rPr>
              <w:t>1.17x Second Price Target (“Third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4</w:t>
            </w:r>
          </w:p>
        </w:tc>
        <w:tc>
          <w:tcPr>
            <w:tcW w:w="7200" w:type="dxa"/>
            <w:vAlign w:val="bottom"/>
            <w:gridSpan w:val="3"/>
          </w:tcPr>
          <w:p>
            <w:pPr>
              <w:jc w:val="center"/>
              <w:ind w:left="3550"/>
              <w:spacing w:after="0"/>
              <w:rPr>
                <w:sz w:val="20"/>
                <w:szCs w:val="20"/>
                <w:color w:val="auto"/>
              </w:rPr>
            </w:pPr>
            <w:r>
              <w:rPr>
                <w:rFonts w:ascii="Arial" w:cs="Arial" w:eastAsia="Arial" w:hAnsi="Arial"/>
                <w:sz w:val="18"/>
                <w:szCs w:val="18"/>
                <w:color w:val="auto"/>
                <w:w w:val="92"/>
              </w:rPr>
              <w:t>1.17x Third Price Target (“Fourth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5</w:t>
            </w:r>
          </w:p>
        </w:tc>
        <w:tc>
          <w:tcPr>
            <w:tcW w:w="7200" w:type="dxa"/>
            <w:vAlign w:val="bottom"/>
            <w:gridSpan w:val="3"/>
          </w:tcPr>
          <w:p>
            <w:pPr>
              <w:jc w:val="center"/>
              <w:ind w:left="3550"/>
              <w:spacing w:after="0"/>
              <w:rPr>
                <w:sz w:val="20"/>
                <w:szCs w:val="20"/>
                <w:color w:val="auto"/>
              </w:rPr>
            </w:pPr>
            <w:r>
              <w:rPr>
                <w:rFonts w:ascii="Arial" w:cs="Arial" w:eastAsia="Arial" w:hAnsi="Arial"/>
                <w:sz w:val="18"/>
                <w:szCs w:val="18"/>
                <w:color w:val="auto"/>
                <w:w w:val="92"/>
              </w:rPr>
              <w:t>1.17x Fourth Price Target (“Fifth Price Target”)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6</w:t>
            </w:r>
          </w:p>
        </w:tc>
        <w:tc>
          <w:tcPr>
            <w:tcW w:w="7200" w:type="dxa"/>
            <w:vAlign w:val="bottom"/>
            <w:gridSpan w:val="3"/>
          </w:tcPr>
          <w:p>
            <w:pPr>
              <w:jc w:val="center"/>
              <w:ind w:left="3550"/>
              <w:spacing w:after="0"/>
              <w:rPr>
                <w:sz w:val="20"/>
                <w:szCs w:val="20"/>
                <w:color w:val="auto"/>
              </w:rPr>
            </w:pPr>
            <w:r>
              <w:rPr>
                <w:rFonts w:ascii="Arial" w:cs="Arial" w:eastAsia="Arial" w:hAnsi="Arial"/>
                <w:sz w:val="18"/>
                <w:szCs w:val="18"/>
                <w:color w:val="auto"/>
                <w:w w:val="92"/>
              </w:rPr>
              <w:t>1.17x Fifth Price Target (“Sixth Price Target”)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7</w:t>
            </w:r>
          </w:p>
        </w:tc>
        <w:tc>
          <w:tcPr>
            <w:tcW w:w="7200" w:type="dxa"/>
            <w:vAlign w:val="bottom"/>
            <w:gridSpan w:val="3"/>
          </w:tcPr>
          <w:p>
            <w:pPr>
              <w:jc w:val="center"/>
              <w:ind w:left="3550"/>
              <w:spacing w:after="0"/>
              <w:rPr>
                <w:sz w:val="20"/>
                <w:szCs w:val="20"/>
                <w:color w:val="auto"/>
              </w:rPr>
            </w:pPr>
            <w:r>
              <w:rPr>
                <w:rFonts w:ascii="Arial" w:cs="Arial" w:eastAsia="Arial" w:hAnsi="Arial"/>
                <w:sz w:val="18"/>
                <w:szCs w:val="18"/>
                <w:color w:val="auto"/>
                <w:w w:val="91"/>
              </w:rPr>
              <w:t>1.17x Sixth Price Target (“Seventh Price Target”)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“Opening Price” means our initial public offering price set forth on the cover page of this prospectus. The Company Stock Price Hurdle will be achieved if the average closing price of a share of our Class A common stock during any 90 consecutive trading day period during the performance period equals or exceeds the “Company Stock Price Hurdle” set forth in the table above. There is no linear interpolation between hurdles. The Company Stock Price Hurdles and the number of associated shares that will vest will be adjusted to reflect any stock splits, stock dividends, combinations, reorganizations, reclassifications, or similar events.</w:t>
      </w:r>
    </w:p>
    <w:p>
      <w:pPr>
        <w:spacing w:after="0" w:line="188"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addition, the CEO Long-Term Performance Award has a restricted vesting period during the first four years following our initial public offering (the “Restricted Vesting Period”) such that Mr. Gardner is only eligible to vest in up to 20% of the shares of the CEO Long-Term Performance Award during each fiscal year during the Restricted Vesting Period. If multiple Company Stock Price Hurdles are met during such Restricted Vesting Period, the excess shares that would have vested in such fiscal year shall instead be eligible to vest on the first day of the next fiscal year subject to Mr. Gardner meeting the Service Condition through such date. This limitation shall not be applicable if there is a change in control during the Restricted Vesting Period.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the event of a change in control of the company, the per share acquisition price in such transaction will be used to determine whether any then-unachieved Company Stock Price Hurdles are achieved (with no linear interpolation between stock price hurdles).</w:t>
      </w:r>
    </w:p>
    <w:p>
      <w:pPr>
        <w:spacing w:after="0" w:line="170"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estimated the grant date fair value of the CEO Long-Term Performance Award using a Monte Carlo simulation model that incorporated multiple stock price paths and probabilities that the Company Stock Price Hurdles are met. The weighted-average grant date fair value of the seven tranches of the CEO Long-Term Performance Award was estimated to be $10.53 per option share. We will recognize total share-based compensation expense of approximately $208.4 million over the derived service period of each of the seven separate tranches, if Mr. Gardner meets the Service Condition, regardless of whether the Company Stock Price Hurdles are achieved. If the Company Stock Price Hurdles are met sooner than the derived service period, we will adjust our share-based compensation expense to reflect the cumulative expense associated with the vested award.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17"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In connection with this offering, we have adopted an executive severance plan, or the Executive Severance Plan, which applies to our executive officers and certain key employees. Our Executive Severance Plan provides that upon (i) a termination of a participant’s employment by us for any reason other than for “cause,” death, or disability, or (ii) a resignation of employment by the participant for “good reason” (as each term is defined in the Executive Severance Plan): (i) each participant (other than our Chief Executive Officer) will be entitled to receive (a) a lump sum cash payment equal to 9 months of his/her base salary, (b) continued health coverage pursuant to COBRA for up to 9 months, and (c) a lump sum cash amount equal to 75% of the participant’s annual target bonus; and (ii) our Chief Executive Officer will be entitled to receive (i) a lump sum cash payment equal to 12 months of his/her base salary, (ii) continued health coverage pursuant to COBRA for up to 12 months, and (iii) a lump sum amount equal to 100% of his/her annual target bonus. In addition to these benefits, if such termination occurs within 3 months prior to, and ending 12 months after, a “change in control,” as defined in the Executive Severance Plan, then an eligible participant will be entitled to receive the full acceleration of vesting of all outstanding and unvested equity award held by such participant; provided, that any unvested and outstanding equity awards subject to performance conditions (other than continued service) will be deemed satisfied as specified in the applicable award agreements. The participant is required to execute and deliver an effective release of claims in favor of us in order receive any such severance benefits. The payments and benefits provided under the Executive Severance Plan in connection with a “change in control” may not be eligible for a federal income tax deduction by us pursuant to Section 280G of the Code. These payments and benefits may also subject an eligible participant,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2020:</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6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Vesting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gridSpan w:val="2"/>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right"/>
              <w:ind w:right="360"/>
              <w:spacing w:after="0" w:line="145"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20" w:type="dxa"/>
            <w:vAlign w:val="bottom"/>
            <w:vMerge w:val="restart"/>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Jason Gardner</w:t>
            </w:r>
          </w:p>
        </w:tc>
        <w:tc>
          <w:tcPr>
            <w:tcW w:w="1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770,557</w:t>
            </w: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00"/>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0.40</w:t>
            </w:r>
          </w:p>
        </w:tc>
        <w:tc>
          <w:tcPr>
            <w:tcW w:w="3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44"/>
        </w:trPr>
        <w:tc>
          <w:tcPr>
            <w:tcW w:w="36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458,334</w:t>
            </w: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Omri Dahan</w:t>
            </w: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726,210</w:t>
            </w:r>
          </w:p>
        </w:tc>
        <w:tc>
          <w:tcPr>
            <w:tcW w:w="360" w:type="dxa"/>
            <w:vAlign w:val="bottom"/>
          </w:tcPr>
          <w:p>
            <w:pPr>
              <w:spacing w:after="0"/>
              <w:rPr>
                <w:sz w:val="17"/>
                <w:szCs w:val="17"/>
                <w:color w:val="auto"/>
              </w:rPr>
            </w:pPr>
          </w:p>
        </w:tc>
        <w:tc>
          <w:tcPr>
            <w:tcW w:w="1220" w:type="dxa"/>
            <w:vAlign w:val="bottom"/>
            <w:gridSpan w:val="2"/>
          </w:tcPr>
          <w:p>
            <w:pPr>
              <w:ind w:left="6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0.40</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450,000</w:t>
            </w:r>
          </w:p>
        </w:tc>
        <w:tc>
          <w:tcPr>
            <w:tcW w:w="36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23"/>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3/23/2020</w:t>
            </w:r>
            <w:r>
              <w:rPr>
                <w:rFonts w:ascii="Arial" w:cs="Arial" w:eastAsia="Arial" w:hAnsi="Arial"/>
                <w:sz w:val="15"/>
                <w:szCs w:val="15"/>
                <w:color w:val="auto"/>
                <w:w w:val="92"/>
              </w:rPr>
              <w:t>(3)(4)</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1,800,000</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3/29/2030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right="20" w:hanging="544"/>
        <w:spacing w:after="0" w:line="26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as amended from time to time. Shares underlying each award granted under our 2011 Plan are shares of Class B common stock of the company. Each option is immediately exercisable unless as otherwise set forth below.</w:t>
      </w:r>
    </w:p>
    <w:p>
      <w:pPr>
        <w:spacing w:after="0" w:line="1" w:lineRule="exact"/>
        <w:rPr>
          <w:rFonts w:ascii="Arial" w:cs="Arial" w:eastAsia="Arial" w:hAnsi="Arial"/>
          <w:sz w:val="16"/>
          <w:szCs w:val="16"/>
          <w:color w:val="auto"/>
        </w:rPr>
      </w:pPr>
    </w:p>
    <w:p>
      <w:pPr>
        <w:ind w:left="660" w:right="20" w:hanging="544"/>
        <w:spacing w:after="0" w:line="264"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1/48th of the shares subject to the stock option vest on a monthly basis following the vesting commencement date, subject to the named executive officer’s continuous service relationship with the company through each applicable vesting date.</w:t>
      </w:r>
    </w:p>
    <w:p>
      <w:pPr>
        <w:jc w:val="both"/>
        <w:ind w:left="660" w:right="20" w:hanging="544"/>
        <w:spacing w:after="0" w:line="264"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named executive officer is terminated without Cause or resigns with Good Reason (as both such terms are defined in the applicable award agreement) in either case within 3 months before or 12 months after the consummation of a Corporate Transaction (as defined in the 2011 Plan), then, subject to delivering a fully executed and effective general release of claims, 100 percent of the then-unvested shares subject to the named executive officer’s option shall vest as of such termination date (or the Corporate Transaction, if later).</w:t>
      </w:r>
    </w:p>
    <w:p>
      <w:pPr>
        <w:jc w:val="both"/>
        <w:ind w:left="660" w:right="20" w:hanging="544"/>
        <w:spacing w:after="0" w:line="363" w:lineRule="auto"/>
        <w:tabs>
          <w:tab w:leader="none" w:pos="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25% of the shares subject to the stock option vest on the first anniversary of the vesting commencement date and the remaining 75% vest in 36 equal monthly installments thereafter, generally subject to the named executive officer’s continuous service relationship with the company through each applicable vesting date.</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Employee Benefits and Stock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117"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2021 Plan was adopted by our board of directors and subsequently approved by our stockholders in May 2021, and will become effective on the day before the date on which the registration statement of which this prospectus forms part was declared effective by the SEC. Our 2021 Plan will replace our 2011 Plan, as our board of directors determined not to make additional awards under our 2011 Plan following the completion of our initial public offering. However, our 2011 Plan will continue to govern outstanding equity awards granted thereunder. Our 2021 Plan will allow the compensation committee to make equity-based incentive awards to our officers, employees, directors, and other key persons, including consultants.</w:t>
      </w:r>
    </w:p>
    <w:p>
      <w:pPr>
        <w:spacing w:after="0" w:line="161"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We have initially reserved 60,000,000 shares of our Class A common stock for the issuance of awards under our 2021 Plan. Our</w:t>
      </w:r>
      <w:r>
        <w:rPr>
          <w:rFonts w:ascii="Arial" w:cs="Arial" w:eastAsia="Arial" w:hAnsi="Arial"/>
          <w:sz w:val="17"/>
          <w:szCs w:val="17"/>
          <w:i w:val="1"/>
          <w:iCs w:val="1"/>
          <w:color w:val="auto"/>
        </w:rPr>
        <w:t xml:space="preserve"> </w:t>
      </w:r>
      <w:r>
        <w:rPr>
          <w:rFonts w:ascii="Arial" w:cs="Arial" w:eastAsia="Arial" w:hAnsi="Arial"/>
          <w:sz w:val="17"/>
          <w:szCs w:val="17"/>
          <w:color w:val="auto"/>
        </w:rPr>
        <w:t>2021 Plan will provide that the number of shares reserved and available for issuance under our 2021 Plan will automatically increase each January 1, beginning on January 1, 2022, by 5% of the outstanding number of shares of our Class A and Class B common stock on the immediately preceding December 31 or such lesser number of shares as determined by our compensation committee. This number will be subject to adjustment in the event of a stock split, stock dividend, or other change in our capitalization. The shares we issue under our 2021 Plan will be authorized but unissued shares or shares that we reacquire. The shares of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2021 Plan and 2011 Plan</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will be added back to the shares of Class A common stock available for issuance under our 2021 Plan (after being converted from Class B common stock into Class A common stock). The maximum number of shares of Class A common stock that may be issued as incentive stock options in any one calendar year period may not exceed 60,000,000, cumulatively increased on January 1, 2022 and on each January 1 thereafter by the lesser of 5% of the number of outstanding shares of Class A and Class B common stock as of the immediately preceding December 31, or 60,000,000 shares of Class A common stock.</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Non-Employee Director Limit. </w:t>
      </w:r>
      <w:r>
        <w:rPr>
          <w:rFonts w:ascii="Arial" w:cs="Arial" w:eastAsia="Arial" w:hAnsi="Arial"/>
          <w:sz w:val="18"/>
          <w:szCs w:val="18"/>
          <w:color w:val="auto"/>
        </w:rPr>
        <w:t>Our 2021 Plan contains a limitation whereby the value of all awards granted under our 2021 Plan and all other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paid by us to any non-employee director in any calendar year may not exceed: (i) $1,000,000 in the first calendar year an individual becomes a non-employee director and (ii) $750,000 in any other calendar year.</w:t>
      </w:r>
    </w:p>
    <w:p>
      <w:pPr>
        <w:spacing w:after="0" w:line="18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2021 Plan will be administered by our compensation committee. Our compensation committee will have full power to select,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among the individuals eligible for awards, the individuals to whom awards will be granted, to make any combination of awards to participants, and to determine the specific terms and conditions of each award, subject to the provisions of our 2021 Plan. The plan administrator is specifically authorized to exercise its discretion to reduce the exercise price of outstanding stock options and stock appreciation rights or effect the repricing of such awards through cancellation and re-grants.</w:t>
      </w:r>
    </w:p>
    <w:p>
      <w:pPr>
        <w:spacing w:after="0" w:line="18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Persons eligible to participate in our 2021 Plan will be those employees, non-employee directors, and consultants, as selected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by our compensation committee in its discretion.</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Our 2021 Plan will permit the granting of both options to purchase stock intended to qualify as incentive stock options under Section 422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Code and options that do not so qualify. The option exercise price of each option will be determined by our compensation committee but may not be less than 100% of the fair market value of our Class A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9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Our compensation committee will be able to award stock appreciation rights subject to such conditions and restrictions as it</w:t>
      </w:r>
      <w:r>
        <w:rPr>
          <w:rFonts w:ascii="Arial" w:cs="Arial" w:eastAsia="Arial" w:hAnsi="Arial"/>
          <w:sz w:val="17"/>
          <w:szCs w:val="17"/>
          <w:i w:val="1"/>
          <w:iCs w:val="1"/>
          <w:color w:val="auto"/>
        </w:rPr>
        <w:t xml:space="preserve"> </w:t>
      </w:r>
      <w:r>
        <w:rPr>
          <w:rFonts w:ascii="Arial" w:cs="Arial" w:eastAsia="Arial" w:hAnsi="Arial"/>
          <w:sz w:val="17"/>
          <w:szCs w:val="17"/>
          <w:color w:val="auto"/>
        </w:rPr>
        <w:t>may determine. Stock appreciation rights entitle the recipient to shares of Class A common stock, or cash, equal to the value of the appreciation in our trading price over the exercise price. The exercise price may not be less than 100% of the fair market value of our Class A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 xml:space="preserve">Restricted Stock and Restricted Stock Units. </w:t>
      </w:r>
      <w:r>
        <w:rPr>
          <w:rFonts w:ascii="Arial" w:cs="Arial" w:eastAsia="Arial" w:hAnsi="Arial"/>
          <w:sz w:val="18"/>
          <w:szCs w:val="18"/>
          <w:color w:val="auto"/>
        </w:rPr>
        <w:t>Our compensation committee will be able to award restricted shares of Class A common stock and RSUs</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participants 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Unrestricted Stock Awards. </w:t>
      </w:r>
      <w:r>
        <w:rPr>
          <w:rFonts w:ascii="Arial" w:cs="Arial" w:eastAsia="Arial" w:hAnsi="Arial"/>
          <w:sz w:val="18"/>
          <w:szCs w:val="18"/>
          <w:color w:val="auto"/>
        </w:rPr>
        <w:t>Our compensation committee may grant shares of Class A common stock that are free from any restrictions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Unrestricted stock may be granted to participants in recognition of past services or for other valid consideration and may be issued in lieu of cash compensation due to such participant.</w:t>
      </w:r>
    </w:p>
    <w:p>
      <w:pPr>
        <w:spacing w:after="0" w:line="184"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Our compensation committee will be able to grant dividend equivalent rights to participants that entitle the recipient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credits for dividends that would be paid if the recipient had held a specified number of shares of Class A common stock.</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w:t>
      </w:r>
      <w:r>
        <w:rPr>
          <w:rFonts w:ascii="Arial" w:cs="Arial" w:eastAsia="Arial" w:hAnsi="Arial"/>
          <w:sz w:val="18"/>
          <w:szCs w:val="18"/>
          <w:i w:val="1"/>
          <w:iCs w:val="1"/>
          <w:color w:val="auto"/>
        </w:rPr>
        <w:t xml:space="preserve">Based Awards. </w:t>
      </w:r>
      <w:r>
        <w:rPr>
          <w:rFonts w:ascii="Arial" w:cs="Arial" w:eastAsia="Arial" w:hAnsi="Arial"/>
          <w:sz w:val="18"/>
          <w:szCs w:val="18"/>
          <w:color w:val="auto"/>
        </w:rPr>
        <w:t>Our compensation committee will be able to grant cash bonuses under our 2021 Plan to participants, subject to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performance goals.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Our 2021 Plan will provide that upon the effectiveness of a “sale event,” as defined in our 2021 Plan, an acquirer or successor entity may</w:t>
      </w:r>
      <w:r>
        <w:rPr>
          <w:rFonts w:ascii="Arial" w:cs="Arial" w:eastAsia="Arial" w:hAnsi="Arial"/>
          <w:sz w:val="17"/>
          <w:szCs w:val="17"/>
          <w:i w:val="1"/>
          <w:iCs w:val="1"/>
          <w:color w:val="auto"/>
        </w:rPr>
        <w:t xml:space="preserve"> </w:t>
      </w:r>
      <w:r>
        <w:rPr>
          <w:rFonts w:ascii="Arial" w:cs="Arial" w:eastAsia="Arial" w:hAnsi="Arial"/>
          <w:sz w:val="17"/>
          <w:szCs w:val="17"/>
          <w:color w:val="auto"/>
        </w:rPr>
        <w:t>assume, continue or substitute for the outstanding awards under our 2021 Plan. To the extent that awards granted under our 2021 Plan are not assumed or continued or substituted by the successor entity, all unvested awards granted under our 2021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our 2021 Plan upon a sale event, we may make or provide for a cash payment to participants holding vested and exercisable options and stock appreciation rights equal to the difference between the per share cash consideration payable to stockholders in the sale event and the exercise price of the options or stock appreciation rights.</w:t>
      </w:r>
    </w:p>
    <w:p>
      <w:pPr>
        <w:spacing w:after="0" w:line="17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Our board of directors will be able to amend or discontinue our 2021 Plan and our compensation committee will be able to amend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 outstanding awards for purposes of satisfying changes in law or any other lawful purpose, but no such action may adversely affect rights under an award without the holder’s consent. Certain amendments to our 2021 Plan will require the approval of our stockholders.</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awards may be granted under our 2021 Plan after the date that is 10 years from the date of stockholder approval of our 2021 Plan. No awards under our 2021 Plan have been made prior to the date 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2011 Equity Incentive Plan, as amended</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2011 Plan was adopted by our board of directors in February 2011, approved by our stockholders in June 2011, and was most recently amended by our board of directors in May 2021. Our 2011 Plan allows for the grant of incentive stock options, nonstatutory stock options, stock appreciation rights, restricted stock awards, RSUs, and other stock awards to employees, directors, and consultants. Following this offering, we will not grant any further awards under our 2011 Plan. All outstanding awards under the 2011 Plan will continue to be governed by their existing terms.</w:t>
      </w:r>
    </w:p>
    <w:p>
      <w:pPr>
        <w:spacing w:after="0" w:line="15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As of March 31, 2021, the number of shares of our Class B common stock reserved for issuance under the 2011 Plan was</w:t>
      </w:r>
      <w:r>
        <w:rPr>
          <w:rFonts w:ascii="Arial" w:cs="Arial" w:eastAsia="Arial" w:hAnsi="Arial"/>
          <w:sz w:val="18"/>
          <w:szCs w:val="18"/>
          <w:i w:val="1"/>
          <w:iCs w:val="1"/>
          <w:color w:val="auto"/>
        </w:rPr>
        <w:t xml:space="preserve"> </w:t>
      </w:r>
      <w:r>
        <w:rPr>
          <w:rFonts w:ascii="Arial" w:cs="Arial" w:eastAsia="Arial" w:hAnsi="Arial"/>
          <w:sz w:val="18"/>
          <w:szCs w:val="18"/>
          <w:color w:val="auto"/>
        </w:rPr>
        <w:t>100,993,447 shares of Class B common stock. This number is subject to adjustment in the event of a stock split, stock dividend, or other change in our capitalization. Shares under awards that are forfeited back to the company because of the failure to meet a contingency or condition required to vest such shares, any shares paid to the company under a “net-exercise” arrangement, and any shares withheld in satisfaction of taxes shall revert to and again become available for issuance under the 2011 Plan. Following this offering, such shares will be added to the shares of Class A common stock available for issuance under our 2021 Plan.</w:t>
      </w:r>
    </w:p>
    <w:p>
      <w:pPr>
        <w:spacing w:after="0" w:line="192"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2011 Plan is currently administered by our board of directors. The plan administrator has the authority to interpret and administer</w:t>
      </w:r>
      <w:r>
        <w:rPr>
          <w:rFonts w:ascii="Arial" w:cs="Arial" w:eastAsia="Arial" w:hAnsi="Arial"/>
          <w:sz w:val="16"/>
          <w:szCs w:val="16"/>
          <w:i w:val="1"/>
          <w:iCs w:val="1"/>
          <w:color w:val="auto"/>
        </w:rPr>
        <w:t xml:space="preserve"> </w:t>
      </w:r>
      <w:r>
        <w:rPr>
          <w:rFonts w:ascii="Arial" w:cs="Arial" w:eastAsia="Arial" w:hAnsi="Arial"/>
          <w:sz w:val="16"/>
          <w:szCs w:val="16"/>
          <w:color w:val="auto"/>
        </w:rPr>
        <w:t>our 2011 Plan and any agreement thereunder, and to determine the terms of awards, including the recipients, the number of shares subject to each award, the exercise, purchase or strike price, if any, the vesting schedule applicable to the awards together with any vesting acceleration, and the terms of the award agreement for use under our 2011 Plan. The plan administrator may also reduce the exercise price of any outstanding options, cancel and substitute any outstanding option, or any other general repricing with the consent of any adversely affected option holder.</w:t>
      </w:r>
    </w:p>
    <w:p>
      <w:pPr>
        <w:spacing w:after="0" w:line="16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2011 Plan are our full or part-time employees, directors, and consultants as selected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in its discretion.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2011 Plan permits the granting of both options to purchase Class B common stock intended to qualify as incentive stock options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and options that do not so qualify. The option exercise price of each option or, alternatively, the method for establishing an option’s exercise price is determined by our board of directors on the date such option is granted. The term of each option is fixed by our board of directors and may not exceed 10 years from the date of grant. Our board of directors determines at what time or times each option may be exercised.</w:t>
      </w:r>
    </w:p>
    <w:p>
      <w:pPr>
        <w:spacing w:after="0" w:line="157" w:lineRule="exact"/>
        <w:rPr>
          <w:sz w:val="20"/>
          <w:szCs w:val="20"/>
          <w:color w:val="auto"/>
        </w:rPr>
      </w:pPr>
    </w:p>
    <w:p>
      <w:pPr>
        <w:ind w:left="120"/>
        <w:spacing w:after="0"/>
        <w:tabs>
          <w:tab w:leader="none" w:pos="2200" w:val="left"/>
        </w:tabs>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board of directors may award stock appreciation rights subject to such conditions and restrictions as it may determine.</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Restricted Stock and Restricted Stock Units</w:t>
      </w:r>
      <w:r>
        <w:rPr>
          <w:rFonts w:ascii="Arial" w:cs="Arial" w:eastAsia="Arial" w:hAnsi="Arial"/>
          <w:sz w:val="18"/>
          <w:szCs w:val="18"/>
          <w:color w:val="auto"/>
        </w:rPr>
        <w:t>. Our board of directors may award restricted shares of Class B common stock and RSUs to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The 2011 Plan provides that upon the consummation of an “Corporate Transaction,” as defined in the 2011 Plan,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provided in the award agreement, outstanding awards may be assumed, continued, or substituted by an acquiring company. Additionally, the administrator may provide that holders of stock awards may receive a payment equal to the excess of the value of such stock award over the exercise price of such stock award. If outstanding awards are not assumed, continued, or substituted, such awards shall terminate provided that outstanding awards held by certain employees shall be accelerated in full prior to the effective time of such Corporate Transaction and then terminate.</w:t>
      </w:r>
    </w:p>
    <w:p>
      <w:pPr>
        <w:spacing w:after="0" w:line="16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Under our 2011 Plan, the board of directors may provide for limitations on the transferability of awards, in its sole discretion.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are generally not transferable other than by will or the laws of descent and distribution, except as otherwise provided under our 2011 Plan.</w:t>
      </w:r>
    </w:p>
    <w:p>
      <w:pPr>
        <w:spacing w:after="0" w:line="146"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Our board of directors may amend or discontinue the 2011 Plan and our board of directors can amend or cancel outstanding awards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satisfying changes in law or any other lawful purpose. Certain amendments to the 2011 Plan or awards thereunder will require the approval of our stockholders and amendments that would impair the rights of any participant require the written consent of that participant.</w:t>
      </w:r>
    </w:p>
    <w:p>
      <w:pPr>
        <w:spacing w:after="0" w:line="165"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i w:val="1"/>
          <w:iCs w:val="1"/>
          <w:color w:val="auto"/>
        </w:rPr>
        <w:t>Plan Term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awards may be granted under the 2011 Plan after the date that is 10 years from the date of board approval of the 2011 Plan.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May 2021, our board of directors adopted and our stockholders approved our ESPP. The ESPP will become effective immediately prior to the time that the registration statement of which this prospectus forms a part is declared effective by the SEC. The ESPP will initially reserve and authorize the issuance of up to a total of 6,000,000 shares of Class A common stock to participating employees. The ESPP will provide that the number of shares reserved and available for issuance will automatically increase each January 1, beginning on January 1, 2022, by the lesser of 12,000,000 shares of our Class A common stock, 1% of the outstanding number of shares of our Class A and Class B common stock on the immediately preceding December 31, or such lesser number of shares as determined by our compensation committee. This number will be subject to adjustment in the event of a stock split, stock dividend or other change in our capitalization.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All U.S. employees and employees of a designated subsidiary under the ESPP, whose customary employment is for more than 20 hours per week, are eligible to participate in the ESPP. Any employee who owns 5% or more of the total combined voting power or value of all classes of stock will not be eligible to purchase shares under the ESPP.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We will make one or more offerings, consisting of one or more purchase periods, each year to our employees to purchase shares under the ESPP. The first offering will begin on the effective date of the registration statement of which this prospectus is part and, unless otherwise determined by the administrator of the ESPP, will end on the last business day occurring on or before November 15, 2021. Each eligible employee as of the effective date of the registration statement for the offering will be deemed to be a participant in the ESPP at that time and must authorize payroll deductions or other contributions by submitting an enrollment form by the deadline specified by the plan administrator. Subsequent offerings will usually begin every six months and will continue for six month periods, referred to as offering periods. Each eligible employee may elect to participate in any subsequent offering by submitting an enrollment form at least 15 days before the relevant offering date.</w:t>
      </w:r>
    </w:p>
    <w:p>
      <w:pPr>
        <w:spacing w:after="0" w:line="17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Each employee who is a participant in the ESPP may purchase shares by authorizing contributions of up to 15% of his or her compensation during an offering period. Unless the participating employee has previously withdrawn from the offering, his or her accumulated contributions will be used to purchase shares on the last business day of the purchase period at a price equal to 85% of the fair market value of the shares on the first business day of the offering period or the last business day of the purchase period, whichever is lower, provided that no more than 1,250 shares of common stock (or a lesser number as established by the plan administrator in advance of the purchase period) may be purchased by any one employee during each purchase period. Under applicable tax rules, an employee may purchase no more than $25,000 worth of shares of common stock, valued at the start of the offering period, under the ESPP for each calendar year in which a purchase right is outstanding.</w:t>
      </w:r>
    </w:p>
    <w:p>
      <w:pPr>
        <w:spacing w:after="0" w:line="17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accumulated contributions of any employee who is not a participant on the last day of a purchase period will be refunded. An employee’s rights under the ESPP terminate upon voluntary withdrawal from the plan or when the employee ceases employment with us for any reason.</w:t>
      </w:r>
    </w:p>
    <w:p>
      <w:pPr>
        <w:spacing w:after="0" w:line="146"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The ESPP may be terminated or amended by our board of directors at any time but shall automatically terminate on the 10 year anniversary of this offering. An amendment that increases the number of shares of common stock that are authorized under the ESPP and certain other amendments will require the approval of our stockholders. The plan administrator may adopt subplans under the ESPP for employees of our non U.S. subsidiaries who may participate in the ESPP and may permit such employees to participate in the ESPP on different terms, to the extent permitted by applicable law.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May 2021, our board of directors adopted the Senior Executive Cash Incentive Bonus Plan, or the Bonus Plan. The Bonus Plan will become effective on the day before the date on which the registration statement of which this prospectus forms a part is declared effective by the SEC.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8"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Our compensation committee may select corporate performance goals from among the following: achievement of cash flow (including, but not limited to, operating cash flow and Free Cash Flow); earnings before interest, taxes, depreciation, and amortization; adjusted EBITDA; gross profits; net income (loss) (either before or after interest, taxes, depreciation, and/or amortization); changes in the market price of our Class A common stock; economic value-added; acquisitions or strategic transactions, including licenses, collaborations, joint ventures, or promotion arrangements; operating income (loss); return on capital, assets, equity, or investment; total stockholder returns; productivity; expense efficiency; margins; operating efficiency; working capital; earnings (loss) per share of our Class A common stock; sales or market shares; revenue; corporate revenue; year over year revenue growth; bookings;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401(k) Plan</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maintain a tax-qualified retirement plan that provides eligible U.S. employees with an opportunity to save for retirement on a tax-advantaged basis. Plan participants are able to defer eligible compensation subject to applicable annual Code limits. We provide a matching contribution of 50 percent of the first 6 percent of compensation that an employee contributes, which matching contribution vests after one year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92"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D-1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March 2018, we sold an aggregate of 33,185,680 shares of our Series D-1 redeemable convertible preferred stock at a purchase price of $1.2053 per share, for an aggregate purchase price of $40.0 million, pursuant to our Series D-1 redeemable convertible preferred stock financing. The following table summarizes purchases of our Series D-1 redeemable convertible preferred stock by holders of more than 5% of our capital stock and their affiliated entities. None of our directors or executive officers purchased shares of Series D-1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D-1</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ICONIQ Capital</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29,037,470</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34,999,831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Consists of ICONIQ Strategic Partners III, L.P. and ICONIQ Strategic Partners III-B, L.P.</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E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From March 2019 through May 2019, we sold an aggregate of 38,552,483 shares of our Series E redeemable convertible preferred stock at a purchase price of $3.8908 per share, for an aggregate purchase price of $150.0 million, pursuant to our Series E redeemable convertible preferred stock financing. The following table summarizes purchases of our Series E redeemable convertible preferred stock by holders of more than 5% of our capital stock and their affiliated entities. None of our directors or executive officers purchased shares of Series E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E</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Coatue</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25,444,638</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98,999,998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Consists of Coatue Kona III LP and Coatue US 14 LLC.</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Secondary Sales of Common Stock and Preferred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June 2018, the following secondary sales of common stock and preferred stock occurred:</w:t>
      </w:r>
    </w:p>
    <w:p>
      <w:pPr>
        <w:spacing w:after="0" w:line="131" w:lineRule="exact"/>
        <w:rPr>
          <w:sz w:val="20"/>
          <w:szCs w:val="20"/>
          <w:color w:val="auto"/>
        </w:rPr>
      </w:pPr>
    </w:p>
    <w:p>
      <w:pPr>
        <w:jc w:val="both"/>
        <w:ind w:left="880" w:hanging="224"/>
        <w:spacing w:after="0" w:line="259"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3,024,870 shares of common stock at a purchase price of $1.15712 per share, for an aggregate purchase price of $3,500,138, to ICONIQ Strategic Partners III, L.P. and ICONIQ Strategic Partners III-B, L.P., entities affiliated with ICONIQ Capital, a holder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Omri Dahan, our Chief Revenue Officer and a Director at the time of the transaction, sold 1,728,477 shares of our common stock at a purchase price of $1.15712 per share, for an aggregate purchase price of $2,000,055, to ICONIQ Strategic Partners III, L.P. and ICONIQ Strategic Partners III-B, L.P., entities affiliated with ICONIQ Capital, a holder of more than 5% of our outstanding capital stock; and</w:t>
      </w:r>
    </w:p>
    <w:p>
      <w:pPr>
        <w:spacing w:after="0" w:line="54" w:lineRule="exact"/>
        <w:rPr>
          <w:rFonts w:ascii="Arial" w:cs="Arial" w:eastAsia="Arial" w:hAnsi="Arial"/>
          <w:sz w:val="16"/>
          <w:szCs w:val="16"/>
          <w:color w:val="auto"/>
        </w:rPr>
      </w:pPr>
    </w:p>
    <w:p>
      <w:pPr>
        <w:jc w:val="both"/>
        <w:ind w:left="880" w:hanging="224"/>
        <w:spacing w:after="0" w:line="254"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ICONIQ Strategic Partners III, L.P. and ICONIQ Strategic Partners III-B, L.P. entities affiliated with ICONIQ Capital, a holder of more than 5% of our outstanding capital stock, also purchased, from investors who were not directors, executive officers or holders of more than 5% of our outstanding capital stock, (i) 428,122 shares of our Series A redeemable convertible preferred stock at a purchase price of $1.16917333 per share, for an aggregate purchase price of $500,549, (ii) 4,214,070 shares of our Series B redeemable convertible preferred stock at a purchase price of $1.16917333 per share, for an aggregate purchase price of $4,926,978 and (iii) 1,701,801 shares of our Series C redeemable convertible preferred stock at a purchase price of $1.19328, for an aggregate purchase price of $2,030,725, resulting in an aggregate purchase price of $7,458,252.</w:t>
      </w:r>
    </w:p>
    <w:p>
      <w:pPr>
        <w:spacing w:after="0" w:line="100"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Gardner 2008 Living Trust dated March 22, 2008, an entity affiliated with Jason Gardner, our Chief Executive Officer, Founder, Director, and Chairperson, sold 1,296,322 shares of our common stock at a purchase price of $1.15712 per share, for an aggregate purchase price of $1,500,000.11, to an investor which was not a director, executive officer, or holder of more than 5% of our outstanding capital stock.</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April 2019, in connection with our Series E redeemable convertible preferred stock financing:</w:t>
      </w:r>
    </w:p>
    <w:p>
      <w:pPr>
        <w:spacing w:after="0" w:line="131" w:lineRule="exact"/>
        <w:rPr>
          <w:sz w:val="20"/>
          <w:szCs w:val="20"/>
          <w:color w:val="auto"/>
        </w:rPr>
      </w:pPr>
    </w:p>
    <w:p>
      <w:pPr>
        <w:jc w:val="both"/>
        <w:ind w:left="880" w:hanging="224"/>
        <w:spacing w:after="0" w:line="259"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6,939,446 shares of our common stock at a purchase price of $3.8908 per share, for an aggregate purchase price of $26,999,997,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Dahan Living Trust, an entity affiliated with Omri Dahan, our Chief Revenue Officer and a Director at the time of the transaction, sold 3,855,248 shares of our common stock at a purchase price of $3.8908 per share, for an aggregate purchase price of $14,999,999,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right="20" w:hanging="224"/>
        <w:spacing w:after="0" w:line="279" w:lineRule="auto"/>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83North II Limited Partnership, a holder of more than 5% of our outstanding capital stock, sold 10,771,746 shares of our Series A redeemable convertible preferred stock at a purchase price of $3.8908 per share, for an aggregate purchase price of $41,910,709, to certain investors in our Series E redeemable convertible preferred stock financing, including entities affiliated with Vitruvian Partners, a holder of more than 5% of our outstanding capital stock, but none of which were directors or executive officers; and</w:t>
      </w:r>
    </w:p>
    <w:p>
      <w:pPr>
        <w:spacing w:after="0" w:line="76" w:lineRule="exact"/>
        <w:rPr>
          <w:rFonts w:ascii="Arial" w:cs="Arial" w:eastAsia="Arial" w:hAnsi="Arial"/>
          <w:sz w:val="17"/>
          <w:szCs w:val="17"/>
          <w:color w:val="auto"/>
        </w:rPr>
      </w:pPr>
    </w:p>
    <w:p>
      <w:pPr>
        <w:jc w:val="both"/>
        <w:ind w:left="880" w:right="20" w:hanging="224"/>
        <w:spacing w:after="0" w:line="259"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Marshall Luxembourg S.à r.l., Because GmbH, and Pexfin Inc., entities affiliated with Vitruvian Partners, a holder of more than 5% of our then-outstanding capital stock, purchased 23,131,489 shares of our common stock, Series A redeemable convertible preferred stock and Series C redeemable convertible preferred stock that were immediately exchanged for Series E redeemable convertible preferred stock, at a purchase price of $3.8908 per share, for an aggregate purchase price of $89,999,997,</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right="20"/>
        <w:spacing w:after="0" w:line="279" w:lineRule="auto"/>
        <w:rPr>
          <w:sz w:val="20"/>
          <w:szCs w:val="20"/>
          <w:color w:val="auto"/>
        </w:rPr>
      </w:pPr>
      <w:r>
        <w:rPr>
          <w:rFonts w:ascii="Arial" w:cs="Arial" w:eastAsia="Arial" w:hAnsi="Arial"/>
          <w:sz w:val="17"/>
          <w:szCs w:val="17"/>
          <w:color w:val="auto"/>
        </w:rPr>
        <w:t>from 83North II Limited Partnership, a holder of more than 5% of our outstanding capital stock, The Gardner 2008 Living Trust Dated March 22, 2008, an entity affiliated with Jason Gardner, our Chief Executive Officer, Founder, Director and Chairperson, The Dahan Living Trust, an entity affiliated with Omri Dahan, our Chief Revenue Officer and Director at the time of the transaction, and other stockholders who were not directors, executive officers or holders of more than 5% of our outstanding capital stock.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2020, the following secondary sales of common stock occurred:</w:t>
      </w:r>
    </w:p>
    <w:p>
      <w:pPr>
        <w:spacing w:after="0" w:line="131" w:lineRule="exact"/>
        <w:rPr>
          <w:sz w:val="20"/>
          <w:szCs w:val="20"/>
          <w:color w:val="auto"/>
        </w:rPr>
      </w:pPr>
    </w:p>
    <w:p>
      <w:pPr>
        <w:jc w:val="both"/>
        <w:ind w:left="880" w:hanging="224"/>
        <w:spacing w:after="0" w:line="257"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Jason Gardner, our Chief Executive Officer, Founder, Director, and Chairperson, and The Gardner 2008 Living Trust dated March 22, 2008, an entity affiliated with Jason Gardner, our Chief Executive Officer, Founder, Director and Chairperson, collectively sold 1,952,382 shares of our common stock at a purchase price of $8.3374 per share and 1,072,151 shares of our common stock at a purchase price of $10.00 per share, for an aggregate purchase price of $26,999,300, to certain investors, none of which were directors, executive officers, or holders of more than 5% of our outstanding capital stock;</w:t>
      </w:r>
    </w:p>
    <w:p>
      <w:pPr>
        <w:spacing w:after="0" w:line="93" w:lineRule="exact"/>
        <w:rPr>
          <w:rFonts w:ascii="Arial" w:cs="Arial" w:eastAsia="Arial" w:hAnsi="Arial"/>
          <w:sz w:val="18"/>
          <w:szCs w:val="18"/>
          <w:color w:val="auto"/>
        </w:rPr>
      </w:pPr>
    </w:p>
    <w:p>
      <w:pPr>
        <w:jc w:val="both"/>
        <w:ind w:left="880" w:hanging="224"/>
        <w:spacing w:after="0" w:line="257"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Omri Dahan, our Chief Revenue Officer and a Director at the time of the transaction, and The Dahan Living Trust, an entity affiliated with Omri Dahan, our Chief Revenue Officer and Director at the time of the transaction, collectively sold 1,084,657 shares of our common stock at a purchase price of $8.3374 per share and 595,639 shares of our common stock at a purchase price of $10.00 per share, for an aggregate purchase price of $14,999,609, to certain investors, none of which were directors, executive officers, or holders of more than 5% of our outstanding capital stock; and</w:t>
      </w:r>
    </w:p>
    <w:p>
      <w:pPr>
        <w:spacing w:after="0" w:line="93"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83North II Limited Partnership, a holder of more than 5% of our outstanding capital stock, sold 2,781,330 shares of our common stock at a purchase price of $8.3374 per share and 1,527,368 shares of our common stock at a purchase price of $10.00 per share, for an aggregate purchase price of $38,462,741, to certain investors, none of which were directors, executive officers, or holders of more than 5% of our outstanding capital stock.</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are party to an amended and restated investor rights agreement, or the investor rights agreement, that provides, among other things, certain holders of our capital stock, including entities affiliated with 83North, DFS Services LLC, Granite Ventures, ICONIQ Capital, and Coatue, which each hold more than 5% of our outstanding capital stock with registration rights. See the section titled “Description of Capital Stock—Registration Rights” for more information regarding these registration rights.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Pursuant to our equity compensation plans and certain agreements with our stockholders, including an amended and restated right of first refusal and co-sale agreement with certain holders of our capital stock, including entities affiliated with 83North, DFS Services LLC, Granite Ventures, ICONIQ Capital, and Coatue, which each hold more than 5% of our outstanding capital stock, and Jason Gardner, our Chief Executive Officer, Founder, Director, and Chairperson, we or our assignees have a right to purchase shares of our capital stock that certain stockholders propose to sell to other parties. This right will terminate upon completion of this offering. Since January 1, 2018, we and our assignees have waived our right of first refusal in connection with the sale of certain shares of our capital stock, including sales by certain of our executive officers. See the section titled “Principal Stockholders” for additional information regarding beneficial ownership of our capital stock.</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are party to an amended and restated voting agreement under which certain holders of our capital stock, including entities affiliated with 83North, DFS Services LLC, Granite Ventures, ICONIQ Capital, and Coatue, which each hold more than 5% of our outstanding capital stock, and Jason Gardner, our Chief Executive Officer, Founder, Director, and Chairperson have agreed as to the manner in which they will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Transactions with PULSE Network LLC</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December 5, 2013, we entered into a Direct Processor Agreement with PULSE Network LLC, or PULSE, for the provision of PULSE Network LLC’s PIN debit and ATM network services to us. We paid PULSE Network LLC $6,046,599, $14,398,570, and $30,421,845 in the 2018, 2019, and 2020 fiscal years, respectively, in Card Network fees. PULSE Network LLC is owned by DFS Services LLC, a holder of more than 5% of our outstanding capital stock, and is the affiliated PIN debit and ATM network of DFS Services LLC.</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Transactions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have granted stock options to purchase common stock to our executive officers and certain of our directors. See the sections titled “Executive Compensation” and “Management—Non-Employee Director Compensation” for a description of these options.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have entered into change in control arrangements with certain of our executive officers that, among other things, provide for certain severance and change in control benefits.</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Other than as described above under this section titled “Certain Relationships and Related Person Transactions,” since January 1, 2018,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adopted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 addition, we have adopted amended and restated bylaws which will become effective upon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6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directors and employees for certain liabilities arising under the Securities Act, or otherwise.</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Following the completion of this offering, our audit committee charter will provide that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As of the date of this prospectus, we have adopted standards, policies and procedures governing the review and approval of related party transactions.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the transactions described above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May 10, 2021, or the Beneficial Ownership Date, as adjusted to reflect the sale of Class A common stock offered by us in this offering assuming no exercise of the underwriters’ option to purchase additional shares, for:</w:t>
      </w:r>
    </w:p>
    <w:p>
      <w:pPr>
        <w:spacing w:after="0" w:line="89" w:lineRule="exact"/>
        <w:rPr>
          <w:sz w:val="20"/>
          <w:szCs w:val="20"/>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any class of our voting securities.</w:t>
      </w:r>
    </w:p>
    <w:p>
      <w:pPr>
        <w:spacing w:after="0" w:line="225"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and RSUs that are currently exercisable or would vest based on service-based vesting conditions, assuming any applicable liquidity condition had been achieved, within 60 days of the Beneficial Ownership Date to be beneficially owned by the person holding the option or RSUs for the purpose of computing the percentage ownership of that person but have not treated them as outstanding for the purpose of computing the percentage ownership of any other person.</w:t>
      </w:r>
    </w:p>
    <w:p>
      <w:pPr>
        <w:spacing w:after="0" w:line="17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have based percentage ownership of our common stock before this offering on 484,679,529 shares of our common stock outstanding as of the Beneficial Ownership Date, which includes 351,844,340 shares of Class B common stock resulting from the automatic conversion and reclassification of all outstanding shares of our redeemable convertible preferred stock immediately prior to the completion of this offering, as if this conversion and reclassification had occurred as of the Beneficial Ownership Date. Percentage ownership of our common stock after this offering assumes our sale of 45,454,546 shares of Class A common stock in this offering.</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Marqeta, Inc.,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Shares Beneficially</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Shares Beneficially Owned</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1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Owned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Total Voting</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100" w:type="dxa"/>
            <w:vAlign w:val="bottom"/>
            <w:gridSpan w:val="4"/>
          </w:tcPr>
          <w:p>
            <w:pPr>
              <w:jc w:val="center"/>
              <w:ind w:right="360"/>
              <w:spacing w:after="0" w:line="129" w:lineRule="exact"/>
              <w:rPr>
                <w:sz w:val="20"/>
                <w:szCs w:val="20"/>
                <w:color w:val="auto"/>
              </w:rPr>
            </w:pPr>
            <w:r>
              <w:rPr>
                <w:rFonts w:ascii="Arial" w:cs="Arial" w:eastAsia="Arial" w:hAnsi="Arial"/>
                <w:sz w:val="14"/>
                <w:szCs w:val="14"/>
                <w:b w:val="1"/>
                <w:bCs w:val="1"/>
                <w:color w:val="auto"/>
                <w:w w:val="94"/>
              </w:rPr>
              <w:t>Prior to the Offering</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4"/>
          </w:tcPr>
          <w:p>
            <w:pPr>
              <w:jc w:val="right"/>
              <w:ind w:right="440"/>
              <w:spacing w:after="0" w:line="129" w:lineRule="exact"/>
              <w:rPr>
                <w:sz w:val="20"/>
                <w:szCs w:val="20"/>
                <w:color w:val="auto"/>
              </w:rPr>
            </w:pPr>
            <w:r>
              <w:rPr>
                <w:rFonts w:ascii="Arial" w:cs="Arial" w:eastAsia="Arial" w:hAnsi="Arial"/>
                <w:sz w:val="14"/>
                <w:szCs w:val="14"/>
                <w:b w:val="1"/>
                <w:bCs w:val="1"/>
                <w:color w:val="auto"/>
              </w:rPr>
              <w:t>After the Offering</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Power After</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7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Class B</w:t>
            </w:r>
            <w:r>
              <w:rPr>
                <w:rFonts w:ascii="Arial" w:cs="Arial" w:eastAsia="Arial" w:hAnsi="Arial"/>
                <w:sz w:val="12"/>
                <w:szCs w:val="12"/>
                <w:b w:val="1"/>
                <w:bCs w:val="1"/>
                <w:color w:val="auto"/>
                <w:w w:val="90"/>
              </w:rPr>
              <w:t>(1)</w:t>
            </w:r>
          </w:p>
        </w:tc>
        <w:tc>
          <w:tcPr>
            <w:tcW w:w="360" w:type="dxa"/>
            <w:vAlign w:val="bottom"/>
          </w:tcPr>
          <w:p>
            <w:pPr>
              <w:spacing w:after="0"/>
              <w:rPr>
                <w:sz w:val="12"/>
                <w:szCs w:val="12"/>
                <w:color w:val="auto"/>
              </w:rPr>
            </w:pPr>
          </w:p>
        </w:tc>
        <w:tc>
          <w:tcPr>
            <w:tcW w:w="1640" w:type="dxa"/>
            <w:vAlign w:val="bottom"/>
            <w:tcBorders>
              <w:top w:val="single" w:sz="8" w:color="auto"/>
            </w:tcBorders>
            <w:gridSpan w:val="4"/>
          </w:tcPr>
          <w:p>
            <w:pPr>
              <w:ind w:left="480"/>
              <w:spacing w:after="0" w:line="142" w:lineRule="exact"/>
              <w:rPr>
                <w:sz w:val="20"/>
                <w:szCs w:val="20"/>
                <w:color w:val="auto"/>
              </w:rPr>
            </w:pPr>
            <w:r>
              <w:rPr>
                <w:rFonts w:ascii="Arial" w:cs="Arial" w:eastAsia="Arial" w:hAnsi="Arial"/>
                <w:sz w:val="14"/>
                <w:szCs w:val="14"/>
                <w:b w:val="1"/>
                <w:bCs w:val="1"/>
                <w:color w:val="auto"/>
              </w:rPr>
              <w:t>Class A</w:t>
            </w:r>
          </w:p>
        </w:tc>
        <w:tc>
          <w:tcPr>
            <w:tcW w:w="1740" w:type="dxa"/>
            <w:vAlign w:val="bottom"/>
            <w:tcBorders>
              <w:top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Class B</w:t>
            </w:r>
            <w:r>
              <w:rPr>
                <w:rFonts w:ascii="Arial" w:cs="Arial" w:eastAsia="Arial" w:hAnsi="Arial"/>
                <w:sz w:val="12"/>
                <w:szCs w:val="12"/>
                <w:b w:val="1"/>
                <w:bCs w:val="1"/>
                <w:color w:val="auto"/>
              </w:rPr>
              <w:t>(1)</w:t>
            </w:r>
          </w:p>
        </w:tc>
        <w:tc>
          <w:tcPr>
            <w:tcW w:w="36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3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Number</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36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(2)</w:t>
            </w: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5% Stockholders:</w:t>
            </w: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Entities affiliated with 83North</w:t>
            </w:r>
            <w:r>
              <w:rPr>
                <w:rFonts w:ascii="Arial" w:cs="Arial" w:eastAsia="Arial" w:hAnsi="Arial"/>
                <w:sz w:val="23"/>
                <w:szCs w:val="23"/>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38,778,289</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8.0%</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38,778,289</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8.0%</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DFS Services LLC</w:t>
            </w:r>
            <w:r>
              <w:rPr>
                <w:rFonts w:ascii="Arial" w:cs="Arial" w:eastAsia="Arial" w:hAnsi="Arial"/>
                <w:sz w:val="23"/>
                <w:szCs w:val="23"/>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26,267,862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26,267,862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Entities affiliated with Granite Ventures</w:t>
            </w:r>
            <w:r>
              <w:rPr>
                <w:rFonts w:ascii="Arial" w:cs="Arial" w:eastAsia="Arial" w:hAnsi="Arial"/>
                <w:sz w:val="23"/>
                <w:szCs w:val="23"/>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6"/>
                <w:szCs w:val="16"/>
                <w:color w:val="auto"/>
              </w:rPr>
              <w:t>54,261,696</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11.2%</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54,261,696</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11.2%</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ICONIQ</w:t>
            </w:r>
            <w:r>
              <w:rPr>
                <w:rFonts w:ascii="Arial" w:cs="Arial" w:eastAsia="Arial" w:hAnsi="Arial"/>
                <w:sz w:val="23"/>
                <w:szCs w:val="23"/>
                <w:color w:val="auto"/>
                <w:vertAlign w:val="superscript"/>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42,093,869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42,093,869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Entities affiliated Coatue</w:t>
            </w:r>
            <w:r>
              <w:rPr>
                <w:rFonts w:ascii="Arial" w:cs="Arial" w:eastAsia="Arial" w:hAnsi="Arial"/>
                <w:sz w:val="23"/>
                <w:szCs w:val="23"/>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6"/>
                <w:szCs w:val="16"/>
                <w:color w:val="auto"/>
              </w:rPr>
              <w:t>25,444,638</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25,444,638</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Jason Gardner</w:t>
            </w:r>
            <w:r>
              <w:rPr>
                <w:rFonts w:ascii="Arial" w:cs="Arial" w:eastAsia="Arial" w:hAnsi="Arial"/>
                <w:sz w:val="23"/>
                <w:szCs w:val="23"/>
                <w:color w:val="auto"/>
                <w:vertAlign w:val="superscript"/>
              </w:rPr>
              <w:t>(8)</w:t>
            </w:r>
          </w:p>
        </w:tc>
        <w:tc>
          <w:tcPr>
            <w:tcW w:w="840" w:type="dxa"/>
            <w:vAlign w:val="bottom"/>
          </w:tcPr>
          <w:p>
            <w:pPr>
              <w:jc w:val="right"/>
              <w:spacing w:after="0"/>
              <w:rPr>
                <w:sz w:val="20"/>
                <w:szCs w:val="20"/>
                <w:color w:val="auto"/>
              </w:rPr>
            </w:pPr>
            <w:r>
              <w:rPr>
                <w:rFonts w:ascii="Arial" w:cs="Arial" w:eastAsia="Arial" w:hAnsi="Arial"/>
                <w:sz w:val="16"/>
                <w:szCs w:val="16"/>
                <w:color w:val="auto"/>
              </w:rPr>
              <w:t>71,399,273</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14.1%</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71,399,273</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14.1%</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Omri Dahan</w:t>
            </w:r>
            <w:r>
              <w:rPr>
                <w:rFonts w:ascii="Arial" w:cs="Arial" w:eastAsia="Arial" w:hAnsi="Arial"/>
                <w:sz w:val="23"/>
                <w:szCs w:val="23"/>
                <w:color w:val="auto"/>
                <w:vertAlign w:val="superscript"/>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8,539,155</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8,539,155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Kevin Doerr</w:t>
            </w:r>
            <w:r>
              <w:rPr>
                <w:rFonts w:ascii="Arial" w:cs="Arial" w:eastAsia="Arial" w:hAnsi="Arial"/>
                <w:sz w:val="23"/>
                <w:szCs w:val="23"/>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6"/>
                <w:szCs w:val="16"/>
                <w:color w:val="auto"/>
              </w:rPr>
              <w:t>2,051,463</w:t>
            </w:r>
          </w:p>
        </w:tc>
        <w:tc>
          <w:tcPr>
            <w:tcW w:w="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2,051,463</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Amy Chang</w:t>
            </w:r>
            <w:r>
              <w:rPr>
                <w:rFonts w:ascii="Arial" w:cs="Arial" w:eastAsia="Arial" w:hAnsi="Arial"/>
                <w:sz w:val="23"/>
                <w:szCs w:val="23"/>
                <w:color w:val="auto"/>
                <w:vertAlign w:val="superscript"/>
              </w:rPr>
              <w:t>(11)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Martha Cummings</w:t>
            </w:r>
            <w:r>
              <w:rPr>
                <w:rFonts w:ascii="Arial" w:cs="Arial" w:eastAsia="Arial" w:hAnsi="Arial"/>
                <w:sz w:val="23"/>
                <w:szCs w:val="23"/>
                <w:color w:val="auto"/>
                <w:vertAlign w:val="superscript"/>
              </w:rPr>
              <w:t>(12)</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Gerri Elliott</w:t>
            </w:r>
            <w:r>
              <w:rPr>
                <w:rFonts w:ascii="Arial" w:cs="Arial" w:eastAsia="Arial" w:hAnsi="Arial"/>
                <w:sz w:val="23"/>
                <w:szCs w:val="23"/>
                <w:color w:val="auto"/>
                <w:vertAlign w:val="superscript"/>
              </w:rPr>
              <w:t>(13)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Helen Riley</w:t>
            </w:r>
            <w:r>
              <w:rPr>
                <w:rFonts w:ascii="Arial" w:cs="Arial" w:eastAsia="Arial" w:hAnsi="Arial"/>
                <w:sz w:val="23"/>
                <w:szCs w:val="23"/>
                <w:color w:val="auto"/>
                <w:vertAlign w:val="superscript"/>
              </w:rPr>
              <w:t>(14)</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Arnon Dinur</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240" w:type="dxa"/>
            <w:vAlign w:val="bottom"/>
          </w:tcPr>
          <w:p>
            <w:pPr>
              <w:spacing w:after="0" w:line="202" w:lineRule="exact"/>
              <w:rPr>
                <w:sz w:val="20"/>
                <w:szCs w:val="20"/>
                <w:color w:val="auto"/>
              </w:rPr>
            </w:pPr>
            <w:r>
              <w:rPr>
                <w:rFonts w:ascii="Arial" w:cs="Arial" w:eastAsia="Arial" w:hAnsi="Arial"/>
                <w:sz w:val="14"/>
                <w:szCs w:val="14"/>
                <w:color w:val="auto"/>
              </w:rPr>
              <w:t>Judson Linville</w:t>
            </w:r>
            <w:r>
              <w:rPr>
                <w:rFonts w:ascii="Arial" w:cs="Arial" w:eastAsia="Arial" w:hAnsi="Arial"/>
                <w:sz w:val="23"/>
                <w:szCs w:val="23"/>
                <w:color w:val="auto"/>
                <w:vertAlign w:val="superscript"/>
              </w:rPr>
              <w:t>(15)</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Christopher McKay</w:t>
            </w:r>
            <w:r>
              <w:rPr>
                <w:rFonts w:ascii="Arial" w:cs="Arial" w:eastAsia="Arial" w:hAnsi="Arial"/>
                <w:sz w:val="23"/>
                <w:szCs w:val="23"/>
                <w:color w:val="auto"/>
                <w:vertAlign w:val="superscript"/>
              </w:rPr>
              <w:t>(16)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54,382,234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54,382,234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4"/>
                <w:szCs w:val="14"/>
                <w:color w:val="auto"/>
              </w:rPr>
              <w:t>Godfrey Sullivan</w:t>
            </w:r>
            <w:r>
              <w:rPr>
                <w:rFonts w:ascii="Arial" w:cs="Arial" w:eastAsia="Arial" w:hAnsi="Arial"/>
                <w:sz w:val="23"/>
                <w:szCs w:val="23"/>
                <w:color w:val="auto"/>
                <w:vertAlign w:val="superscript"/>
              </w:rPr>
              <w:t>(17)</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600,000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All directors and executive officers as a group (18 persons)</w:t>
            </w:r>
            <w:r>
              <w:rPr>
                <w:rFonts w:ascii="Arial" w:cs="Arial" w:eastAsia="Arial" w:hAnsi="Arial"/>
                <w:sz w:val="23"/>
                <w:szCs w:val="23"/>
                <w:color w:val="auto"/>
                <w:vertAlign w:val="superscript"/>
              </w:rPr>
              <w:t>(18)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150,429,905</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2"/>
              </w:rPr>
              <w:t>150,429,905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7715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66" w:lineRule="exact"/>
        <w:rPr>
          <w:sz w:val="20"/>
          <w:szCs w:val="20"/>
          <w:color w:val="auto"/>
        </w:rPr>
      </w:pPr>
    </w:p>
    <w:p>
      <w:pPr>
        <w:ind w:left="660" w:hanging="544"/>
        <w:spacing w:after="0"/>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less than one percent (1%).</w:t>
      </w:r>
    </w:p>
    <w:p>
      <w:pPr>
        <w:ind w:left="66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w:t>
      </w:r>
    </w:p>
    <w:p>
      <w:pPr>
        <w:jc w:val="both"/>
        <w:ind w:left="660" w:right="2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common stock and Class B common stock, as a single class. The holders of our Class B common stock are entitled to 10 votes per share, and holders of our Class A common stock are entitled to one vote per share. See the section titled “Description of Capital Stock—Voting Rights” for more information about the voting rights of our Class A common stock and Class B common stock.</w:t>
      </w:r>
    </w:p>
    <w:p>
      <w:pPr>
        <w:jc w:val="both"/>
        <w:ind w:left="66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38,778,289 shares of Class B common stock held of record by 83North II Limited Partnership (“83North II”). Each of 83North II GP, L.P. (the “83North II GP”), the general partner of 83North II, and 83North II Manager, Ltd. (the “83North II GPGP”), the general partner of the 83North II GP, has voting and dispositive power over the shares held by 83North II. Investment decisions on behalf of 83North II are made collectively by Erez Ofer, Yoram Snir and Laurel Bowden, the sole shareholders of the 83North II GPGP. Arnon Dinur, a limited partner of the 83North II GP, is also a member of Marqeta’s board of directors. The address for 83North II is 10 Sderot Abba Eban Bldg. C, 9th Floor, Herzliya, 4673303, Israel.</w:t>
      </w:r>
    </w:p>
    <w:p>
      <w:pPr>
        <w:spacing w:after="0" w:line="1" w:lineRule="exact"/>
        <w:rPr>
          <w:rFonts w:ascii="Arial" w:cs="Arial" w:eastAsia="Arial" w:hAnsi="Arial"/>
          <w:sz w:val="14"/>
          <w:szCs w:val="14"/>
          <w:color w:val="auto"/>
        </w:rPr>
      </w:pPr>
    </w:p>
    <w:p>
      <w:pPr>
        <w:jc w:val="both"/>
        <w:ind w:left="660" w:right="2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26,267,862 shares of Class B common stock held of record by DFS Services LLC (“Discover”). Discover is a wholly-owned subsidiary of Discover Financial Services, a publicly traded company. Voting and dispositive decisions with respect to the shares held by Discover are made by Discover Financial Services. The address for Discover is 2500 Lake Cook Road, Riverwoods, Illinois 60015.</w:t>
      </w:r>
    </w:p>
    <w:p>
      <w:pPr>
        <w:jc w:val="both"/>
        <w:ind w:left="660" w:right="2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(i) 53,827,878 shares of Class B common stock held by Granite Ventures II, L.P. (“Granite Ventures II”) and (ii) 433,818 shares of Class B common stock held by Granite Ventures Entrepreneurs Fund II, L.P. (“Granite Ventures Entrepreneurs Fund II”, and together with Granite Ventures II, the “Granite Entities”). Granite Management II, LLC (“Granite Management II”) is the general partner of the Granite Entities. Christopher McKay, a member of our board of directors, is one of several managing directors of Granite Management II, LLC and as such Mr. McKay may be deemed to have voting and investment power with respect to such shares. The address for each of the entities in this paragraph is 300 Montgomery St Suite 638, San Francisco, California 94104.</w:t>
      </w:r>
    </w:p>
    <w:p>
      <w:pPr>
        <w:spacing w:after="0" w:line="1" w:lineRule="exact"/>
        <w:rPr>
          <w:rFonts w:ascii="Arial" w:cs="Arial" w:eastAsia="Arial" w:hAnsi="Arial"/>
          <w:sz w:val="14"/>
          <w:szCs w:val="14"/>
          <w:color w:val="auto"/>
        </w:rPr>
      </w:pPr>
    </w:p>
    <w:p>
      <w:pPr>
        <w:jc w:val="both"/>
        <w:ind w:left="660" w:hanging="544"/>
        <w:spacing w:after="0" w:line="238" w:lineRule="auto"/>
        <w:tabs>
          <w:tab w:leader="none" w:pos="6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(i) 20,348,700 shares of Class B common stock held of record by ICONIQ Strategic Partners III, L.P. (“ICONIQ III”) and (ii) 21,745,169 shares of Class B common stock held of record held by ICONIQ Strategic Partners III-B, L.P. (“ICONIQ III-B”, and together with ICONIQ III, the “ICONIQ Entities”). ICONIQ Strategic Partners III GP, L.P. (“ICONIQ GP III”) is the general partner of ICONIQ III and ICONIQ III-B. ICONIQ Strategic Partners III TT GP, Ltd. (“ICONIQ Parent GP III”) is the general partner of ICONIQ GP III. Divesh Makan and William Griffith are the sole equity holders and directors of ICONIQ Parent GP III and may be deemed to have shared voting, investment and dispositive power with respect to the shares held by the ICONIQ Entities. The address for each of the ICONIQ Entities is 394 Pacific Avenue, 2</w:t>
      </w:r>
      <w:r>
        <w:rPr>
          <w:rFonts w:ascii="Arial" w:cs="Arial" w:eastAsia="Arial" w:hAnsi="Arial"/>
          <w:sz w:val="11"/>
          <w:szCs w:val="11"/>
          <w:color w:val="auto"/>
        </w:rPr>
        <w:t>nd</w:t>
      </w:r>
      <w:r>
        <w:rPr>
          <w:rFonts w:ascii="Arial" w:cs="Arial" w:eastAsia="Arial" w:hAnsi="Arial"/>
          <w:sz w:val="13"/>
          <w:szCs w:val="13"/>
          <w:color w:val="auto"/>
        </w:rPr>
        <w:t xml:space="preserve"> Floor, San Francisco, California 94111.</w:t>
      </w:r>
    </w:p>
    <w:p>
      <w:pPr>
        <w:spacing w:after="0" w:line="1" w:lineRule="exact"/>
        <w:rPr>
          <w:rFonts w:ascii="Arial" w:cs="Arial" w:eastAsia="Arial" w:hAnsi="Arial"/>
          <w:sz w:val="13"/>
          <w:szCs w:val="13"/>
          <w:color w:val="auto"/>
        </w:rPr>
      </w:pPr>
    </w:p>
    <w:p>
      <w:pPr>
        <w:jc w:val="both"/>
        <w:ind w:left="660" w:right="20" w:hanging="544"/>
        <w:spacing w:after="0" w:line="238" w:lineRule="auto"/>
        <w:tabs>
          <w:tab w:leader="none" w:pos="6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(i) 19,276,241 shares of Class B common stock held of record by Coatue Kona III LP (“Coatue Kona III”) and (ii) 6,168,397 shares of Class B common stock held of record held by Coatue US 14 LLC (“Coatue US 14”, and together with Coatue Kona III, the “Coatue Entities”). Each Coatue Entity has designated Coatue Management, L.L.C. to serve as its respective investment manager. Philippe Laffont serves as the control person of Coatue Management, L.L.C. Voting and dispositive decisions with respect to the shares held by the Coatue Entities are made by Coatue Management, L.L.C. The address of each of the entities in this paragraph is 9 West 57th Street, 25th Floor, New York, NY 10019.</w:t>
      </w:r>
    </w:p>
    <w:p>
      <w:pPr>
        <w:spacing w:after="0" w:line="1" w:lineRule="exact"/>
        <w:rPr>
          <w:rFonts w:ascii="Arial" w:cs="Arial" w:eastAsia="Arial" w:hAnsi="Arial"/>
          <w:sz w:val="13"/>
          <w:szCs w:val="13"/>
          <w:color w:val="auto"/>
        </w:rPr>
      </w:pPr>
    </w:p>
    <w:p>
      <w:pPr>
        <w:jc w:val="both"/>
        <w:ind w:left="66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(i) 39,922,553 shares of Class B common stock held of record by Jason Gardner and Jocelyne Gardner as trustees of The Gardner 2008 Living Trust dated March 22, 2008, (ii) 625,000 shares held of record by Jason Gardner, as trustee of the Jason Gardner 2020 GRAT, dated November 23, 2020, (iii) 625,000 shares held of record by Jocelyne Gardner, as trustee of the Jocelyne Gardner 2020 GRAT, dated November 23, 2020, (iv) 8,000,000 shares of Class B common stock held of record by trusts for the benefit of Mr. Gardner’s children and of which the trustee is an independent institution, and (v) 22,226,720 shares of Class B common stock subject to outstanding options that are exercisable within 60 days of the Beneficial Ownership Date by Mr. Gardner. Mr. Gardner disclaims beneficial ownership of the shares held in the trusts for the benefit of Mr. Gardner’s children.</w:t>
      </w:r>
    </w:p>
    <w:p>
      <w:pPr>
        <w:spacing w:after="0" w:line="1" w:lineRule="exact"/>
        <w:rPr>
          <w:rFonts w:ascii="Arial" w:cs="Arial" w:eastAsia="Arial" w:hAnsi="Arial"/>
          <w:sz w:val="14"/>
          <w:szCs w:val="14"/>
          <w:color w:val="auto"/>
        </w:rPr>
      </w:pPr>
    </w:p>
    <w:p>
      <w:pPr>
        <w:jc w:val="both"/>
        <w:ind w:left="66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(i) 4,289,244 shares of Class B common stock held of record by Omri Dahan as trustee of The Dahan Living Trust, (ii) 1,500,000 shares of Class B common stock held of record by Omri Dahan as trustee of the DAHAN 2020 MARQETA GRAT dated July 23, 2020, (iii) 100,000 shares of Class B common stock held of record by Mr. Dahan as managing member of Dahan Family LLC, (iv) 2,350,002 shares of Class B common stock held of record by Graeme Rael as trustee for trusts for the benefit of Mr. Dahan’s family, and (v) 299,909 shares of Class B common stock. As of March 13, 2021, Mr. Dahan was no longer employed by us.</w:t>
      </w:r>
    </w:p>
    <w:p>
      <w:pPr>
        <w:spacing w:after="0" w:line="1" w:lineRule="exact"/>
        <w:rPr>
          <w:rFonts w:ascii="Arial" w:cs="Arial" w:eastAsia="Arial" w:hAnsi="Arial"/>
          <w:sz w:val="14"/>
          <w:szCs w:val="14"/>
          <w:color w:val="auto"/>
        </w:rPr>
      </w:pPr>
    </w:p>
    <w:p>
      <w:pPr>
        <w:ind w:left="66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2,051,463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right="2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(i) 19,000 shares of Class B common stock and (ii) 581,000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right="2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(i) 54,261,696 shares held by the entities affiliated with Granite Ventures as identified in footnote 5 and (ii) 120,538 shares of Class B common stock held of record by Chris McKay and Sarah McKay as trustees of the McKay Family Trust, dated August 12, 2020.</w:t>
      </w:r>
    </w:p>
    <w:p>
      <w:pPr>
        <w:ind w:left="660" w:hanging="544"/>
        <w:spacing w:after="0" w:line="22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the Beneficial Ownership Date.</w:t>
      </w:r>
    </w:p>
    <w:p>
      <w:pPr>
        <w:ind w:left="660" w:right="20" w:hanging="544"/>
        <w:spacing w:after="0" w:line="237"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(i) 112,749,476 shares of Class B common stock beneficially owned by our current directors and executive officers and (ii) 37,680,429 shares of Class B common stock subject to outstanding options that are exercisable within 60 days of the Beneficial Ownership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following description summarizes the most important terms of our capital stock, as they are expected to be in effect upon the completion of this offering. We have adopted an amended and restated certificate of incorporation and amended and restated bylaws in connection with this offering, and this description summarizes the provisions that are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and amended and restated bylaws and our amended and restated investor rights’ agreement, which are included as exhibits to the registration statement of which this prospectus forms a part, and to the applicable provisions of Delaware law. Immediately following the completion of this offering, our authorized capital stock will consist of 1,500,000,000 shares of Class A common stock, $0.0001 par value per share, 600,000,000 shares of Class B common stock, $0.0001 par value per share, and 100,000,000 shares of undesignated preferred stock, $0.0001 par value per share.</w:t>
      </w:r>
    </w:p>
    <w:p>
      <w:pPr>
        <w:spacing w:after="0" w:line="18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Assuming the conversion of all outstanding shares of our redeemable convertible preferred stock into shares of our Class B common stock, which will occur immediately prior to the completion of this offering, as of March 31, 2021, there were no outstanding shares of Class A common stock and 484,791,355 shares of our Class B common stock outstanding, held by 567 stockholders of record, and no shares of our redeemable convertible preferred stock outstanding. Our board of directors is authorized, without stockholder approval except as required by the listing standards of Nasdaq, to issue additional shares of our capital stock.</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Upon the completion of this offering, we will have authorized a class of Class A common stock and a class of Class B common stock. All outstanding shares of our existing common stock and redeemable convertible preferred stock will be reclassified into shares of our new Class B common stock. In addition, any options to purchase shares of our capital stock outstanding prior to the completion of this offering will become eligible to be settled in or exercisable for shares of our new Class B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Holders of our Class A common stock are entitled to one vote for each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93" w:lineRule="exact"/>
        <w:rPr>
          <w:sz w:val="20"/>
          <w:szCs w:val="20"/>
          <w:color w:val="auto"/>
        </w:rPr>
      </w:pPr>
    </w:p>
    <w:p>
      <w:pPr>
        <w:ind w:left="880" w:right="20" w:hanging="224"/>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hanging="224"/>
        <w:spacing w:after="0" w:line="263"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do not expect to provide for cumulative voting for the election of directors in our amended and restated certificate of incorporation. 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Each outstanding share of Class B common stock will be convertible at any time at the option of the holder into one share of Class A common stock. In addition, each share of Class B common stock will convert automatically into one share of Class A common stock upon (i) any transfer, whether or not for value, except for certain permitted transfers described in our amended and restated certificate of incorporation, including transfers to family members, trusts solely for the benefit of the stockholder or their family members, and partnerships, corporations and other entities exclusively owned by the stockholder or their family members or (ii), in the case of a stockholder who is a natural person, the death or incapacity of such stockholder. Once converted into Class A common stock, the Class B common stock will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-494665</wp:posOffset>
            </wp:positionV>
            <wp:extent cx="457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5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Each outstanding share of Class B common stock will convert automatically into one share of Class A common stock upon the date specified by affirmative vote of the holders of at least 66-2/3% of the outstanding shares of Class B common stock, voting as a single class.</w:t>
      </w:r>
    </w:p>
    <w:p>
      <w:pPr>
        <w:spacing w:after="0" w:line="146"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All outstanding shares of Class A common stock and Class B common stock will convert automatically into shares of a single class of common stock on the earlier of the date that is 10 years from the date of this prospectus or the date the holders of at least 66-2/3% of our Class B common stock elect to convert the Class B common stock to Class A common stock. The purpose of this provision is to ensure that following such conversion, each share of common stock will have one vote per share and the rights of the holders of all outstanding common stock will be identical. Once converted into a single class of common stock, the Class A common stock and Class B common stock may not be reissued. See the section titled “Risk Factors—Risks Relating to Our Initial Public Offering and Ownership of Our Common Stock.” 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of the outstanding shares of our Class B common stock are, and the shares of our Class A common stock to be issued pursuant to this offering will be, fully paid and non-assessable.</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Class A common stock and Class B common stock. We have no current plan to issue any shares of preferred stock.</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March 31, 2021, we had outstanding options to purchase an aggregate of 24,332,915 shares of our Class B common stock, with a weighted-average exercise price of $2.92 pursuant to our 2011 Plan, which was adopted in February 2011, most recently amended and restated by our board of directors in January 2021.</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2021, we had outstanding RSUs representing 6,503,203 shares of our Class B common stock, issued pursuant to our 2011 Plan.</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March 31, 2021, there were outstanding warrants to purchase an aggregate of 203,610 shares of our redeemable convertible preferred stock, with a weighted-average exercise price of $0.295 per share, and warrants to purchase an aggregate of 2,569,528 shares of our common stock, with a weighted-average exercise price of $0.021 per share. The warrants will be automatically converted into warrants for Class B common stock upon the completion of this offering.</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After the completion of this offering, certain holders of our Class B common stock will be entitled to rights with respect to the registration of their shares under the Securities Act. These registration rights are contained in the investor rights agreement. We, along with certain holders of our redeemable convertible preferred stock, are parties to the investor rights agreement. The registration rights set forth in the investor rights agreement will expire four years following the completion of this offering,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one counsel for the selling holders, in an amount not to exceed $75,000. In an underwritten offering, the underwriters have the right, subject to specified conditions, to limit the number of shares such holders may include. In connection with this offering, each stockholder that has registration rights will agree not to sell or otherwise dispose of any securities without the prior written consent of Goldman Sachs &amp; Co. LLC and J.P. Morgan Securities LLC for a period of 180 days after the date of this prospectus, subject to certain terms and conditions. See the section titled “Underwriting” for more information regarding such restrictions.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S-1</w:t>
      </w:r>
    </w:p>
    <w:p>
      <w:pPr>
        <w:spacing w:after="0" w:line="11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After the completion of this offering, the holders of up to approximately 362,319,118 shares of our Class B common stock will be entitled to certain demand registration rights. At any time beginning on the five-year anniversary of the execution of the investor rights agreement, which was executed in May 2020, the holders of a majority of these shares then outstanding may request that we register the offer and sale of their shares on a registration statement on Form S-1, subject to certain limitations. We are obligated to effect only two such registrations. If we determine that it would be seriously detrimental to us and our stockholders to effect such a demand registration, we have the right to defer such registration, not more than once in any 12-month period, for a period of not more than 120 days. Additionally, we will not be required to effect a demand registration during the period beginning with the date of the filing of, and ending on the date 180 days following the effectiveness of, a registration statement relating to the public offering of our common stock. Additionally, we will not be required to effect a demand registration if, within thirty days of receipt of a written request from the holders of a majority of these shares then outstanding, we provide notice to the holders of our intention to file a registration statement for a public offering within 90 days.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After the completion of this offering, if we propose to register the offer and sale of our common stock under the Securities Act, in connection with the public offering of such common stock the holders of up to approximately 362,319,118 shares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relating to the sale of securities to our employees or a subsidiary pursuant to any employee benefit plan, (2) a registration relating to a transaction under Rule 145 of the Securities Act; or (3)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S-3</w:t>
      </w:r>
    </w:p>
    <w:p>
      <w:pPr>
        <w:spacing w:after="0" w:line="11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After the completion of this offering, the holders of up to approximately 362,319,118 shares of our Class B common stock will be entitled to certain Form S-3 registration rights. The holders of at least 10%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of at least $5.0 million. These stockholders may make an unlimited number of requests for registration on Form S-3; however, we will not be required to effect a registration on Form S-3 if we have effected two such registrations in the same calendar year as the date of the request. Additionally, if we determine that it would be seriously detrimental to our stockholders to effect such a registration, we have the right to defer such registration, not more than once in any 12-month period, for a period of not more than 120 days. Additionally, we will not be required to effect a demand registration stock if, within thirty days of receipt of a written request from the holders of 10% of these shares then outstanding, we provide notice to the holders of our intention to file a registration statement for a public offering within 90 days.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76" w:lineRule="exact"/>
        <w:rPr>
          <w:sz w:val="20"/>
          <w:szCs w:val="20"/>
          <w:color w:val="auto"/>
        </w:rPr>
      </w:pPr>
    </w:p>
    <w:p>
      <w:pPr>
        <w:jc w:val="both"/>
        <w:ind w:left="880" w:hanging="224"/>
        <w:spacing w:after="0" w:line="279"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Dual-Class Stock. </w:t>
      </w:r>
      <w:r>
        <w:rPr>
          <w:rFonts w:ascii="Arial" w:cs="Arial" w:eastAsia="Arial" w:hAnsi="Arial"/>
          <w:sz w:val="17"/>
          <w:szCs w:val="17"/>
          <w:color w:val="auto"/>
        </w:rPr>
        <w:t>As described above in the subsection titled “—Class A Common Stock and Class B Common Stock—Voting Rights,”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will provide for a dual-class common stock structure, which will provide our founders, current investors, executives and employees with significant influence over all matters requiring stockholder approval, including the election of directors and significant corporate transactions, such as a merger or other sale of our company or our assets</w:t>
      </w:r>
      <w:r>
        <w:rPr>
          <w:rFonts w:ascii="Arial" w:cs="Arial" w:eastAsia="Arial" w:hAnsi="Arial"/>
          <w:sz w:val="17"/>
          <w:szCs w:val="17"/>
          <w:i w:val="1"/>
          <w:iCs w:val="1"/>
          <w:color w:val="auto"/>
        </w:rPr>
        <w:t>.</w:t>
      </w:r>
    </w:p>
    <w:p>
      <w:pPr>
        <w:spacing w:after="0" w:line="76" w:lineRule="exact"/>
        <w:rPr>
          <w:rFonts w:ascii="Arial" w:cs="Arial" w:eastAsia="Arial" w:hAnsi="Arial"/>
          <w:sz w:val="17"/>
          <w:szCs w:val="17"/>
          <w:color w:val="auto"/>
        </w:rPr>
      </w:pPr>
    </w:p>
    <w:p>
      <w:pPr>
        <w:jc w:val="both"/>
        <w:ind w:left="880" w:hanging="224"/>
        <w:spacing w:after="0" w:line="255"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only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w:t>
      </w:r>
    </w:p>
    <w:p>
      <w:pPr>
        <w:spacing w:after="0" w:line="97"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of Directors.”</w:t>
      </w:r>
    </w:p>
    <w:p>
      <w:pPr>
        <w:spacing w:after="0" w:line="92"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bylaws. Our amended and restated bylaws will further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2" w:lineRule="exact"/>
        <w:rPr>
          <w:sz w:val="20"/>
          <w:szCs w:val="20"/>
          <w:color w:val="auto"/>
        </w:rPr>
      </w:pPr>
    </w:p>
    <w:p>
      <w:pPr>
        <w:jc w:val="both"/>
        <w:ind w:left="880" w:right="20" w:hanging="224"/>
        <w:spacing w:after="0" w:line="272" w:lineRule="auto"/>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8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Delaware General Corporation Law provides that stockholders are not entitled to cumulate votes in the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unless a corporation’s certificate of incorporation provides otherwise. Our amended and restated certificate of incorporation will not provide for cumulative voting.</w:t>
      </w:r>
    </w:p>
    <w:p>
      <w:pPr>
        <w:spacing w:after="0" w:line="89"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amended and restated certificate of incorporation will provide that stockholders may remove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for cause.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Any amendment of the above provisions in our amended and restated certificate of incorporation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approval by holders of at least two-thirds of our then outstanding common stock.</w:t>
      </w:r>
    </w:p>
    <w:p>
      <w:pPr>
        <w:spacing w:after="0" w:line="75" w:lineRule="exact"/>
        <w:rPr>
          <w:rFonts w:ascii="Arial" w:cs="Arial" w:eastAsia="Arial" w:hAnsi="Arial"/>
          <w:sz w:val="18"/>
          <w:szCs w:val="18"/>
          <w:color w:val="auto"/>
        </w:rPr>
      </w:pPr>
    </w:p>
    <w:p>
      <w:pPr>
        <w:jc w:val="both"/>
        <w:ind w:left="880" w:hanging="224"/>
        <w:spacing w:after="0" w:line="301" w:lineRule="auto"/>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will have the authority, without further action by the stockholders, to issue</w:t>
      </w:r>
      <w:r>
        <w:rPr>
          <w:rFonts w:ascii="Arial" w:cs="Arial" w:eastAsia="Arial" w:hAnsi="Arial"/>
          <w:sz w:val="16"/>
          <w:szCs w:val="16"/>
          <w:i w:val="1"/>
          <w:iCs w:val="1"/>
          <w:color w:val="auto"/>
        </w:rPr>
        <w:t xml:space="preserve"> </w:t>
      </w:r>
      <w:r>
        <w:rPr>
          <w:rFonts w:ascii="Arial" w:cs="Arial" w:eastAsia="Arial" w:hAnsi="Arial"/>
          <w:sz w:val="16"/>
          <w:szCs w:val="16"/>
          <w:color w:val="auto"/>
        </w:rPr>
        <w:t>up to 100,000,000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62" w:lineRule="exact"/>
        <w:rPr>
          <w:rFonts w:ascii="Arial" w:cs="Arial" w:eastAsia="Arial" w:hAnsi="Arial"/>
          <w:sz w:val="16"/>
          <w:szCs w:val="16"/>
          <w:color w:val="auto"/>
        </w:rPr>
      </w:pPr>
    </w:p>
    <w:p>
      <w:pPr>
        <w:jc w:val="both"/>
        <w:ind w:left="880" w:hanging="224"/>
        <w:spacing w:after="0" w:line="286" w:lineRule="auto"/>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Our amended and restated bylaws will provide that, unless we consent in writing to the selection of an alternative forum,</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our amended and restated certificate of incorporation or our amended and restated bylaws, or (4) any action asserting a claim that is governed by the internal affairs doctrine; provided, however, that the Delaware Forum Provision shall not apply to any causes of action arising under the Securities Act or Exchange Act. In addition,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Any person or entity purchasing or otherwise acquiring any interest in our securities shall be deemed to have notice of and consented to this provision.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Class A common stock and Class B common stock will be Computershare Trust Company, N.A. The transfer agent’s address is 150 Royal Street, Canton, MA 02021.</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to list our Class A common stock on Nasdaq under the symbol “MQ.”</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95"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Following the completion of this offering, based on the number of shares of our capital stock outstanding as of March 31, 2021, we will have a total of 45,454,546 shares of our Class A common stock and 484,791,355 shares of our Class B common stock outstanding, assuming (i) the automatic conversion and reclassification of all outstanding shares of our redeemable convertible preferred stock into 351,844,340 shares of our Class B common stock, (ii) the net issuance of 428,675 shares of our common stock issuable pursuant to the vesting and settlement of 739,095 RSUs subject to liquidity conditions outstanding as of March 31, 2021 (based on an assumed 42% tax withholding rate), and (iii) the reclassification of our outstanding common stock as Class B common stock, all immediately prior to the completion of this offering. Of these outstanding shares, all of the 45,454,546 shares of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6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remaining outstanding shares of our Class B common stock will be deemed “restricted securities” as defined in Rule 144. Restricted securities may be sold in the public market only if they are registered or if they qualify for an exemption from registration under Rule 144 or Rule 701 under the Securities Act, which rules are summarized below. In addition, all of our executive officers, directors and holders of substantially all of our common stock and securities convertible into or exchangeable for our Class B common stock have entered into market standoff agreements with us or lock-up agreements with the underwriters under which they have agreed, subject to specific exceptions, not to sell any of our stock for at least days following the date of this prospectus. As a result of these agreements and the provisions of our investor rights’ agreement described above under the section titled “Description of Capital Stock—Registration Rights,” subject to the provisions of Rule 144 or Rule 701, these restricted securities will be available for sale in the public market as follows:</w:t>
      </w:r>
    </w:p>
    <w:p>
      <w:pPr>
        <w:spacing w:after="0" w:line="97" w:lineRule="exact"/>
        <w:rPr>
          <w:sz w:val="20"/>
          <w:szCs w:val="20"/>
          <w:color w:val="auto"/>
        </w:rPr>
      </w:pPr>
    </w:p>
    <w:p>
      <w:pPr>
        <w:ind w:left="880" w:hanging="224"/>
        <w:spacing w:after="0" w:line="277"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beginning on the date of this prospectus, the 45,454,546 shares of Class A common stock sold in this offering will be immediately available for sale in the public market;</w:t>
      </w:r>
    </w:p>
    <w:p>
      <w:pPr>
        <w:spacing w:after="0" w:line="75" w:lineRule="exact"/>
        <w:rPr>
          <w:rFonts w:ascii="Arial" w:cs="Arial" w:eastAsia="Arial" w:hAnsi="Arial"/>
          <w:sz w:val="18"/>
          <w:szCs w:val="18"/>
          <w:color w:val="auto"/>
        </w:rPr>
      </w:pPr>
    </w:p>
    <w:p>
      <w:pPr>
        <w:jc w:val="both"/>
        <w:ind w:left="880" w:hanging="224"/>
        <w:spacing w:after="0" w:line="257"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beginning at the commencement of the second trading day after the date that we publicly announce earnings for the quarter ended June 30, 2021, up to approximately 61.2 million shares of Class A common stock held by our employees, officers, directors and other stockholders will be immediately available for sale in the public market (as further described and subject to the conditions set forth under “Lock-Up Agreements and Market Standoff Provisions” below), subject in some cases to the volume and other restrictions of Rule 144, described below;</w:t>
      </w:r>
    </w:p>
    <w:p>
      <w:pPr>
        <w:spacing w:after="0" w:line="93" w:lineRule="exact"/>
        <w:rPr>
          <w:rFonts w:ascii="Arial" w:cs="Arial" w:eastAsia="Arial" w:hAnsi="Arial"/>
          <w:sz w:val="18"/>
          <w:szCs w:val="18"/>
          <w:color w:val="auto"/>
        </w:rPr>
      </w:pPr>
    </w:p>
    <w:p>
      <w:pPr>
        <w:jc w:val="both"/>
        <w:ind w:left="880" w:hanging="224"/>
        <w:spacing w:after="0" w:line="286" w:lineRule="auto"/>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subject to certain exceptions as described in the section titled “Underwriting” below, 422,796,021 additional shares of Class B common stock will become eligible for sale in the public market, of which 151,527,765 shares will be held by affiliates and subject to the volume and other restrictions of Rule 144, as described below; and</w:t>
      </w:r>
    </w:p>
    <w:p>
      <w:pPr>
        <w:spacing w:after="0" w:line="70"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remainder of the shares of Class B common stock will be eligible for sale in the public market from time to time thereafter, subject in some cases to the volume and other restrictions of Rule 144, as described below.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shares of our common stock have agreed or will agree with the underwriters of this offering that, subject to certain exceptions as described in the section titled “Underwriting,” during the period from the date of this prospectus continuing through the date that is 180 days after the date of this prospectus, we and they will not:</w:t>
      </w:r>
    </w:p>
    <w:p>
      <w:pPr>
        <w:spacing w:after="0" w:line="92" w:lineRule="exact"/>
        <w:rPr>
          <w:sz w:val="20"/>
          <w:szCs w:val="20"/>
          <w:color w:val="auto"/>
        </w:rPr>
      </w:pPr>
    </w:p>
    <w:p>
      <w:pPr>
        <w:jc w:val="both"/>
        <w:ind w:left="880" w:hanging="224"/>
        <w:spacing w:after="0" w:line="257"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(including without limitation, common stock or such other securities which may be deemed to be beneficially owned by the holder in accordance with the rules and regulations of the SEC and securities which may be issued upon exercise of a stock option or warrant);</w:t>
      </w:r>
    </w:p>
    <w:p>
      <w:pPr>
        <w:spacing w:after="0" w:line="93"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 into any hedging, swap or other agreement or transaction that transfers, in whole or in part, any of the economic consequences of ownership of such securities, whether any such transaction described in the preceding bullet point is to be settled by delivery of common stock or such other securities, in cash or otherwise;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such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foregoing,</w:t>
      </w:r>
    </w:p>
    <w:p>
      <w:pPr>
        <w:spacing w:after="0" w:line="131" w:lineRule="exact"/>
        <w:rPr>
          <w:sz w:val="20"/>
          <w:szCs w:val="20"/>
          <w:color w:val="auto"/>
        </w:rPr>
      </w:pPr>
    </w:p>
    <w:p>
      <w:pPr>
        <w:jc w:val="both"/>
        <w:ind w:left="880" w:right="20" w:hanging="224"/>
        <w:spacing w:after="0" w:line="289" w:lineRule="auto"/>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up to 15% of the shares of common stock and shares of common stock underlying securities convertible into or exercisable or exchangeable for our common stock (including stock options, restricted stock units and other equity awards) held by our officers and directors, other than our Chief Executive Officer, as of July 9, 2021, or the Measurement Date, for which all vesting conditions are satisfied as of such Measurement Date, may be sold in the public market beginning at the commencement of the second trading day after the date that we publicly announce earnings for the quarter ended June 30, 2021, or the Post-Offering Earnings Release Date, provided that (a) each of (i) the average of the closing prices per share on Nasdaq for the preceding 10-day trading day period ending on, and including, the Post-Offering Earnings Release Date and (ii) the closing price per share on the first full trading day immediately following the Post-Offering Earnings Release Date is at least 33% greater than the initial public offering price per share set forth on the cover page of this prospectus, or the Trading Price Condition, and that such officer or director is an officer or director on the Measurement Date;</w:t>
      </w:r>
    </w:p>
    <w:p>
      <w:pPr>
        <w:spacing w:after="0" w:line="71" w:lineRule="exact"/>
        <w:rPr>
          <w:rFonts w:ascii="Arial" w:cs="Arial" w:eastAsia="Arial" w:hAnsi="Arial"/>
          <w:sz w:val="16"/>
          <w:szCs w:val="16"/>
          <w:color w:val="auto"/>
        </w:rPr>
      </w:pPr>
    </w:p>
    <w:p>
      <w:pPr>
        <w:jc w:val="both"/>
        <w:ind w:left="880" w:right="20" w:hanging="224"/>
        <w:spacing w:after="0" w:line="275" w:lineRule="auto"/>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up to 33% of the shares of common stock and shares of common stock underlying securities convertible into or exercisable or exchangeable for our common stock (including stock options, restricted stock units and other equity awards) held by our employees, other than our officers, as of the Measurement Date for which all vesting conditions are satisfied as of such Measurement Date, may be sold in the public market beginning at the commencement of the second trading day after the Post-Offering Earnings Release Date, provided that the Trading Price Condition is met and that such employee is an employee on the Measurement Date; and</w:t>
      </w:r>
    </w:p>
    <w:p>
      <w:pPr>
        <w:spacing w:after="0" w:line="81" w:lineRule="exact"/>
        <w:rPr>
          <w:rFonts w:ascii="Arial" w:cs="Arial" w:eastAsia="Arial" w:hAnsi="Arial"/>
          <w:sz w:val="17"/>
          <w:szCs w:val="17"/>
          <w:color w:val="auto"/>
        </w:rPr>
      </w:pPr>
    </w:p>
    <w:p>
      <w:pPr>
        <w:jc w:val="both"/>
        <w:ind w:left="880" w:hanging="224"/>
        <w:spacing w:after="0" w:line="275" w:lineRule="auto"/>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up to 15% of the shares of common stock and shares of common stock underlying securities convertible into or exercisable or exchangeable for our common stock (including stock options, restricted stock units and other equity awards) held as of the Measurement Date by all of our other stockholders parties to such lock-up agreements may be sold in the public market beginning at the commencement of the second trading day after the Post-Offering Earnings Release Date, provided that the Trading Price Condition is met and, to the extent such securities are subject to vesting, all such vesting conditions have been met on the Measurement Date.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refer to any release of securities described in the preceding three bullet points as an “Earnings-Related Lock-Up Release.” We will report any Earnings-Related Lock-Up Release on a Current Report on Form 8-K before it is effective.</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The restricted period with respect to our officers, directors, and other holders will terminate on the earlier of (i) the opening of trading on the second trading day immediately following our release of earnings for the quarter ended September 30, 2021 and (ii) 180 days after the date of this prospectus.</w:t>
      </w:r>
    </w:p>
    <w:p>
      <w:pPr>
        <w:spacing w:after="0" w:line="12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with substantially all of our security holders, including our investor rights agreement and our standard form of option agreement, that contain market stand-off provisions. For any security holders who have not signed the lock-up agreements described above, the market stand-off provisions will impose restrictions on the ability of such security holders to offer, sell, or transfer our equity securities for a period of 180 days following the date of this prospectus.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subject to the expiration of the lock-up agreements and market standoff agreements described above.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92"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pacing w:after="0" w:line="52" w:lineRule="exact"/>
        <w:rPr>
          <w:sz w:val="20"/>
          <w:szCs w:val="20"/>
          <w:color w:val="auto"/>
        </w:rPr>
      </w:pPr>
    </w:p>
    <w:p>
      <w:pPr>
        <w:ind w:left="880" w:hanging="224"/>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454,545 shares immediately after this offering; or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subject to the expiration of the lock-up agreements and market standoff agreements described above.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Pursuant to the investor rights agreement, the holders of up to 362,319,118 shares of our Class B common stock (including shares issuable upon the conversion of our outstanding redeemable convertible preferred stock immediately prior to the completion of this offering and shares issued upon the exercise of a warrant held by Comerica Ventures Incorporated,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Statement on Form S-8</w:t>
      </w:r>
    </w:p>
    <w:p>
      <w:pPr>
        <w:spacing w:after="0" w:line="22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We intend to file a registration statement on Form S-8 under the Securities Act to register all of the shares of our Class A common stock and Class B common stock issued or reserved for issuance under our 2011 Plan, our 2021 Plan, and our ESPP. We expect to file this registration statement as promptly as possible after the completion of this offering. Shares covered by this registration statement will be eligible for sale in the public market, subject to the Rule 144 limitations applicable to affiliates, vesting restrictions and any applicable lock-up agreements and market standoff agreements. As of March 31, 2021, RSUs and options to purchase a total of 30,836,118 shares of our Class B common stock pursuant to our 2011 Plan were outstanding and no options or other equity awards were outstanding or exercisable under our 2021 Plan. In addition, we intend to file one or more registration statements covering shares of our common stock issued pursuant to our equity incentive plans permitting the resale of such shares by non-affiliates in the public market without restriction under the Securities Act and the sale by affiliates in the public market subject to compliance with the resale provisions of Rule 144.</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is a discussion of the material U.S. federal income tax consequences relating to ownership and disposition of our Class A common stock by a non-U.S. holder. For purposes of this discussion, the term “non-U.S. holder” means a beneficial owner of our Class A common stock that is not, for U.S. federal income tax purposes:</w:t>
      </w:r>
    </w:p>
    <w:p>
      <w:pPr>
        <w:spacing w:after="0" w:line="89" w:lineRule="exact"/>
        <w:rPr>
          <w:sz w:val="20"/>
          <w:szCs w:val="20"/>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w:t>
      </w:r>
    </w:p>
    <w:p>
      <w:pPr>
        <w:spacing w:after="0" w:line="1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We have not sought and will not seek any rulings from the IRS regarding the matters discussed below. Any change could alter the tax consequences to non-U.S. holders described in this prospectus. In addition, the Internal Revenue Service, or the IRS, could challenge one or more of the tax consequences described in this prospectus.</w:t>
      </w:r>
    </w:p>
    <w:p>
      <w:pPr>
        <w:spacing w:after="0" w:line="18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assume in this discussion that each non-U.S. holder holds shares of our Class A common stock as a capital asset (generally, property held for investment) within the meaning of Section 1221 of the Code. This discussion does not address all aspects of U.S. federal income taxation that may be relevant to a particular non-U.S. holder in light of that non-U.S. holder’s individual circumstances nor does it address any aspects of U.S. state or local or non-U.S. taxes, the alternative minimum tax, the Medicare contribution tax on net investment income, the rules regarding qualified small business stock within the meaning of Section 1202 of the Code or U.S. federal taxes other than income (e.g., estate). This discussion also does not consider any specific facts or circumstances that may apply to a non-U.S. holder and does not address the special tax rules applicable to particular non-U.S. holders, such as:</w:t>
      </w:r>
    </w:p>
    <w:p>
      <w:pPr>
        <w:spacing w:after="0" w:line="100" w:lineRule="exact"/>
        <w:rPr>
          <w:sz w:val="20"/>
          <w:szCs w:val="20"/>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owners that hold our Class A common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persons that elect to apply Section 1400Z-2 of the Code to gains recognized with respect to shares of our Class A common stock;</w:t>
      </w:r>
    </w:p>
    <w:p>
      <w:pPr>
        <w:spacing w:after="0" w:line="142" w:lineRule="exact"/>
        <w:rPr>
          <w:rFonts w:ascii="Arial" w:cs="Arial" w:eastAsia="Arial" w:hAnsi="Arial"/>
          <w:sz w:val="17"/>
          <w:szCs w:val="17"/>
          <w:color w:val="auto"/>
        </w:rPr>
      </w:pPr>
    </w:p>
    <w:p>
      <w:pPr>
        <w:jc w:val="both"/>
        <w:ind w:left="880" w:right="20" w:hanging="224"/>
        <w:spacing w:after="0" w:line="286" w:lineRule="auto"/>
        <w:tabs>
          <w:tab w:leader="none" w:pos="8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persons who hold or receive our Class A common stock pursuant to the exercise of any option or acquire our Class A common stock as compensation for services; persons subject to special tax accounting rules as a result of any item of gross income with respect to our Class A common stock being taken into account in an “applicable financial statement” as defined in Section 451(b) of the Code; or</w:t>
      </w:r>
    </w:p>
    <w:p>
      <w:pPr>
        <w:spacing w:after="0" w:line="70" w:lineRule="exact"/>
        <w:rPr>
          <w:rFonts w:ascii="Arial" w:cs="Arial" w:eastAsia="Arial" w:hAnsi="Arial"/>
          <w:sz w:val="17"/>
          <w:szCs w:val="17"/>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holders of our Class B common stock.</w:t>
      </w:r>
    </w:p>
    <w:p>
      <w:pPr>
        <w:spacing w:after="0" w:line="225"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Class A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ownership and disposition of our Class A common stock through a partnership or other transparent entity, as applicable.</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Prospective investors should consult their own tax advisors regarding the U.S. federal, state or local and non-U.S. income and other tax considerations of acquiring, holding and disposing of our Class A common stock.</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We do not currently expect to pay any dividends. See the section titled “Dividend Policy.” However, in the event that we do pay distributions of cash or property on our Class A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our Class A common stock. Any remaining excess will be treated as capital gain, subject to the tax treatment described below under the heading “Gain on Sale, Exchange or Other Taxable Disposition of Class A Common Stock.”</w:t>
      </w:r>
    </w:p>
    <w:p>
      <w:pPr>
        <w:spacing w:after="0" w:line="178"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another withholding agent apply over-withholding or if a non-U.S. holder does not timely provide us with the required certification, the non-U.S. holder may be entitled to a refund or credit of any excess tax withheld by timely filing an appropriate claim with the IRS.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 non-U.S. holder of our Class A common stock who claims the benefit of an applicable income tax treaty between the United States and such holder’s country of residence with respect to U.S. withholding taxes generally will be required to provide a properly executed IRS Form W-8BEN or W-8BEN-E (or applicable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6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provide a properly executed original and unexpired IRS Form W-8ECI properly certifying such exemption. However, such U.S. effectively connected income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Gain on Sale, Exchange or Other Taxable Disposition of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“Foreign Account Tax Compliance Act,” a non-U.S. holder generally will not be subject to U.S. federal income tax or withholding tax on gain recognized on a sale, exchange or other taxable disposition of our Class A common stock unless:</w:t>
      </w:r>
    </w:p>
    <w:p>
      <w:pPr>
        <w:spacing w:after="0" w:line="89" w:lineRule="exact"/>
        <w:rPr>
          <w:sz w:val="20"/>
          <w:szCs w:val="20"/>
          <w:color w:val="auto"/>
        </w:rPr>
      </w:pPr>
    </w:p>
    <w:p>
      <w:pPr>
        <w:jc w:val="both"/>
        <w:ind w:left="880" w:right="20" w:hanging="224"/>
        <w:spacing w:after="0" w:line="275" w:lineRule="auto"/>
        <w:tabs>
          <w:tab w:leader="none" w:pos="8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United States persons, and, if the non-U.S. holder is a foreign corporation, an additional branch profits tax at a rate of 30%, or a lower rate as may be specified by an applicable income tax treaty, may also apply;</w:t>
      </w:r>
    </w:p>
    <w:p>
      <w:pPr>
        <w:spacing w:after="0" w:line="81" w:lineRule="exact"/>
        <w:rPr>
          <w:rFonts w:ascii="Arial" w:cs="Arial" w:eastAsia="Arial" w:hAnsi="Arial"/>
          <w:sz w:val="17"/>
          <w:szCs w:val="17"/>
          <w:color w:val="auto"/>
        </w:rPr>
      </w:pPr>
    </w:p>
    <w:p>
      <w:pPr>
        <w:jc w:val="both"/>
        <w:ind w:left="880" w:right="20" w:hanging="224"/>
        <w:spacing w:after="0" w:line="301" w:lineRule="auto"/>
        <w:tabs>
          <w:tab w:leader="none" w:pos="8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non-U.S. holder is an individual present in the United States for 183 days or more in the taxable year of the disposition and certain other conditions are met, in which case the non-U.S. holder will be subject to U.S. federal income tax at a rate of 30%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62" w:lineRule="exact"/>
        <w:rPr>
          <w:rFonts w:ascii="Arial" w:cs="Arial" w:eastAsia="Arial" w:hAnsi="Arial"/>
          <w:sz w:val="16"/>
          <w:szCs w:val="16"/>
          <w:color w:val="auto"/>
        </w:rPr>
      </w:pPr>
    </w:p>
    <w:p>
      <w:pPr>
        <w:jc w:val="both"/>
        <w:ind w:left="880" w:hanging="224"/>
        <w:spacing w:after="0" w:line="255"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are or were a “United States real property holding corporation” during a certain look-back period, unless our Class A common stock is regularly traded on an established securities market and the non-U.S. holder held no more than five percent of our outstanding Class A common stock, directly or indirectly, actually or constructively, during the shorter of the five-year period ending on the date of the disposition or the period that the non-U.S. holder held our Class A common stock. In such case, such non-U.S. holder generally will be taxed on its net gain derived from the disposition at the graduated U.S. federal income tax rates applicable to United States persons (as defined in the Code). Generally, 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right="20"/>
        <w:spacing w:after="0" w:line="279" w:lineRule="auto"/>
        <w:rPr>
          <w:sz w:val="20"/>
          <w:szCs w:val="20"/>
          <w:color w:val="auto"/>
        </w:rPr>
      </w:pPr>
      <w:r>
        <w:rPr>
          <w:rFonts w:ascii="Arial" w:cs="Arial" w:eastAsia="Arial" w:hAnsi="Arial"/>
          <w:sz w:val="17"/>
          <w:szCs w:val="17"/>
          <w:color w:val="auto"/>
        </w:rPr>
        <w:t>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“United States real property holding corporation” for U.S. federal income tax purposes.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(or the applicable paying agent) must report annually to the IRS and to each non-U.S. holder the gross amount of the distributions on our Class A common stock paid to such holder and the tax withheld, if any, with respect to such distributions. Non-U.S. holders may have to comply with specific certification procedures to establish that the holder is not a United States person (as defined in the Code) to avoid backup withholding at the applicable rate with respect to dividends on our Class A common stock. Generally, a holder will comply with such procedures if it provides a properly executed IRS Form W-8BEN or W-8BEN-E or otherwise establishes an exemption. However, information returns are required to be filed with the IRS in connection with any dividends on our common stock paid to the Non-U.S. Holder, regardless of whether any tax was actually withheld.</w:t>
      </w:r>
    </w:p>
    <w:p>
      <w:pPr>
        <w:spacing w:after="0" w:line="16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Class A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Provisions of the Code commonly referred to as the Foreign Account Tax Compliance Act and associated guidance, or collectively, FATCA, generally impose a 30% withholding tax on any “withholdable payment” (as defined below) to a “foreign financial institution” (as defined in the Code),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a foreign entity that is not a financial institution, unless such entity provides the withholding agent with a certification identifying the substantial U.S. owners of the entity (which generally includes any United States person who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applicable U.S. Treasury regulations, “withholdable payments” currently include payments of dividends on our Class A common stock. Currently proposed U.S. Treasury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currently rely on the proposed Treasury Regulations. Under certain circumstances, a non-U.S. holder might be eligible for refunds or credits of such taxes.</w:t>
      </w:r>
    </w:p>
    <w:p>
      <w:pPr>
        <w:spacing w:after="0" w:line="191"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The preceding discussion of material U.S. federal income tax considerations is for general information only. It is not tax advice. Prospective investors should consult their own tax advisors regarding the particular U.S. federal, state and local and non-U.S. tax consequences of purchasing, holding and disposing of our Class A common stock, including the consequences of any proposed changes in applicable laws.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and the underwriters named below will enter into an underwriting agreement with respect to the shares of Class A common stock being offered.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certain conditions, each underwriter will severally agree to purchase the number of shares indicated in the following table. Goldman Sachs &amp;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LLC and J.P. Morgan Securities LLC are the representatives of the underwriters.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9060" w:type="dxa"/>
            <w:vAlign w:val="bottom"/>
            <w:vMerge w:val="restart"/>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9060" w:type="dxa"/>
            <w:vAlign w:val="bottom"/>
            <w:vMerge w:val="continue"/>
          </w:tcPr>
          <w:p>
            <w:pPr>
              <w:spacing w:after="0"/>
              <w:rPr>
                <w:sz w:val="15"/>
                <w:szCs w:val="15"/>
                <w:color w:val="auto"/>
              </w:rPr>
            </w:pPr>
          </w:p>
        </w:tc>
        <w:tc>
          <w:tcPr>
            <w:tcW w:w="11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3"/>
        </w:trPr>
        <w:tc>
          <w:tcPr>
            <w:tcW w:w="9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KeyBanc Capital Markets Inc.</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Nomura Securities International, Inc.</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Seelaus &amp; Co., LLC</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45,454,546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underwriters will have an option to buy up to an additional 6,818,181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5"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us. Such amounts are shown assuming both no exercise and full exercise of the underwriters’ option to purchase 6,818,181 additional shares of our Class A common stock.</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20" w:type="dxa"/>
            <w:vAlign w:val="bottom"/>
          </w:tcPr>
          <w:p>
            <w:pPr>
              <w:spacing w:after="0"/>
              <w:rPr>
                <w:sz w:val="20"/>
                <w:szCs w:val="20"/>
                <w:color w:val="auto"/>
              </w:rPr>
            </w:pPr>
            <w:r>
              <w:rPr>
                <w:rFonts w:ascii="Arial" w:cs="Arial" w:eastAsia="Arial" w:hAnsi="Arial"/>
                <w:sz w:val="14"/>
                <w:szCs w:val="14"/>
                <w:b w:val="1"/>
                <w:bCs w:val="1"/>
                <w:color w:val="auto"/>
                <w:w w:val="92"/>
              </w:rPr>
              <w:t>Full Exercise</w:t>
            </w:r>
          </w:p>
        </w:tc>
      </w:tr>
      <w:tr>
        <w:trPr>
          <w:trHeight w:val="210"/>
        </w:trPr>
        <w:tc>
          <w:tcPr>
            <w:tcW w:w="9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The underwriters may offer and sell shares of our Class A common stock through certain of their affiliates or other registered broker-dealers or selling agents.</w:t>
      </w:r>
    </w:p>
    <w:p>
      <w:pPr>
        <w:spacing w:after="0" w:line="17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shares of our common stock have agreed or will agree with the underwriters of this offering that, except with the prior written consent of the representatives, during the period from the date of this prospectus continuing through the date that is 180 days after the date of this prospectus (the “restricted period”), we and they will not: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hanging="224"/>
        <w:spacing w:after="0" w:line="257"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(including without limitation, common stock or such other securities which may be deemed to be beneficially owned by the holder in accordance with the rules and regulations of the SEC and securities which may be issued upon exercise of a stock option or warrant);</w:t>
      </w:r>
    </w:p>
    <w:p>
      <w:pPr>
        <w:spacing w:after="0" w:line="93"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enter into any hedging, swap or other agreement or transaction that transfers, in whole or in part, any of the economic consequences of ownership of such securities, whether any such transaction described in the preceding bullet point is to be settled by delivery of common stock or such other securities, in cash or otherwise;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such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This agreement does not apply to any existing employee benefit plans. See the section titled “Shares Eligible for Future Sale” for a discussion of certain transfer restrictions.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foregoing,</w:t>
      </w:r>
    </w:p>
    <w:p>
      <w:pPr>
        <w:spacing w:after="0" w:line="131" w:lineRule="exact"/>
        <w:rPr>
          <w:sz w:val="20"/>
          <w:szCs w:val="20"/>
          <w:color w:val="auto"/>
        </w:rPr>
      </w:pPr>
    </w:p>
    <w:p>
      <w:pPr>
        <w:jc w:val="both"/>
        <w:ind w:left="660" w:hanging="220"/>
        <w:spacing w:after="0" w:line="270"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 to 15% of the shares of common stock and shares of common stock underlying securities convertible into or exercisable or exchangeable for our common stock (including stock options, restricted stock units and other equity awards) held by our officers and directors, other than our Chief Executive Officer, as of July 9, 2021, or the Measurement Date, for which all vesting conditions are satisfied as of such Measurement Date, may be sold in the public market beginning at the commencement of the second trading day after the date that we publicly announce earnings for the quarter ended June 30, 2021, or the Post-Offering Earnings Release Date, provided that (a) each of (i) the average of the closing prices per share on Nasdaq for the preceding 10-day trading day period ending on, and including, the Post-Offering Earnings Release Date and (ii) the closing price per share on the first full trading day immediately following the Post-Offering Earnings Release Date is at least 33% greater than the initial public offering price per share set forth on the cover page of this prospectus, or the Trading Price Condition, and that such officer or director is an officer or director on the Measurement Date;</w:t>
      </w:r>
    </w:p>
    <w:p>
      <w:pPr>
        <w:spacing w:after="0" w:line="86" w:lineRule="exact"/>
        <w:rPr>
          <w:rFonts w:ascii="Arial" w:cs="Arial" w:eastAsia="Arial" w:hAnsi="Arial"/>
          <w:sz w:val="17"/>
          <w:szCs w:val="17"/>
          <w:color w:val="auto"/>
        </w:rPr>
      </w:pPr>
    </w:p>
    <w:p>
      <w:pPr>
        <w:jc w:val="both"/>
        <w:ind w:left="660" w:right="20" w:hanging="220"/>
        <w:spacing w:after="0" w:line="275"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 to 33% of the shares of common stock and shares of common stock underlying securities convertible into or exercisable or exchangeable for our common stock (including stock options, restricted stock units and other equity awards) held by our employees, other than our officers, as of the Measurement Date for which all vesting conditions are satisfied as of such Measurement Date, may be sold in the public market beginning at the commencement of the second trading day after the Post-Offering Earnings Release Date, provided that the Trading Price Condition is met and that such employee is an employee on the Measurement Date; and</w:t>
      </w:r>
    </w:p>
    <w:p>
      <w:pPr>
        <w:spacing w:after="0" w:line="81" w:lineRule="exact"/>
        <w:rPr>
          <w:rFonts w:ascii="Arial" w:cs="Arial" w:eastAsia="Arial" w:hAnsi="Arial"/>
          <w:sz w:val="17"/>
          <w:szCs w:val="17"/>
          <w:color w:val="auto"/>
        </w:rPr>
      </w:pPr>
    </w:p>
    <w:p>
      <w:pPr>
        <w:jc w:val="both"/>
        <w:ind w:left="660" w:right="20" w:hanging="220"/>
        <w:spacing w:after="0" w:line="275"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 to 15% of the shares of common stock and shares of common stock underlying securities convertible into or exercisable or exchangeable for our common stock (including stock options, restricted stock units and other equity awards) held as of the Measurement Date by all of our other stockholders parties to such lock-up agreements may be sold in the public market beginning at the commencement of the second trading day after the Post-Offering Earnings Release Date, provided that the Trading Price Condition is met and, to the extent such securities are subject to vesting, all such vesting conditions have been met on the Measurement Date.</w:t>
      </w:r>
    </w:p>
    <w:p>
      <w:pPr>
        <w:spacing w:after="0" w:line="176"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refer to any release of securities described in the preceding three bullet points as an “Earnings-Related Lock-Up Release.” We will report any Earnings-Related Lock-Up Release on a Current Report on Form 8-K before it is effective. See the section titled “Shares Eligible for Future Sale” for information about the number of shares of our Class A common stock that may be eligible for sale as a result of any Early Lock-Up Release.</w:t>
      </w:r>
    </w:p>
    <w:p>
      <w:pPr>
        <w:spacing w:after="0" w:line="165"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The restricted period with respect to our officers, directors, and other holders will terminate on the earlier of (i) the opening of trading on the second trading day immediately following our release of earnings for the quarter ended September 30, 2021 and (ii) 180 days after the date of this prospectus.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on our officers, directors, and other holders set forth above are subject to certain exceptions, including with respect to:</w:t>
      </w:r>
    </w:p>
    <w:p>
      <w:pPr>
        <w:spacing w:after="0" w:line="131" w:lineRule="exact"/>
        <w:rPr>
          <w:sz w:val="20"/>
          <w:szCs w:val="20"/>
          <w:color w:val="auto"/>
        </w:rPr>
      </w:pPr>
    </w:p>
    <w:p>
      <w:pPr>
        <w:ind w:left="660" w:hanging="220"/>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transfers as a bona fide gift or gifts or charitable contribution, or for bona fide estate planning purposes;</w:t>
      </w:r>
    </w:p>
    <w:p>
      <w:pPr>
        <w:spacing w:after="0" w:line="130" w:lineRule="exact"/>
        <w:rPr>
          <w:rFonts w:ascii="Arial" w:cs="Arial" w:eastAsia="Arial" w:hAnsi="Arial"/>
          <w:sz w:val="18"/>
          <w:szCs w:val="18"/>
          <w:color w:val="auto"/>
        </w:rPr>
      </w:pPr>
    </w:p>
    <w:p>
      <w:pPr>
        <w:ind w:left="660" w:hanging="220"/>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transfers upon death or by will, intestate succession, other testamentary document, or pursuant to a so-called “living trust” or other revocable trust established to provide for the disposition of property upon death;</w:t>
      </w:r>
    </w:p>
    <w:p>
      <w:pPr>
        <w:spacing w:after="0" w:line="75" w:lineRule="exact"/>
        <w:rPr>
          <w:rFonts w:ascii="Arial" w:cs="Arial" w:eastAsia="Arial" w:hAnsi="Arial"/>
          <w:sz w:val="18"/>
          <w:szCs w:val="18"/>
          <w:color w:val="auto"/>
        </w:rPr>
      </w:pPr>
    </w:p>
    <w:p>
      <w:pPr>
        <w:ind w:left="660" w:hanging="220"/>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transfers to any immediate family member, to any trust for the direct or indirect benefit of the holder or the immediate family thereof, or to a trustor, trustee or beneficiary of the trust or to the estate of a beneficiary of such trust;</w:t>
      </w:r>
    </w:p>
    <w:p>
      <w:pPr>
        <w:spacing w:after="0" w:line="75" w:lineRule="exact"/>
        <w:rPr>
          <w:rFonts w:ascii="Arial" w:cs="Arial" w:eastAsia="Arial" w:hAnsi="Arial"/>
          <w:sz w:val="18"/>
          <w:szCs w:val="18"/>
          <w:color w:val="auto"/>
        </w:rPr>
      </w:pPr>
    </w:p>
    <w:p>
      <w:pPr>
        <w:ind w:left="660" w:right="20" w:hanging="220"/>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75" w:lineRule="exact"/>
        <w:rPr>
          <w:rFonts w:ascii="Arial" w:cs="Arial" w:eastAsia="Arial" w:hAnsi="Arial"/>
          <w:sz w:val="18"/>
          <w:szCs w:val="18"/>
          <w:color w:val="auto"/>
        </w:rPr>
      </w:pPr>
    </w:p>
    <w:p>
      <w:pPr>
        <w:ind w:left="660" w:right="20" w:hanging="220"/>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transfers to a nominee or custodian of a person or entity to whom a disposition or transfer would be permissible under the preceding bullet points;</w:t>
      </w:r>
    </w:p>
    <w:p>
      <w:pPr>
        <w:spacing w:after="0" w:line="75" w:lineRule="exact"/>
        <w:rPr>
          <w:rFonts w:ascii="Arial" w:cs="Arial" w:eastAsia="Arial" w:hAnsi="Arial"/>
          <w:sz w:val="18"/>
          <w:szCs w:val="18"/>
          <w:color w:val="auto"/>
        </w:rPr>
      </w:pPr>
    </w:p>
    <w:p>
      <w:pPr>
        <w:jc w:val="both"/>
        <w:ind w:left="660" w:right="20" w:hanging="220"/>
        <w:spacing w:after="0" w:line="286"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transfers to another corporation, partnership, limited liability company, trust or other business entity that is an affiliate, to any investment fund or other entity controlling, controlled by, managing or managed by or under common control with the holder or an affiliate, or as part of a distribution, transfer, or disposition to partners, members, stockholders or other equity holders or to the estate thereof;</w:t>
      </w:r>
    </w:p>
    <w:p>
      <w:pPr>
        <w:spacing w:after="0" w:line="70" w:lineRule="exact"/>
        <w:rPr>
          <w:rFonts w:ascii="Arial" w:cs="Arial" w:eastAsia="Arial" w:hAnsi="Arial"/>
          <w:sz w:val="17"/>
          <w:szCs w:val="17"/>
          <w:color w:val="auto"/>
        </w:rPr>
      </w:pPr>
    </w:p>
    <w:p>
      <w:pPr>
        <w:ind w:left="660" w:right="20" w:hanging="220"/>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transfers by operation of law, such as pursuant to a qualified domestic order, divorce settlement, divorce decree, separation agreement, or other order of a court or regulatory agency;</w:t>
      </w:r>
    </w:p>
    <w:p>
      <w:pPr>
        <w:spacing w:after="0" w:line="75" w:lineRule="exact"/>
        <w:rPr>
          <w:rFonts w:ascii="Arial" w:cs="Arial" w:eastAsia="Arial" w:hAnsi="Arial"/>
          <w:sz w:val="18"/>
          <w:szCs w:val="18"/>
          <w:color w:val="auto"/>
        </w:rPr>
      </w:pPr>
    </w:p>
    <w:p>
      <w:pPr>
        <w:jc w:val="both"/>
        <w:ind w:left="660" w:hanging="220"/>
        <w:spacing w:after="0" w:line="259"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transfers to us in connection with the repurchase of shares of common stock issued pursuant to equity awards granted under a stock incentive plan or other equity award plan described in this prospectus, or pursuant to the agreements pursuant to which such shares were issued, from an employee or service provider of the company upon death, disability or termination of employment, in each case, of such employee or service provider;</w:t>
      </w:r>
    </w:p>
    <w:p>
      <w:pPr>
        <w:spacing w:after="0" w:line="92" w:lineRule="exact"/>
        <w:rPr>
          <w:rFonts w:ascii="Arial" w:cs="Arial" w:eastAsia="Arial" w:hAnsi="Arial"/>
          <w:sz w:val="18"/>
          <w:szCs w:val="18"/>
          <w:color w:val="auto"/>
        </w:rPr>
      </w:pPr>
    </w:p>
    <w:p>
      <w:pPr>
        <w:ind w:left="660" w:hanging="220"/>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transfers of securities acquired in this offering or in open market transactions after the closing date of this offering;</w:t>
      </w:r>
    </w:p>
    <w:p>
      <w:pPr>
        <w:spacing w:after="0" w:line="130" w:lineRule="exact"/>
        <w:rPr>
          <w:rFonts w:ascii="Arial" w:cs="Arial" w:eastAsia="Arial" w:hAnsi="Arial"/>
          <w:sz w:val="18"/>
          <w:szCs w:val="18"/>
          <w:color w:val="auto"/>
        </w:rPr>
      </w:pPr>
    </w:p>
    <w:p>
      <w:pPr>
        <w:jc w:val="both"/>
        <w:ind w:left="660" w:hanging="220"/>
        <w:spacing w:after="0" w:line="272"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transfers to us in connection with the vesting, settlement, or exercise of restricted stock units, shares of restricted stock, options, warrants, or other rights to purchase shares of common stock (including, in each case, by way of “net” or “cashless” exercise), including for the payment of exercise price and tax (including estimated tax) and remittance payments due as a result of the vesting, settlement, or exercise of such restricted stock units, shares of restricted stock, options, warrants or rights, provided that any such shares of common stock received upon such exercise, vesting or settlement shall be subject to the restrictions set forth above, and provided further that any such restricted stock units, shares of restricted stock, options, warrants or rights are held pursuant to an agreement or equity awards granted under a stock incentive plan or other equity award plan described in this prospectus or filed as an exhibit to the registration statement;</w:t>
      </w:r>
    </w:p>
    <w:p>
      <w:pPr>
        <w:spacing w:after="0" w:line="82" w:lineRule="exact"/>
        <w:rPr>
          <w:rFonts w:ascii="Arial" w:cs="Arial" w:eastAsia="Arial" w:hAnsi="Arial"/>
          <w:sz w:val="17"/>
          <w:szCs w:val="17"/>
          <w:color w:val="auto"/>
        </w:rPr>
      </w:pPr>
    </w:p>
    <w:p>
      <w:pPr>
        <w:jc w:val="both"/>
        <w:ind w:left="660" w:hanging="220"/>
        <w:spacing w:after="0" w:line="25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that is approved by our board of directors (or a duly authorized committee thereof) and made to all holders of our capital stock involving a change of control of the company provided that in the event that such tender offer, merger, consolidation or other similar transaction is not completed, such securities remain subject to the restrictions set forth above; and provided further that so long as the undersigned’s shares are not transferred, sold or tendered, such shares shall remain subject to the restrictions set forth above;</w:t>
      </w:r>
    </w:p>
    <w:p>
      <w:pPr>
        <w:spacing w:after="0" w:line="93" w:lineRule="exact"/>
        <w:rPr>
          <w:rFonts w:ascii="Arial" w:cs="Arial" w:eastAsia="Arial" w:hAnsi="Arial"/>
          <w:sz w:val="18"/>
          <w:szCs w:val="18"/>
          <w:color w:val="auto"/>
        </w:rPr>
      </w:pPr>
    </w:p>
    <w:p>
      <w:pPr>
        <w:jc w:val="both"/>
        <w:ind w:left="660" w:right="20" w:hanging="220"/>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transfers as a result of the exercise outstanding options, settlement of restricted stock units or other equity awards or the of exercise warrants pursuant to plans described in this prospectus; provided that any securities received upon such exercise, vesting or settlement shall be subject to the restrictions set forth above;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20" w:hanging="220"/>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transfers as a result of conversions of outstanding preferred stock, warrants to acquire preferred stock or convertible securities into shares of common stock (including the conversion of shares of Class B common stock into shares of Class A common stock) or warrants to acquire shares of common stock; provided that any such shares of common stock or warrants received upon such conversion remain subject to the restrictions set forth above;</w:t>
      </w:r>
    </w:p>
    <w:p>
      <w:pPr>
        <w:spacing w:after="0" w:line="92" w:lineRule="exact"/>
        <w:rPr>
          <w:rFonts w:ascii="Arial" w:cs="Arial" w:eastAsia="Arial" w:hAnsi="Arial"/>
          <w:sz w:val="18"/>
          <w:szCs w:val="18"/>
          <w:color w:val="auto"/>
        </w:rPr>
      </w:pPr>
    </w:p>
    <w:p>
      <w:pPr>
        <w:jc w:val="both"/>
        <w:ind w:left="660" w:right="20" w:hanging="220"/>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establishment of written trading plans pursuant to Rule 10b5-1 under the Exchange Act; provided that (1) such plans do not provide for the transfer of securities during the restricted period (other than transfers in connection with an Earnings Related Lock-Up Release as described above) and (2) no public announcement or filing under the Exchange Act or other public announcement shall be required or made voluntarily by any person regarding the establishment of such plan during the restricted period; and</w:t>
      </w:r>
    </w:p>
    <w:p>
      <w:pPr>
        <w:spacing w:after="0" w:line="92" w:lineRule="exact"/>
        <w:rPr>
          <w:rFonts w:ascii="Arial" w:cs="Arial" w:eastAsia="Arial" w:hAnsi="Arial"/>
          <w:sz w:val="18"/>
          <w:szCs w:val="18"/>
          <w:color w:val="auto"/>
        </w:rPr>
      </w:pPr>
    </w:p>
    <w:p>
      <w:pPr>
        <w:ind w:left="660" w:hanging="220"/>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sales pursuant to the terms of the underwriting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on us set forth above are subject to certain exceptions, including with respect to:</w:t>
      </w:r>
    </w:p>
    <w:p>
      <w:pPr>
        <w:spacing w:after="0" w:line="131" w:lineRule="exact"/>
        <w:rPr>
          <w:sz w:val="20"/>
          <w:szCs w:val="20"/>
          <w:color w:val="auto"/>
        </w:rPr>
      </w:pPr>
    </w:p>
    <w:p>
      <w:pPr>
        <w:ind w:left="660" w:hanging="220"/>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sale of the shares of Class A common stock to the underwriters pursuant to the underwriting agreement;</w:t>
      </w:r>
    </w:p>
    <w:p>
      <w:pPr>
        <w:spacing w:after="0" w:line="130" w:lineRule="exact"/>
        <w:rPr>
          <w:rFonts w:ascii="Arial" w:cs="Arial" w:eastAsia="Arial" w:hAnsi="Arial"/>
          <w:sz w:val="18"/>
          <w:szCs w:val="18"/>
          <w:color w:val="auto"/>
        </w:rPr>
      </w:pPr>
    </w:p>
    <w:p>
      <w:pPr>
        <w:ind w:left="660" w:right="20" w:hanging="220"/>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conversion, exercise or exchange of convertible, exercisable or exchangeable securities outstanding as of the date of this prospectus and described herein;</w:t>
      </w:r>
    </w:p>
    <w:p>
      <w:pPr>
        <w:spacing w:after="0" w:line="75" w:lineRule="exact"/>
        <w:rPr>
          <w:rFonts w:ascii="Arial" w:cs="Arial" w:eastAsia="Arial" w:hAnsi="Arial"/>
          <w:sz w:val="18"/>
          <w:szCs w:val="18"/>
          <w:color w:val="auto"/>
        </w:rPr>
      </w:pPr>
    </w:p>
    <w:p>
      <w:pPr>
        <w:jc w:val="both"/>
        <w:ind w:left="660" w:right="20" w:hanging="220"/>
        <w:spacing w:after="0" w:line="263"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stock options, stock awards, restricted stock, restricted stock units or other equity awards, and the issuance of shares of common stock with respect thereto or upon the exercise, vesting or settlement thereof (including any “early”, “net” or “cashless” exercises or settlements), pursuant to the terms of equity plans described in this prospectus;</w:t>
      </w:r>
    </w:p>
    <w:p>
      <w:pPr>
        <w:spacing w:after="0" w:line="89" w:lineRule="exact"/>
        <w:rPr>
          <w:rFonts w:ascii="Arial" w:cs="Arial" w:eastAsia="Arial" w:hAnsi="Arial"/>
          <w:sz w:val="18"/>
          <w:szCs w:val="18"/>
          <w:color w:val="auto"/>
        </w:rPr>
      </w:pPr>
    </w:p>
    <w:p>
      <w:pPr>
        <w:jc w:val="both"/>
        <w:ind w:left="660" w:hanging="220"/>
        <w:spacing w:after="0" w:line="272"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sale or issuance of, or entry into an agreement providing for the sale or issuance of, common stock or securities convertible into, exercisable for or which are otherwise exchangeable for or represent the right to receive common stock, in connection with (x) the acquisition by us or any of our subsidiaries of the securities, business, technology, property or other assets of another person or entity or pursuant to an employee benefit plan assumed by us or a subsidiary in connection with such acquisition or (y) our joint ventures, commercial relationships and other strategic transactions, provided that the aggregate number of shares of common stock (or as converted common stock in the case of securities convertible into common stock) that we may sell or issue or agree to sell or issue pursuant to this exception may not exceed 10% of the total number of shares of common stock outstanding immediately following this offering;</w:t>
      </w:r>
    </w:p>
    <w:p>
      <w:pPr>
        <w:spacing w:after="0" w:line="82" w:lineRule="exact"/>
        <w:rPr>
          <w:rFonts w:ascii="Arial" w:cs="Arial" w:eastAsia="Arial" w:hAnsi="Arial"/>
          <w:sz w:val="17"/>
          <w:szCs w:val="17"/>
          <w:color w:val="auto"/>
        </w:rPr>
      </w:pPr>
    </w:p>
    <w:p>
      <w:pPr>
        <w:jc w:val="both"/>
        <w:ind w:left="660" w:right="20" w:hanging="220"/>
        <w:spacing w:after="0" w:line="263"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(including any resale registration statement on Form S-8) relating to securities granted or to be granted pursuant to our equity plans disclosed in this prospectus or any assumed employee benefit plan contemplated in the preceding bullet point;</w:t>
      </w:r>
    </w:p>
    <w:p>
      <w:pPr>
        <w:spacing w:after="0" w:line="89" w:lineRule="exact"/>
        <w:rPr>
          <w:rFonts w:ascii="Arial" w:cs="Arial" w:eastAsia="Arial" w:hAnsi="Arial"/>
          <w:sz w:val="18"/>
          <w:szCs w:val="18"/>
          <w:color w:val="auto"/>
        </w:rPr>
      </w:pPr>
    </w:p>
    <w:p>
      <w:pPr>
        <w:ind w:left="660" w:hanging="220"/>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transfer of up to 360,000 shares of common stock through the Marqeta Cares program as described in this prospectus; and</w:t>
      </w:r>
    </w:p>
    <w:p>
      <w:pPr>
        <w:spacing w:after="0" w:line="130" w:lineRule="exact"/>
        <w:rPr>
          <w:rFonts w:ascii="Arial" w:cs="Arial" w:eastAsia="Arial" w:hAnsi="Arial"/>
          <w:sz w:val="18"/>
          <w:szCs w:val="18"/>
          <w:color w:val="auto"/>
        </w:rPr>
      </w:pPr>
    </w:p>
    <w:p>
      <w:pPr>
        <w:jc w:val="both"/>
        <w:ind w:left="660" w:hanging="220"/>
        <w:spacing w:after="0" w:line="263"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sale or issuance of warrants (and any common stock upon the exercise thereof) to our customers in the ordinary course of business in an aggregate amount not to exceed 0.5% of the total number of shares of common stock outstanding (on an as-converted basis) immediately following this offering.</w:t>
      </w:r>
    </w:p>
    <w:p>
      <w:pPr>
        <w:spacing w:after="0" w:line="1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representatives may release the securities subject to the restrictions described above in whole or in part at any time. The representatives have agreed that in the event that they grant an early release or discretionary waiver of the above restrictions with respect to our common stock or securities convertible into or exercisable or exchangeable for shares of our common stock to a stockholder party to our amended and restated investor rights agreement, then they will provide a pro rata release or waiver of such restrictions to each other stockholder party to the amended and restated investor rights agreement.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Prior to the offering, there has been no public market for our Class A common stock.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to list our Class A common stock on Nasdaq under the symbol “MQ.”</w:t>
      </w:r>
    </w:p>
    <w:p>
      <w:pPr>
        <w:spacing w:after="0" w:line="225"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8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$6.6 million. We will agree to reimburse the underwriters for expenses related to any applicable state securities filings and to the Financial Industry Regulatory Authority incurred by them in connection with this offering in an amount up to $30,000.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underwriters will agree to reimburse us for certain expenses incurred by us in connection with this offering upon closing of this offering.</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agree to indemnify the several underwriters against certain liabilities, including liabilities under the Securities Act.</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Regulation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Regulation:</w:t>
      </w:r>
    </w:p>
    <w:p>
      <w:pPr>
        <w:spacing w:after="0" w:line="54"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Regulation,</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underwriter of a prospectus pursuant to Article 3 of the Prospectus Regulation.</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Member State by any measure implementing the Prospectus Regulation in that Member State; and the expression “Prospectus Regulation” means Regulation (EU) 2017/1129, and includes any relevant implementing measure in the Relevant Member State.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1"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22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Goodwin Procter LLP, Redwood City, California, which has acted as our counsel in connection with this offering, will pass upon the validity of the shares of our Class A common stock being offered by this prospectus. The underwriters have been represented by Wilson Sonsini Goodrich &amp; Rosati, P.C., Palo Alto, California.</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at December 31, 2019 and 2020, and for each of the two years in the period ended December 31, 2020, as set forth in their report. We have included our financial statements in the prospectus and elsewhere in the registration statement in reliance on Ernst &amp; Young LLP’s report, given on their authority as experts in accounting and auditing.</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We have submitted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www.marqeta.com.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6"/>
            <w:vMerge w:val="restart"/>
          </w:tcPr>
          <w:p>
            <w:pPr>
              <w:spacing w:after="0"/>
              <w:rPr>
                <w:rFonts w:ascii="Arial" w:cs="Arial" w:eastAsia="Arial" w:hAnsi="Arial"/>
                <w:sz w:val="18"/>
                <w:szCs w:val="18"/>
                <w:color w:val="0000EE"/>
                <w:w w:val="91"/>
              </w:rPr>
            </w:pPr>
            <w:hyperlink w:anchor="page191">
              <w:r>
                <w:rPr>
                  <w:rFonts w:ascii="Arial" w:cs="Arial" w:eastAsia="Arial" w:hAnsi="Arial"/>
                  <w:sz w:val="18"/>
                  <w:szCs w:val="18"/>
                  <w:color w:val="0000EE"/>
                  <w:w w:val="91"/>
                </w:rPr>
                <w:t>Report of Independent Registered Public Accounting Firm</w:t>
              </w:r>
            </w:hyperlink>
          </w:p>
        </w:tc>
        <w:tc>
          <w:tcPr>
            <w:tcW w:w="6180" w:type="dxa"/>
            <w:vAlign w:val="bottom"/>
            <w:gridSpan w:val="2"/>
            <w:vMerge w:val="restart"/>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6"/>
            <w:vMerge w:val="continue"/>
          </w:tcPr>
          <w:p>
            <w:pPr>
              <w:spacing w:after="0"/>
              <w:rPr>
                <w:sz w:val="13"/>
                <w:szCs w:val="13"/>
                <w:color w:val="auto"/>
              </w:rPr>
            </w:pPr>
          </w:p>
        </w:tc>
        <w:tc>
          <w:tcPr>
            <w:tcW w:w="6180" w:type="dxa"/>
            <w:vAlign w:val="bottom"/>
            <w:gridSpan w:val="2"/>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0" w:type="dxa"/>
            <w:vAlign w:val="bottom"/>
            <w:gridSpan w:val="8"/>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Consolidated Balance Sheets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Statements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94">
              <w:r>
                <w:rPr>
                  <w:rFonts w:ascii="Arial" w:cs="Arial" w:eastAsia="Arial" w:hAnsi="Arial"/>
                  <w:sz w:val="18"/>
                  <w:szCs w:val="18"/>
                  <w:color w:val="0000EE"/>
                  <w:w w:val="89"/>
                </w:rPr>
                <w:t>Consolidated Statements of Comprehensive Loss</w:t>
              </w:r>
            </w:hyperlink>
          </w:p>
        </w:tc>
        <w:tc>
          <w:tcPr>
            <w:tcW w:w="68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95">
              <w:r>
                <w:rPr>
                  <w:rFonts w:ascii="Arial" w:cs="Arial" w:eastAsia="Arial" w:hAnsi="Arial"/>
                  <w:sz w:val="18"/>
                  <w:szCs w:val="18"/>
                  <w:color w:val="0000EE"/>
                  <w:w w:val="90"/>
                </w:rPr>
                <w:t>Consolidated Statements of Redeemable Convertible Preferred Stock and Stockholders’ Deficit</w:t>
              </w:r>
            </w:hyperlink>
          </w:p>
        </w:tc>
        <w:tc>
          <w:tcPr>
            <w:tcW w:w="35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Consolidated Statements of Cash Flows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Notes to Consolidated Financial Statements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80" w:type="dxa"/>
            <w:vAlign w:val="bottom"/>
            <w:gridSpan w:val="2"/>
          </w:tcPr>
          <w:p>
            <w:pPr>
              <w:ind w:left="116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Marqeta,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Marqeta, Inc. (the Company) as of December 31, 2019 and 2020, the related consolidated statements of operations, comprehensive loss, redeemable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7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2"/>
                <w:szCs w:val="12"/>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60,344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220,433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247,630</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7,800</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7,800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7,800</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Marketable securities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95,225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149,903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140,145</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3,974</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8,420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3,363</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Settlements receivable,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9,906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12,867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11,358</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Network incentives receivable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10,622</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20,022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32,077</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9,334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11,461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11,290</w:t>
            </w:r>
          </w:p>
        </w:tc>
      </w:tr>
      <w:tr>
        <w:trPr>
          <w:trHeight w:val="209"/>
        </w:trPr>
        <w:tc>
          <w:tcPr>
            <w:tcW w:w="7700" w:type="dxa"/>
            <w:vAlign w:val="bottom"/>
          </w:tcPr>
          <w:p>
            <w:pPr>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197,205</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430,906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453,663</w:t>
            </w:r>
          </w:p>
        </w:tc>
        <w:tc>
          <w:tcPr>
            <w:tcW w:w="120" w:type="dxa"/>
            <w:vAlign w:val="bottom"/>
          </w:tcPr>
          <w:p>
            <w:pPr>
              <w:spacing w:after="0"/>
              <w:rPr>
                <w:sz w:val="18"/>
                <w:szCs w:val="1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10,520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9,152</w:t>
            </w: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Operating lease right-of-use assets,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15,248</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13,411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12,889</w:t>
            </w: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6,099</w:t>
            </w:r>
          </w:p>
        </w:tc>
      </w:tr>
      <w:tr>
        <w:trPr>
          <w:trHeight w:val="209"/>
        </w:trPr>
        <w:tc>
          <w:tcPr>
            <w:tcW w:w="770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223,191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457,680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481,803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7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2,362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2,532</w:t>
            </w:r>
          </w:p>
        </w:tc>
      </w:tr>
      <w:tr>
        <w:trPr>
          <w:trHeight w:val="203"/>
        </w:trPr>
        <w:tc>
          <w:tcPr>
            <w:tcW w:w="7700" w:type="dxa"/>
            <w:vAlign w:val="bottom"/>
          </w:tcPr>
          <w:p>
            <w:pPr>
              <w:ind w:left="340"/>
              <w:spacing w:after="0"/>
              <w:rPr>
                <w:sz w:val="20"/>
                <w:szCs w:val="20"/>
                <w:color w:val="auto"/>
              </w:rPr>
            </w:pPr>
            <w:r>
              <w:rPr>
                <w:rFonts w:ascii="Arial" w:cs="Arial" w:eastAsia="Arial" w:hAnsi="Arial"/>
                <w:sz w:val="17"/>
                <w:szCs w:val="17"/>
                <w:color w:val="auto"/>
              </w:rPr>
              <w:t>Revenue share payable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29,749</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78,191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92,313</w:t>
            </w:r>
          </w:p>
        </w:tc>
      </w:tr>
      <w:tr>
        <w:trPr>
          <w:trHeight w:val="203"/>
        </w:trPr>
        <w:tc>
          <w:tcPr>
            <w:tcW w:w="7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31,673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60,545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69,448</w:t>
            </w:r>
          </w:p>
        </w:tc>
      </w:tr>
      <w:tr>
        <w:trPr>
          <w:trHeight w:val="209"/>
        </w:trPr>
        <w:tc>
          <w:tcPr>
            <w:tcW w:w="770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64,311</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141,098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164,293</w:t>
            </w:r>
          </w:p>
        </w:tc>
        <w:tc>
          <w:tcPr>
            <w:tcW w:w="120" w:type="dxa"/>
            <w:vAlign w:val="bottom"/>
          </w:tcPr>
          <w:p>
            <w:pPr>
              <w:spacing w:after="0"/>
              <w:rPr>
                <w:sz w:val="18"/>
                <w:szCs w:val="1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 warrant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4,827</w:t>
            </w: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Operating lease liabilities, net of current portion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17,669</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15,449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14,727</w:t>
            </w: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3,300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9,650</w:t>
            </w:r>
          </w:p>
        </w:tc>
      </w:t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85,849</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169,516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193,497</w:t>
            </w:r>
          </w:p>
        </w:tc>
        <w:tc>
          <w:tcPr>
            <w:tcW w:w="120" w:type="dxa"/>
            <w:vAlign w:val="bottom"/>
          </w:tcPr>
          <w:p>
            <w:pPr>
              <w:spacing w:after="0"/>
              <w:rPr>
                <w:sz w:val="18"/>
                <w:szCs w:val="18"/>
                <w:color w:val="auto"/>
              </w:rPr>
            </w:pPr>
          </w:p>
        </w:tc>
      </w:tr>
      <w:tr>
        <w:trPr>
          <w:trHeight w:val="115"/>
        </w:trPr>
        <w:tc>
          <w:tcPr>
            <w:tcW w:w="7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Commitments and contingencies (Note 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93"/>
        </w:trPr>
        <w:tc>
          <w:tcPr>
            <w:tcW w:w="7700" w:type="dxa"/>
            <w:vAlign w:val="bottom"/>
          </w:tcPr>
          <w:p>
            <w:pPr>
              <w:spacing w:after="0"/>
              <w:rPr>
                <w:sz w:val="20"/>
                <w:szCs w:val="20"/>
                <w:color w:val="auto"/>
              </w:rPr>
            </w:pPr>
            <w:r>
              <w:rPr>
                <w:rFonts w:ascii="Arial" w:cs="Arial" w:eastAsia="Arial" w:hAnsi="Arial"/>
                <w:sz w:val="17"/>
                <w:szCs w:val="17"/>
                <w:color w:val="auto"/>
                <w:w w:val="91"/>
              </w:rPr>
              <w:t>Redeemable convertible preferred stock, $0.0001 par value; 337,047,188, 352,047,950 and 352,047,950 shares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7700" w:type="dxa"/>
            <w:vAlign w:val="bottom"/>
          </w:tcPr>
          <w:p>
            <w:pPr>
              <w:ind w:left="160"/>
              <w:spacing w:after="0"/>
              <w:rPr>
                <w:sz w:val="20"/>
                <w:szCs w:val="20"/>
                <w:color w:val="auto"/>
              </w:rPr>
            </w:pPr>
            <w:r>
              <w:rPr>
                <w:rFonts w:ascii="Arial" w:cs="Arial" w:eastAsia="Arial" w:hAnsi="Arial"/>
                <w:sz w:val="17"/>
                <w:szCs w:val="17"/>
                <w:color w:val="auto"/>
                <w:w w:val="91"/>
              </w:rPr>
              <w:t>authorized; 336,843,578, 351,844,340 and 351,844,340 shares issued and outstanding; aggregate liquidation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tcPr>
          <w:p>
            <w:pPr>
              <w:ind w:left="160"/>
              <w:spacing w:after="0"/>
              <w:rPr>
                <w:sz w:val="20"/>
                <w:szCs w:val="20"/>
                <w:color w:val="auto"/>
              </w:rPr>
            </w:pPr>
            <w:r>
              <w:rPr>
                <w:rFonts w:ascii="Arial" w:cs="Arial" w:eastAsia="Arial" w:hAnsi="Arial"/>
                <w:sz w:val="17"/>
                <w:szCs w:val="17"/>
                <w:color w:val="auto"/>
                <w:w w:val="93"/>
              </w:rPr>
              <w:t>preference of $378,707, $552,868 and $552,868 as of December 31, 2019, December 31, 2020 and March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00" w:type="dxa"/>
            <w:vAlign w:val="bottom"/>
          </w:tcPr>
          <w:p>
            <w:pPr>
              <w:ind w:left="160"/>
              <w:spacing w:after="0"/>
              <w:rPr>
                <w:sz w:val="20"/>
                <w:szCs w:val="20"/>
                <w:color w:val="auto"/>
              </w:rPr>
            </w:pPr>
            <w:r>
              <w:rPr>
                <w:rFonts w:ascii="Arial" w:cs="Arial" w:eastAsia="Arial" w:hAnsi="Arial"/>
                <w:sz w:val="17"/>
                <w:szCs w:val="17"/>
                <w:color w:val="auto"/>
              </w:rPr>
              <w:t>31, 2021 (unaudited), respectively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w w:val="97"/>
              </w:rPr>
              <w:t>335,748</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501,881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501,881</w:t>
            </w:r>
          </w:p>
        </w:tc>
      </w:tr>
      <w:tr>
        <w:trPr>
          <w:trHeight w:val="205"/>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5"/>
        </w:trPr>
        <w:tc>
          <w:tcPr>
            <w:tcW w:w="7700" w:type="dxa"/>
            <w:vAlign w:val="bottom"/>
          </w:tcPr>
          <w:p>
            <w:pPr>
              <w:spacing w:after="0" w:line="185" w:lineRule="exact"/>
              <w:rPr>
                <w:sz w:val="20"/>
                <w:szCs w:val="20"/>
                <w:color w:val="auto"/>
              </w:rPr>
            </w:pPr>
            <w:r>
              <w:rPr>
                <w:rFonts w:ascii="Arial" w:cs="Arial" w:eastAsia="Arial" w:hAnsi="Arial"/>
                <w:sz w:val="17"/>
                <w:szCs w:val="17"/>
                <w:color w:val="auto"/>
              </w:rPr>
              <w:t>Common stock, $0.0001 par value; 503,000,000, 545,000,000, and 545,000,000 shares authorized,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700" w:type="dxa"/>
            <w:vAlign w:val="bottom"/>
          </w:tcPr>
          <w:p>
            <w:pPr>
              <w:ind w:left="160"/>
              <w:spacing w:after="0"/>
              <w:rPr>
                <w:sz w:val="20"/>
                <w:szCs w:val="20"/>
                <w:color w:val="auto"/>
              </w:rPr>
            </w:pPr>
            <w:r>
              <w:rPr>
                <w:rFonts w:ascii="Arial" w:cs="Arial" w:eastAsia="Arial" w:hAnsi="Arial"/>
                <w:sz w:val="17"/>
                <w:szCs w:val="17"/>
                <w:color w:val="auto"/>
                <w:w w:val="98"/>
              </w:rPr>
              <w:t>118,430,031, 130,312,838 and 132,518,340 shares issued and outstanding as of December 31, 2019,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00" w:type="dxa"/>
            <w:vAlign w:val="bottom"/>
          </w:tcPr>
          <w:p>
            <w:pPr>
              <w:ind w:left="160"/>
              <w:spacing w:after="0"/>
              <w:rPr>
                <w:sz w:val="20"/>
                <w:szCs w:val="20"/>
                <w:color w:val="auto"/>
              </w:rPr>
            </w:pPr>
            <w:r>
              <w:rPr>
                <w:rFonts w:ascii="Arial" w:cs="Arial" w:eastAsia="Arial" w:hAnsi="Arial"/>
                <w:sz w:val="17"/>
                <w:szCs w:val="17"/>
                <w:color w:val="auto"/>
              </w:rPr>
              <w:t>December 31, 2020, and March 31, 2021 (unaudited), respectively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r>
      <w:tr>
        <w:trPr>
          <w:trHeight w:val="205"/>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7,365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39,769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52,794</w:t>
            </w:r>
          </w:p>
        </w:tc>
      </w:tr>
      <w:tr>
        <w:trPr>
          <w:trHeight w:val="203"/>
        </w:trPr>
        <w:tc>
          <w:tcPr>
            <w:tcW w:w="7700" w:type="dxa"/>
            <w:vAlign w:val="bottom"/>
          </w:tcPr>
          <w:p>
            <w:pPr>
              <w:spacing w:after="0"/>
              <w:rPr>
                <w:sz w:val="20"/>
                <w:szCs w:val="20"/>
                <w:color w:val="auto"/>
              </w:rPr>
            </w:pPr>
            <w:r>
              <w:rPr>
                <w:rFonts w:ascii="Arial" w:cs="Arial" w:eastAsia="Arial" w:hAnsi="Arial"/>
                <w:sz w:val="17"/>
                <w:szCs w:val="17"/>
                <w:color w:val="auto"/>
              </w:rPr>
              <w:t>Accumulated other comprehensive income (loss)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r>
      <w:tr>
        <w:trPr>
          <w:trHeight w:val="202"/>
        </w:trPr>
        <w:tc>
          <w:tcPr>
            <w:tcW w:w="77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0"/>
              </w:rPr>
              <w:t>(205,829)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0"/>
              </w:rPr>
              <w:t>(253,524)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(266,362)</w:t>
            </w:r>
          </w:p>
        </w:tc>
      </w:tr>
      <w:tr>
        <w:trPr>
          <w:trHeight w:val="217"/>
        </w:trPr>
        <w:tc>
          <w:tcPr>
            <w:tcW w:w="770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(198,406)</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(213,717)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(213,575)</w:t>
            </w:r>
          </w:p>
        </w:tc>
        <w:tc>
          <w:tcPr>
            <w:tcW w:w="120" w:type="dxa"/>
            <w:vAlign w:val="bottom"/>
          </w:tcPr>
          <w:p>
            <w:pPr>
              <w:spacing w:after="0"/>
              <w:rPr>
                <w:sz w:val="18"/>
                <w:szCs w:val="18"/>
                <w:color w:val="auto"/>
              </w:rPr>
            </w:pPr>
          </w:p>
        </w:tc>
      </w:tr>
      <w:tr>
        <w:trPr>
          <w:trHeight w:val="203"/>
        </w:trPr>
        <w:tc>
          <w:tcPr>
            <w:tcW w:w="7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redeemable convertible preferred stock and stockholders’ deficit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223,191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457,680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481,803</w:t>
            </w:r>
          </w:p>
        </w:tc>
      </w:tr>
      <w:tr>
        <w:trPr>
          <w:trHeight w:val="20"/>
        </w:trPr>
        <w:tc>
          <w:tcPr>
            <w:tcW w:w="7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6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290,292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48,388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107,983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Costs of revenue</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82,814</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172,385</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29,826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58,126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60,453</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117,907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18,562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49,857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86,506</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126,861</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24,982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44,839</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8,960</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10,129</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7,796</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13,239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3,777</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3,080</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2,080</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7,117</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49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119,316</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164,994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33,575</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(58,863)</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(47,087)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(58,165)</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(47,608)</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(12,819)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Deemed dividend to redeemable convertible preferred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(64,149)</w:t>
            </w:r>
          </w:p>
        </w:tc>
        <w:tc>
          <w:tcPr>
            <w:tcW w:w="8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(122,349)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(0.39)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shares used in computing net loss per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attributable to common stockholders, basic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113,851,714</w:t>
            </w: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122,932,556</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118,477,836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130,841,306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9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7260" w:type="dxa"/>
            <w:vAlign w:val="bottom"/>
          </w:tcPr>
          <w:p>
            <w:pPr>
              <w:spacing w:after="0"/>
              <w:rPr>
                <w:sz w:val="14"/>
                <w:szCs w:val="14"/>
                <w:color w:val="auto"/>
              </w:rPr>
            </w:pPr>
          </w:p>
        </w:tc>
        <w:tc>
          <w:tcPr>
            <w:tcW w:w="19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7260" w:type="dxa"/>
            <w:vAlign w:val="bottom"/>
          </w:tcPr>
          <w:p>
            <w:pPr>
              <w:spacing w:after="0"/>
              <w:rPr>
                <w:sz w:val="12"/>
                <w:szCs w:val="12"/>
                <w:color w:val="auto"/>
              </w:rPr>
            </w:pPr>
          </w:p>
        </w:tc>
        <w:tc>
          <w:tcPr>
            <w:tcW w:w="6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$(58,200)</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$(47,695)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$(14,530)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(12,838)</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 in unrealized gain (loss) on marketable securities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43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r>
      <w:tr>
        <w:trPr>
          <w:trHeight w:val="27"/>
        </w:trPr>
        <w:tc>
          <w:tcPr>
            <w:tcW w:w="7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(58,153)</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(47,716)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(14,509)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(12,883)</w:t>
            </w:r>
          </w:p>
        </w:tc>
      </w:tr>
      <w:tr>
        <w:trPr>
          <w:trHeight w:val="20"/>
        </w:trPr>
        <w:tc>
          <w:tcPr>
            <w:tcW w:w="7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3040" w:type="dxa"/>
            <w:vAlign w:val="bottom"/>
          </w:tcPr>
          <w:p>
            <w:pPr>
              <w:spacing w:after="0"/>
              <w:rPr>
                <w:sz w:val="2"/>
                <w:szCs w:val="2"/>
                <w:color w:val="auto"/>
              </w:rPr>
            </w:pPr>
          </w:p>
        </w:tc>
        <w:tc>
          <w:tcPr>
            <w:tcW w:w="16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2"/>
              </w:rPr>
              <w:t>Redeemable</w:t>
            </w:r>
          </w:p>
        </w:tc>
        <w:tc>
          <w:tcPr>
            <w:tcW w:w="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3040" w:type="dxa"/>
            <w:vAlign w:val="bottom"/>
          </w:tcPr>
          <w:p>
            <w:pPr>
              <w:spacing w:after="0"/>
              <w:rPr>
                <w:sz w:val="11"/>
                <w:szCs w:val="11"/>
                <w:color w:val="auto"/>
              </w:rPr>
            </w:pPr>
          </w:p>
        </w:tc>
        <w:tc>
          <w:tcPr>
            <w:tcW w:w="166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January 1, 2019</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287,216,434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$ 114,842</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121,411,803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w w:val="76"/>
              </w:rPr>
              <w:t>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2,870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(87,788)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(84,907)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rPr>
              <w:t>Issuance of Series E redeemable convertible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at $3.89 per share, net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issuance costs of $7,010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38,552,483</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142,990</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Exchange of common stock for Series 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redeemable convertible preferred stock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11,074,661</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13,767</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(11,074,661)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(13,767)</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(13,767)</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9"/>
              </w:rPr>
              <w:t>Deemed dividend upon the exchange of Series 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w w:val="98"/>
              </w:rPr>
              <w:t>and Series C redeemable convertible preferred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rPr>
              <w:t>stock for Series E redeemable convertible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64,149</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(4,308)</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(59,841)</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(64,149)</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7,767,038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515</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early exercise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unvested options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762,440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early exercised stock options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(436,589)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298</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21,757</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21,757</w:t>
            </w: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Change in other comprehensive income (loss)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(58,200)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(58,200)</w:t>
            </w:r>
          </w:p>
        </w:tc>
        <w:tc>
          <w:tcPr>
            <w:tcW w:w="0" w:type="dxa"/>
            <w:vAlign w:val="bottom"/>
          </w:tcPr>
          <w:p>
            <w:pPr>
              <w:spacing w:after="0"/>
              <w:rPr>
                <w:sz w:val="1"/>
                <w:szCs w:val="1"/>
                <w:color w:val="auto"/>
              </w:rPr>
            </w:pPr>
          </w:p>
        </w:tc>
      </w:tr>
      <w:tr>
        <w:trPr>
          <w:trHeight w:val="163"/>
        </w:trPr>
        <w:tc>
          <w:tcPr>
            <w:tcW w:w="30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336,843,578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335,748</w:t>
            </w: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118,430,031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w w:val="76"/>
              </w:rPr>
              <w:t>12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7,365</w:t>
            </w:r>
          </w:p>
        </w:tc>
        <w:tc>
          <w:tcPr>
            <w:tcW w:w="3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(205,829)</w:t>
            </w: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(198,406)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E-1 redeemable convertible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 at $8.34 per share, net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costs of $8,058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20,989,756</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166,942</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Conversion of Series A and Series C redeemable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convertible preferred stock to common stock</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(5,988,994)</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(809)</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5,988,994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808</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5,236,999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2,472</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early exercise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unvested options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847,184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early exercised stock options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(190,370)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742</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common stock warrants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171</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28,211</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28,211</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other comprehensive income (loss)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(47,695)</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(47,695)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2020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351,844,340</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501,881</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130,312,838</w:t>
            </w: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13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39,769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25</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(253,524)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(213,717)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9"/>
              </w:rPr>
              <w:t>Redeemable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Preferred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w w:val="98"/>
              </w:rPr>
              <w:t>Comprehensive</w:t>
            </w: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2019</w:t>
            </w: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336,843,578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2"/>
              </w:rPr>
              <w:t>$335,748</w:t>
            </w:r>
          </w:p>
        </w:tc>
        <w:tc>
          <w:tcPr>
            <w:tcW w:w="240" w:type="dxa"/>
            <w:vAlign w:val="bottom"/>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118,430,031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7,365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(205,829)</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(198,406)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w w:val="97"/>
              </w:rPr>
              <w:t>Issuance of common stock upon exercise of vested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options (unaudited)</w:t>
            </w:r>
          </w:p>
        </w:tc>
        <w:tc>
          <w:tcPr>
            <w:tcW w:w="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gridSpan w:val="6"/>
          </w:tcPr>
          <w:p>
            <w:pPr>
              <w:jc w:val="right"/>
              <w:ind w:right="140"/>
              <w:spacing w:after="0"/>
              <w:rPr>
                <w:sz w:val="20"/>
                <w:szCs w:val="20"/>
                <w:color w:val="auto"/>
              </w:rPr>
            </w:pPr>
            <w:r>
              <w:rPr>
                <w:rFonts w:ascii="Arial" w:cs="Arial" w:eastAsia="Arial" w:hAnsi="Arial"/>
                <w:sz w:val="14"/>
                <w:szCs w:val="14"/>
                <w:color w:val="auto"/>
              </w:rPr>
              <w:t>2,233,220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173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early exercise of</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unvested options (unaudited)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313,587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Repurchase of early exercised stock options</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gridSpan w:val="6"/>
          </w:tcPr>
          <w:p>
            <w:pPr>
              <w:jc w:val="right"/>
              <w:ind w:right="80"/>
              <w:spacing w:after="0"/>
              <w:rPr>
                <w:sz w:val="20"/>
                <w:szCs w:val="20"/>
                <w:color w:val="auto"/>
              </w:rPr>
            </w:pPr>
            <w:r>
              <w:rPr>
                <w:rFonts w:ascii="Arial" w:cs="Arial" w:eastAsia="Arial" w:hAnsi="Arial"/>
                <w:sz w:val="14"/>
                <w:szCs w:val="14"/>
                <w:color w:val="auto"/>
              </w:rPr>
              <w:t>(142,726)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Vesting of early exercised stock options (unaudited)</w:t>
            </w: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 (unaudited)</w:t>
            </w:r>
          </w:p>
        </w:tc>
        <w:tc>
          <w:tcPr>
            <w:tcW w:w="6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3,745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3,745</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other comprehensive income (loss)</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6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(14,530)</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(14,530)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120" w:type="dxa"/>
            <w:vAlign w:val="bottom"/>
            <w:vMerge w:val="restart"/>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Balance as of March 31, 2020 (unaudited)</w:t>
            </w:r>
          </w:p>
        </w:tc>
        <w:tc>
          <w:tcPr>
            <w:tcW w:w="980" w:type="dxa"/>
            <w:vAlign w:val="bottom"/>
            <w:gridSpan w:val="4"/>
            <w:vMerge w:val="restart"/>
            <w:shd w:val="clear" w:color="auto" w:fill="CCEEFF"/>
          </w:tcPr>
          <w:p>
            <w:pPr>
              <w:jc w:val="right"/>
              <w:ind w:right="140"/>
              <w:spacing w:after="0" w:line="135" w:lineRule="exact"/>
              <w:rPr>
                <w:sz w:val="20"/>
                <w:szCs w:val="20"/>
                <w:color w:val="auto"/>
              </w:rPr>
            </w:pPr>
            <w:r>
              <w:rPr>
                <w:rFonts w:ascii="Arial" w:cs="Arial" w:eastAsia="Arial" w:hAnsi="Arial"/>
                <w:sz w:val="14"/>
                <w:szCs w:val="14"/>
                <w:b w:val="1"/>
                <w:bCs w:val="1"/>
                <w:color w:val="auto"/>
              </w:rPr>
              <w:t>336,843,578</w:t>
            </w:r>
          </w:p>
        </w:tc>
        <w:tc>
          <w:tcPr>
            <w:tcW w:w="660" w:type="dxa"/>
            <w:vAlign w:val="bottom"/>
            <w:tcBorders>
              <w:right w:val="single" w:sz="8" w:color="CCEEFF"/>
            </w:tcBorders>
            <w:gridSpan w:val="3"/>
            <w:vMerge w:val="restart"/>
            <w:shd w:val="clear" w:color="auto" w:fill="CCEEFF"/>
          </w:tcPr>
          <w:p>
            <w:pPr>
              <w:jc w:val="right"/>
              <w:ind w:right="40"/>
              <w:spacing w:after="0" w:line="13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335,748</w:t>
            </w:r>
          </w:p>
        </w:tc>
        <w:tc>
          <w:tcPr>
            <w:tcW w:w="240" w:type="dxa"/>
            <w:vAlign w:val="bottom"/>
            <w:vMerge w:val="continue"/>
          </w:tcPr>
          <w:p>
            <w:pPr>
              <w:spacing w:after="0"/>
              <w:rPr>
                <w:sz w:val="2"/>
                <w:szCs w:val="2"/>
                <w:color w:val="auto"/>
              </w:rPr>
            </w:pPr>
          </w:p>
        </w:tc>
        <w:tc>
          <w:tcPr>
            <w:tcW w:w="1060" w:type="dxa"/>
            <w:vAlign w:val="bottom"/>
            <w:gridSpan w:val="5"/>
            <w:vMerge w:val="restart"/>
            <w:shd w:val="clear" w:color="auto" w:fill="CCEEFF"/>
          </w:tcPr>
          <w:p>
            <w:pPr>
              <w:jc w:val="right"/>
              <w:ind w:right="140"/>
              <w:spacing w:after="0" w:line="135" w:lineRule="exact"/>
              <w:rPr>
                <w:sz w:val="20"/>
                <w:szCs w:val="20"/>
                <w:color w:val="auto"/>
              </w:rPr>
            </w:pPr>
            <w:r>
              <w:rPr>
                <w:rFonts w:ascii="Arial" w:cs="Arial" w:eastAsia="Arial" w:hAnsi="Arial"/>
                <w:sz w:val="14"/>
                <w:szCs w:val="14"/>
                <w:b w:val="1"/>
                <w:bCs w:val="1"/>
                <w:color w:val="auto"/>
              </w:rPr>
              <w:t>120,834,112</w:t>
            </w:r>
          </w:p>
        </w:tc>
        <w:tc>
          <w:tcPr>
            <w:tcW w:w="400" w:type="dxa"/>
            <w:vAlign w:val="bottom"/>
            <w:gridSpan w:val="3"/>
            <w:vMerge w:val="restart"/>
            <w:shd w:val="clear" w:color="auto" w:fill="CCEEFF"/>
          </w:tcPr>
          <w:p>
            <w:pPr>
              <w:jc w:val="right"/>
              <w:ind w:right="138"/>
              <w:spacing w:after="0" w:line="135" w:lineRule="exact"/>
              <w:rPr>
                <w:sz w:val="20"/>
                <w:szCs w:val="20"/>
                <w:color w:val="auto"/>
              </w:rPr>
            </w:pPr>
            <w:r>
              <w:rPr>
                <w:rFonts w:ascii="Arial" w:cs="Arial" w:eastAsia="Arial" w:hAnsi="Arial"/>
                <w:sz w:val="14"/>
                <w:szCs w:val="14"/>
                <w:b w:val="1"/>
                <w:bCs w:val="1"/>
                <w:color w:val="auto"/>
              </w:rPr>
              <w:t>$</w:t>
            </w:r>
          </w:p>
        </w:tc>
        <w:tc>
          <w:tcPr>
            <w:tcW w:w="320" w:type="dxa"/>
            <w:vAlign w:val="bottom"/>
            <w:gridSpan w:val="3"/>
            <w:vMerge w:val="restart"/>
            <w:shd w:val="clear" w:color="auto" w:fill="CCEEFF"/>
          </w:tcPr>
          <w:p>
            <w:pPr>
              <w:jc w:val="right"/>
              <w:ind w:right="80"/>
              <w:spacing w:after="0" w:line="135" w:lineRule="exact"/>
              <w:rPr>
                <w:sz w:val="20"/>
                <w:szCs w:val="20"/>
                <w:color w:val="auto"/>
              </w:rPr>
            </w:pPr>
            <w:r>
              <w:rPr>
                <w:rFonts w:ascii="Arial" w:cs="Arial" w:eastAsia="Arial" w:hAnsi="Arial"/>
                <w:sz w:val="14"/>
                <w:szCs w:val="14"/>
                <w:b w:val="1"/>
                <w:bCs w:val="1"/>
                <w:color w:val="auto"/>
              </w:rPr>
              <w:t>12</w:t>
            </w:r>
          </w:p>
        </w:tc>
        <w:tc>
          <w:tcPr>
            <w:tcW w:w="220" w:type="dxa"/>
            <w:vAlign w:val="bottom"/>
            <w:gridSpan w:val="3"/>
            <w:vMerge w:val="restart"/>
            <w:shd w:val="clear" w:color="auto" w:fill="CCEEFF"/>
          </w:tcPr>
          <w:p>
            <w:pPr>
              <w:ind w:left="140"/>
              <w:spacing w:after="0" w:line="135"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3"/>
            <w:vMerge w:val="restart"/>
            <w:shd w:val="clear" w:color="auto" w:fill="CCEEFF"/>
          </w:tcPr>
          <w:p>
            <w:pPr>
              <w:jc w:val="right"/>
              <w:ind w:right="160"/>
              <w:spacing w:after="0" w:line="135" w:lineRule="exact"/>
              <w:rPr>
                <w:sz w:val="20"/>
                <w:szCs w:val="20"/>
                <w:color w:val="auto"/>
              </w:rPr>
            </w:pPr>
            <w:r>
              <w:rPr>
                <w:rFonts w:ascii="Arial" w:cs="Arial" w:eastAsia="Arial" w:hAnsi="Arial"/>
                <w:sz w:val="14"/>
                <w:szCs w:val="14"/>
                <w:b w:val="1"/>
                <w:bCs w:val="1"/>
                <w:color w:val="auto"/>
              </w:rPr>
              <w:t>11,402</w:t>
            </w:r>
          </w:p>
        </w:tc>
        <w:tc>
          <w:tcPr>
            <w:tcW w:w="140" w:type="dxa"/>
            <w:vAlign w:val="bottom"/>
            <w:gridSpan w:val="2"/>
            <w:vMerge w:val="restart"/>
            <w:shd w:val="clear" w:color="auto" w:fill="CCEEFF"/>
          </w:tcPr>
          <w:p>
            <w:pPr>
              <w:ind w:left="60"/>
              <w:spacing w:after="0" w:line="135" w:lineRule="exact"/>
              <w:rPr>
                <w:sz w:val="20"/>
                <w:szCs w:val="20"/>
                <w:color w:val="auto"/>
              </w:rPr>
            </w:pPr>
            <w:r>
              <w:rPr>
                <w:rFonts w:ascii="Arial" w:cs="Arial" w:eastAsia="Arial" w:hAnsi="Arial"/>
                <w:sz w:val="14"/>
                <w:szCs w:val="14"/>
                <w:b w:val="1"/>
                <w:bCs w:val="1"/>
                <w:color w:val="auto"/>
                <w:w w:val="76"/>
              </w:rPr>
              <w:t>$</w:t>
            </w:r>
          </w:p>
        </w:tc>
        <w:tc>
          <w:tcPr>
            <w:tcW w:w="980" w:type="dxa"/>
            <w:vAlign w:val="bottom"/>
            <w:gridSpan w:val="3"/>
            <w:vMerge w:val="restart"/>
            <w:shd w:val="clear" w:color="auto" w:fill="CCEEFF"/>
          </w:tcPr>
          <w:p>
            <w:pPr>
              <w:jc w:val="right"/>
              <w:ind w:right="100"/>
              <w:spacing w:after="0" w:line="135" w:lineRule="exact"/>
              <w:rPr>
                <w:sz w:val="20"/>
                <w:szCs w:val="20"/>
                <w:color w:val="auto"/>
              </w:rPr>
            </w:pPr>
            <w:r>
              <w:rPr>
                <w:rFonts w:ascii="Arial" w:cs="Arial" w:eastAsia="Arial" w:hAnsi="Arial"/>
                <w:sz w:val="14"/>
                <w:szCs w:val="14"/>
                <w:b w:val="1"/>
                <w:bCs w:val="1"/>
                <w:color w:val="auto"/>
              </w:rPr>
              <w:t>67</w:t>
            </w:r>
          </w:p>
        </w:tc>
        <w:tc>
          <w:tcPr>
            <w:tcW w:w="260" w:type="dxa"/>
            <w:vAlign w:val="bottom"/>
            <w:gridSpan w:val="2"/>
            <w:vMerge w:val="restart"/>
            <w:shd w:val="clear" w:color="auto" w:fill="CCEEFF"/>
          </w:tcPr>
          <w:p>
            <w:pPr>
              <w:ind w:left="120"/>
              <w:spacing w:after="0" w:line="135"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shd w:val="clear" w:color="auto" w:fill="CCEEFF"/>
          </w:tcPr>
          <w:p>
            <w:pPr>
              <w:jc w:val="right"/>
              <w:ind w:right="220"/>
              <w:spacing w:after="0" w:line="135" w:lineRule="exact"/>
              <w:rPr>
                <w:sz w:val="20"/>
                <w:szCs w:val="20"/>
                <w:color w:val="auto"/>
              </w:rPr>
            </w:pPr>
            <w:r>
              <w:rPr>
                <w:rFonts w:ascii="Arial" w:cs="Arial" w:eastAsia="Arial" w:hAnsi="Arial"/>
                <w:sz w:val="14"/>
                <w:szCs w:val="14"/>
                <w:b w:val="1"/>
                <w:bCs w:val="1"/>
                <w:color w:val="auto"/>
              </w:rPr>
              <w:t>(220,359)</w:t>
            </w:r>
          </w:p>
        </w:tc>
        <w:tc>
          <w:tcPr>
            <w:tcW w:w="160" w:type="dxa"/>
            <w:vAlign w:val="bottom"/>
            <w:vMerge w:val="restart"/>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60"/>
              <w:spacing w:after="0" w:line="135" w:lineRule="exact"/>
              <w:rPr>
                <w:sz w:val="20"/>
                <w:szCs w:val="20"/>
                <w:color w:val="auto"/>
              </w:rPr>
            </w:pPr>
            <w:r>
              <w:rPr>
                <w:rFonts w:ascii="Arial" w:cs="Arial" w:eastAsia="Arial" w:hAnsi="Arial"/>
                <w:sz w:val="14"/>
                <w:szCs w:val="14"/>
                <w:b w:val="1"/>
                <w:bCs w:val="1"/>
                <w:color w:val="auto"/>
              </w:rPr>
              <w:t>(208,878)</w:t>
            </w:r>
          </w:p>
        </w:tc>
        <w:tc>
          <w:tcPr>
            <w:tcW w:w="0" w:type="dxa"/>
            <w:vAlign w:val="bottom"/>
          </w:tcPr>
          <w:p>
            <w:pPr>
              <w:spacing w:after="0" w:line="20" w:lineRule="exact"/>
              <w:rPr>
                <w:sz w:val="1"/>
                <w:szCs w:val="1"/>
                <w:color w:val="auto"/>
              </w:rPr>
            </w:pPr>
          </w:p>
        </w:tc>
      </w:tr>
      <w:tr>
        <w:trPr>
          <w:trHeight w:val="108"/>
        </w:trPr>
        <w:tc>
          <w:tcPr>
            <w:tcW w:w="3120" w:type="dxa"/>
            <w:vAlign w:val="bottom"/>
            <w:vMerge w:val="continue"/>
            <w:shd w:val="clear" w:color="auto" w:fill="CCEEFF"/>
          </w:tcPr>
          <w:p>
            <w:pPr>
              <w:spacing w:after="0"/>
              <w:rPr>
                <w:sz w:val="9"/>
                <w:szCs w:val="9"/>
                <w:color w:val="auto"/>
              </w:rPr>
            </w:pPr>
          </w:p>
        </w:tc>
        <w:tc>
          <w:tcPr>
            <w:tcW w:w="980" w:type="dxa"/>
            <w:vAlign w:val="bottom"/>
            <w:gridSpan w:val="4"/>
            <w:vMerge w:val="continue"/>
            <w:shd w:val="clear" w:color="auto" w:fill="CCEEFF"/>
          </w:tcPr>
          <w:p>
            <w:pPr>
              <w:spacing w:after="0"/>
              <w:rPr>
                <w:sz w:val="9"/>
                <w:szCs w:val="9"/>
                <w:color w:val="auto"/>
              </w:rPr>
            </w:pPr>
          </w:p>
        </w:tc>
        <w:tc>
          <w:tcPr>
            <w:tcW w:w="660" w:type="dxa"/>
            <w:vAlign w:val="bottom"/>
            <w:tcBorders>
              <w:right w:val="single" w:sz="8" w:color="CCEEFF"/>
            </w:tcBorders>
            <w:gridSpan w:val="3"/>
            <w:vMerge w:val="continue"/>
            <w:shd w:val="clear" w:color="auto" w:fill="CCEEFF"/>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60" w:type="dxa"/>
            <w:vAlign w:val="bottom"/>
            <w:gridSpan w:val="5"/>
            <w:vMerge w:val="continue"/>
            <w:shd w:val="clear" w:color="auto" w:fill="CCEEFF"/>
          </w:tcPr>
          <w:p>
            <w:pPr>
              <w:spacing w:after="0"/>
              <w:rPr>
                <w:sz w:val="9"/>
                <w:szCs w:val="9"/>
                <w:color w:val="auto"/>
              </w:rPr>
            </w:pPr>
          </w:p>
        </w:tc>
        <w:tc>
          <w:tcPr>
            <w:tcW w:w="400" w:type="dxa"/>
            <w:vAlign w:val="bottom"/>
            <w:gridSpan w:val="3"/>
            <w:vMerge w:val="continue"/>
            <w:shd w:val="clear" w:color="auto" w:fill="CCEEFF"/>
          </w:tcPr>
          <w:p>
            <w:pPr>
              <w:spacing w:after="0"/>
              <w:rPr>
                <w:sz w:val="9"/>
                <w:szCs w:val="9"/>
                <w:color w:val="auto"/>
              </w:rPr>
            </w:pPr>
          </w:p>
        </w:tc>
        <w:tc>
          <w:tcPr>
            <w:tcW w:w="320" w:type="dxa"/>
            <w:vAlign w:val="bottom"/>
            <w:gridSpan w:val="3"/>
            <w:vMerge w:val="continue"/>
            <w:shd w:val="clear" w:color="auto" w:fill="CCEEFF"/>
          </w:tcPr>
          <w:p>
            <w:pPr>
              <w:spacing w:after="0"/>
              <w:rPr>
                <w:sz w:val="9"/>
                <w:szCs w:val="9"/>
                <w:color w:val="auto"/>
              </w:rPr>
            </w:pPr>
          </w:p>
        </w:tc>
        <w:tc>
          <w:tcPr>
            <w:tcW w:w="220" w:type="dxa"/>
            <w:vAlign w:val="bottom"/>
            <w:gridSpan w:val="3"/>
            <w:vMerge w:val="continue"/>
            <w:shd w:val="clear" w:color="auto" w:fill="CCEEFF"/>
          </w:tcPr>
          <w:p>
            <w:pPr>
              <w:spacing w:after="0"/>
              <w:rPr>
                <w:sz w:val="9"/>
                <w:szCs w:val="9"/>
                <w:color w:val="auto"/>
              </w:rPr>
            </w:pPr>
          </w:p>
        </w:tc>
        <w:tc>
          <w:tcPr>
            <w:tcW w:w="740" w:type="dxa"/>
            <w:vAlign w:val="bottom"/>
            <w:gridSpan w:val="3"/>
            <w:vMerge w:val="continue"/>
            <w:shd w:val="clear" w:color="auto" w:fill="CCEEFF"/>
          </w:tcPr>
          <w:p>
            <w:pPr>
              <w:spacing w:after="0"/>
              <w:rPr>
                <w:sz w:val="9"/>
                <w:szCs w:val="9"/>
                <w:color w:val="auto"/>
              </w:rPr>
            </w:pPr>
          </w:p>
        </w:tc>
        <w:tc>
          <w:tcPr>
            <w:tcW w:w="140" w:type="dxa"/>
            <w:vAlign w:val="bottom"/>
            <w:gridSpan w:val="2"/>
            <w:vMerge w:val="continue"/>
            <w:shd w:val="clear" w:color="auto" w:fill="CCEEFF"/>
          </w:tcPr>
          <w:p>
            <w:pPr>
              <w:spacing w:after="0"/>
              <w:rPr>
                <w:sz w:val="9"/>
                <w:szCs w:val="9"/>
                <w:color w:val="auto"/>
              </w:rPr>
            </w:pPr>
          </w:p>
        </w:tc>
        <w:tc>
          <w:tcPr>
            <w:tcW w:w="980" w:type="dxa"/>
            <w:vAlign w:val="bottom"/>
            <w:gridSpan w:val="3"/>
            <w:vMerge w:val="continue"/>
            <w:shd w:val="clear" w:color="auto" w:fill="CCEEFF"/>
          </w:tcPr>
          <w:p>
            <w:pPr>
              <w:spacing w:after="0"/>
              <w:rPr>
                <w:sz w:val="9"/>
                <w:szCs w:val="9"/>
                <w:color w:val="auto"/>
              </w:rPr>
            </w:pPr>
          </w:p>
        </w:tc>
        <w:tc>
          <w:tcPr>
            <w:tcW w:w="260" w:type="dxa"/>
            <w:vAlign w:val="bottom"/>
            <w:gridSpan w:val="2"/>
            <w:vMerge w:val="continue"/>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Redeemable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6"/>
            <w:vMerge w:val="restart"/>
          </w:tcPr>
          <w:p>
            <w:pPr>
              <w:jc w:val="right"/>
              <w:ind w:right="5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0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2020</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351,844,340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$501,881</w:t>
            </w:r>
          </w:p>
        </w:tc>
        <w:tc>
          <w:tcPr>
            <w:tcW w:w="60" w:type="dxa"/>
            <w:vAlign w:val="bottom"/>
          </w:tcPr>
          <w:p>
            <w:pPr>
              <w:spacing w:after="0"/>
              <w:rPr>
                <w:sz w:val="12"/>
                <w:szCs w:val="12"/>
                <w:color w:val="auto"/>
              </w:rPr>
            </w:pPr>
          </w:p>
        </w:tc>
        <w:tc>
          <w:tcPr>
            <w:tcW w:w="240" w:type="dxa"/>
            <w:vAlign w:val="bottom"/>
            <w:tcBorders>
              <w:right w:val="single" w:sz="8" w:color="CCEEFF"/>
            </w:tcBorders>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130,312,838</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gridSpan w:val="2"/>
            <w:shd w:val="clear" w:color="auto" w:fill="CCEEFF"/>
          </w:tcPr>
          <w:p>
            <w:pPr>
              <w:jc w:val="right"/>
              <w:ind w:right="17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39,769</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(253,524)</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(213,717)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w w:val="97"/>
              </w:rPr>
              <w:t>Issuance of common stock upon exercise of vested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options (unaudited)</w:t>
            </w:r>
          </w:p>
        </w:tc>
        <w:tc>
          <w:tcPr>
            <w:tcW w:w="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5"/>
          </w:tcPr>
          <w:p>
            <w:pPr>
              <w:jc w:val="right"/>
              <w:ind w:right="60"/>
              <w:spacing w:after="0"/>
              <w:rPr>
                <w:sz w:val="20"/>
                <w:szCs w:val="20"/>
                <w:color w:val="auto"/>
              </w:rPr>
            </w:pPr>
            <w:r>
              <w:rPr>
                <w:rFonts w:ascii="Arial" w:cs="Arial" w:eastAsia="Arial" w:hAnsi="Arial"/>
                <w:sz w:val="14"/>
                <w:szCs w:val="14"/>
                <w:color w:val="auto"/>
              </w:rPr>
              <w:t>1,904,186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1,410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early exercise of</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unvested options (unaudited)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Borders>
              <w:right w:val="single" w:sz="8" w:color="CCEEFF"/>
            </w:tcBorders>
          </w:tcPr>
          <w:p>
            <w:pPr>
              <w:spacing w:after="0"/>
              <w:rPr>
                <w:sz w:val="14"/>
                <w:szCs w:val="14"/>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319,883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Repurchase of early exercised stock options</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5"/>
          </w:tcPr>
          <w:p>
            <w:pPr>
              <w:jc w:val="right"/>
              <w:spacing w:after="0"/>
              <w:rPr>
                <w:sz w:val="20"/>
                <w:szCs w:val="20"/>
                <w:color w:val="auto"/>
              </w:rPr>
            </w:pPr>
            <w:r>
              <w:rPr>
                <w:rFonts w:ascii="Arial" w:cs="Arial" w:eastAsia="Arial" w:hAnsi="Arial"/>
                <w:sz w:val="14"/>
                <w:szCs w:val="14"/>
                <w:color w:val="auto"/>
              </w:rPr>
              <w:t>(18,567)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early exercised stock options</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Borders>
              <w:right w:val="single" w:sz="8" w:color="CCEEFF"/>
            </w:tcBorders>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 (unaudited)</w:t>
            </w:r>
          </w:p>
        </w:tc>
        <w:tc>
          <w:tcPr>
            <w:tcW w:w="6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11,392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11,392</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other comprehensive income (loss)</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right w:val="single" w:sz="8" w:color="CCEEFF"/>
            </w:tcBorders>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Borders>
              <w:right w:val="single" w:sz="8" w:color="CCEEFF"/>
            </w:tcBorders>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6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(12,838)</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(12,838)</w:t>
            </w:r>
          </w:p>
        </w:tc>
        <w:tc>
          <w:tcPr>
            <w:tcW w:w="0" w:type="dxa"/>
            <w:vAlign w:val="bottom"/>
          </w:tcPr>
          <w:p>
            <w:pPr>
              <w:spacing w:after="0"/>
              <w:rPr>
                <w:sz w:val="1"/>
                <w:szCs w:val="1"/>
                <w:color w:val="auto"/>
              </w:rPr>
            </w:pPr>
          </w:p>
        </w:tc>
      </w:tr>
      <w:tr>
        <w:trPr>
          <w:trHeight w:val="28"/>
        </w:trPr>
        <w:tc>
          <w:tcPr>
            <w:tcW w:w="312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260" w:type="dxa"/>
            <w:vAlign w:val="bottom"/>
            <w:tcBorders>
              <w:top w:val="single" w:sz="8" w:color="auto"/>
              <w:bottom w:val="single" w:sz="8" w:color="CCEEFF"/>
            </w:tcBorders>
          </w:tcPr>
          <w:p>
            <w:pPr>
              <w:spacing w:after="0"/>
              <w:rPr>
                <w:sz w:val="2"/>
                <w:szCs w:val="2"/>
                <w:color w:val="auto"/>
              </w:rPr>
            </w:pPr>
          </w:p>
        </w:tc>
        <w:tc>
          <w:tcPr>
            <w:tcW w:w="2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52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680" w:type="dxa"/>
            <w:vAlign w:val="bottom"/>
            <w:tcBorders>
              <w:top w:val="single" w:sz="8" w:color="auto"/>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08"/>
        </w:trPr>
        <w:tc>
          <w:tcPr>
            <w:tcW w:w="3120" w:type="dxa"/>
            <w:vAlign w:val="bottom"/>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Balance as of March 31, 2021 (unaudited)</w:t>
            </w:r>
          </w:p>
        </w:tc>
        <w:tc>
          <w:tcPr>
            <w:tcW w:w="840" w:type="dxa"/>
            <w:vAlign w:val="bottom"/>
            <w:gridSpan w:val="3"/>
            <w:shd w:val="clear" w:color="auto" w:fill="CCEEFF"/>
          </w:tcPr>
          <w:p>
            <w:pPr>
              <w:jc w:val="right"/>
              <w:ind w:right="80"/>
              <w:spacing w:after="0" w:line="108" w:lineRule="exact"/>
              <w:rPr>
                <w:sz w:val="20"/>
                <w:szCs w:val="20"/>
                <w:color w:val="auto"/>
              </w:rPr>
            </w:pPr>
            <w:r>
              <w:rPr>
                <w:rFonts w:ascii="Arial" w:cs="Arial" w:eastAsia="Arial" w:hAnsi="Arial"/>
                <w:sz w:val="12"/>
                <w:szCs w:val="12"/>
                <w:b w:val="1"/>
                <w:bCs w:val="1"/>
                <w:color w:val="auto"/>
              </w:rPr>
              <w:t>351,844,340</w:t>
            </w:r>
          </w:p>
        </w:tc>
        <w:tc>
          <w:tcPr>
            <w:tcW w:w="140" w:type="dxa"/>
            <w:vAlign w:val="bottom"/>
            <w:shd w:val="clear" w:color="auto" w:fill="CCEEFF"/>
          </w:tcPr>
          <w:p>
            <w:pPr>
              <w:spacing w:after="0"/>
              <w:rPr>
                <w:sz w:val="9"/>
                <w:szCs w:val="9"/>
                <w:color w:val="auto"/>
              </w:rPr>
            </w:pPr>
          </w:p>
        </w:tc>
        <w:tc>
          <w:tcPr>
            <w:tcW w:w="600" w:type="dxa"/>
            <w:vAlign w:val="bottom"/>
            <w:tcBorders>
              <w:right w:val="single" w:sz="8" w:color="CCEEFF"/>
            </w:tcBorders>
            <w:gridSpan w:val="2"/>
            <w:shd w:val="clear" w:color="auto" w:fill="CCEEFF"/>
          </w:tcPr>
          <w:p>
            <w:pPr>
              <w:jc w:val="right"/>
              <w:spacing w:after="0" w:line="108" w:lineRule="exact"/>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501,881</w:t>
            </w:r>
          </w:p>
        </w:tc>
        <w:tc>
          <w:tcPr>
            <w:tcW w:w="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920" w:type="dxa"/>
            <w:vAlign w:val="bottom"/>
            <w:gridSpan w:val="4"/>
            <w:shd w:val="clear" w:color="auto" w:fill="CCEEFF"/>
          </w:tcPr>
          <w:p>
            <w:pPr>
              <w:jc w:val="right"/>
              <w:ind w:right="60"/>
              <w:spacing w:after="0" w:line="108" w:lineRule="exact"/>
              <w:rPr>
                <w:sz w:val="20"/>
                <w:szCs w:val="20"/>
                <w:color w:val="auto"/>
              </w:rPr>
            </w:pPr>
            <w:r>
              <w:rPr>
                <w:rFonts w:ascii="Arial" w:cs="Arial" w:eastAsia="Arial" w:hAnsi="Arial"/>
                <w:sz w:val="12"/>
                <w:szCs w:val="12"/>
                <w:b w:val="1"/>
                <w:bCs w:val="1"/>
                <w:color w:val="auto"/>
              </w:rPr>
              <w:t>132,518,340</w:t>
            </w:r>
          </w:p>
        </w:tc>
        <w:tc>
          <w:tcPr>
            <w:tcW w:w="140" w:type="dxa"/>
            <w:vAlign w:val="bottom"/>
            <w:shd w:val="clear" w:color="auto" w:fill="CCEEFF"/>
          </w:tcPr>
          <w:p>
            <w:pPr>
              <w:spacing w:after="0"/>
              <w:rPr>
                <w:sz w:val="9"/>
                <w:szCs w:val="9"/>
                <w:color w:val="auto"/>
              </w:rPr>
            </w:pPr>
          </w:p>
        </w:tc>
        <w:tc>
          <w:tcPr>
            <w:tcW w:w="400" w:type="dxa"/>
            <w:vAlign w:val="bottom"/>
            <w:gridSpan w:val="3"/>
            <w:shd w:val="clear" w:color="auto" w:fill="CCEEFF"/>
          </w:tcPr>
          <w:p>
            <w:pPr>
              <w:jc w:val="right"/>
              <w:ind w:right="178"/>
              <w:spacing w:after="0" w:line="108" w:lineRule="exact"/>
              <w:rPr>
                <w:sz w:val="20"/>
                <w:szCs w:val="20"/>
                <w:color w:val="auto"/>
              </w:rPr>
            </w:pPr>
            <w:r>
              <w:rPr>
                <w:rFonts w:ascii="Arial" w:cs="Arial" w:eastAsia="Arial" w:hAnsi="Arial"/>
                <w:sz w:val="12"/>
                <w:szCs w:val="12"/>
                <w:b w:val="1"/>
                <w:bCs w:val="1"/>
                <w:color w:val="auto"/>
              </w:rPr>
              <w:t>$</w:t>
            </w:r>
          </w:p>
        </w:tc>
        <w:tc>
          <w:tcPr>
            <w:tcW w:w="2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2"/>
                <w:szCs w:val="12"/>
                <w:b w:val="1"/>
                <w:bCs w:val="1"/>
                <w:color w:val="auto"/>
              </w:rPr>
              <w:t>13</w:t>
            </w:r>
          </w:p>
        </w:tc>
        <w:tc>
          <w:tcPr>
            <w:tcW w:w="80" w:type="dxa"/>
            <w:vAlign w:val="bottom"/>
            <w:shd w:val="clear" w:color="auto" w:fill="CCEEFF"/>
          </w:tcPr>
          <w:p>
            <w:pPr>
              <w:spacing w:after="0"/>
              <w:rPr>
                <w:sz w:val="9"/>
                <w:szCs w:val="9"/>
                <w:color w:val="auto"/>
              </w:rPr>
            </w:pPr>
          </w:p>
        </w:tc>
        <w:tc>
          <w:tcPr>
            <w:tcW w:w="220" w:type="dxa"/>
            <w:vAlign w:val="bottom"/>
            <w:gridSpan w:val="3"/>
            <w:shd w:val="clear" w:color="auto" w:fill="CCEEFF"/>
          </w:tcPr>
          <w:p>
            <w:pPr>
              <w:ind w:left="80"/>
              <w:spacing w:after="0" w:line="108" w:lineRule="exact"/>
              <w:rPr>
                <w:sz w:val="20"/>
                <w:szCs w:val="20"/>
                <w:color w:val="auto"/>
              </w:rPr>
            </w:pPr>
            <w:r>
              <w:rPr>
                <w:rFonts w:ascii="Arial" w:cs="Arial" w:eastAsia="Arial" w:hAnsi="Arial"/>
                <w:sz w:val="12"/>
                <w:szCs w:val="12"/>
                <w:b w:val="1"/>
                <w:bCs w:val="1"/>
                <w:color w:val="auto"/>
              </w:rPr>
              <w:t>$</w:t>
            </w: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2"/>
                <w:szCs w:val="12"/>
                <w:b w:val="1"/>
                <w:bCs w:val="1"/>
                <w:color w:val="auto"/>
              </w:rPr>
              <w:t>52,794</w:t>
            </w:r>
          </w:p>
        </w:tc>
        <w:tc>
          <w:tcPr>
            <w:tcW w:w="160" w:type="dxa"/>
            <w:vAlign w:val="bottom"/>
            <w:shd w:val="clear" w:color="auto" w:fill="CCEEFF"/>
          </w:tcPr>
          <w:p>
            <w:pPr>
              <w:spacing w:after="0"/>
              <w:rPr>
                <w:sz w:val="9"/>
                <w:szCs w:val="9"/>
                <w:color w:val="auto"/>
              </w:rPr>
            </w:pPr>
          </w:p>
        </w:tc>
        <w:tc>
          <w:tcPr>
            <w:tcW w:w="14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b w:val="1"/>
                <w:bCs w:val="1"/>
                <w:color w:val="auto"/>
              </w:rPr>
              <w:t>(20)</w:t>
            </w:r>
          </w:p>
        </w:tc>
        <w:tc>
          <w:tcPr>
            <w:tcW w:w="100" w:type="dxa"/>
            <w:vAlign w:val="bottom"/>
            <w:shd w:val="clear" w:color="auto" w:fill="CCEEFF"/>
          </w:tcPr>
          <w:p>
            <w:pPr>
              <w:spacing w:after="0"/>
              <w:rPr>
                <w:sz w:val="9"/>
                <w:szCs w:val="9"/>
                <w:color w:val="auto"/>
              </w:rPr>
            </w:pPr>
          </w:p>
        </w:tc>
        <w:tc>
          <w:tcPr>
            <w:tcW w:w="26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2"/>
                <w:szCs w:val="12"/>
                <w:b w:val="1"/>
                <w:bCs w:val="1"/>
                <w:color w:val="auto"/>
              </w:rPr>
              <w:t>(266,362)</w:t>
            </w:r>
          </w:p>
        </w:tc>
        <w:tc>
          <w:tcPr>
            <w:tcW w:w="160" w:type="dxa"/>
            <w:vAlign w:val="bottom"/>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w:t>
            </w:r>
          </w:p>
        </w:tc>
        <w:tc>
          <w:tcPr>
            <w:tcW w:w="8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2"/>
                <w:szCs w:val="12"/>
                <w:b w:val="1"/>
                <w:bCs w:val="1"/>
                <w:color w:val="auto"/>
              </w:rPr>
              <w:t>(213,575)</w:t>
            </w:r>
          </w:p>
        </w:tc>
        <w:tc>
          <w:tcPr>
            <w:tcW w:w="0" w:type="dxa"/>
            <w:vAlign w:val="bottom"/>
          </w:tcPr>
          <w:p>
            <w:pPr>
              <w:spacing w:after="0"/>
              <w:rPr>
                <w:sz w:val="1"/>
                <w:szCs w:val="1"/>
                <w:color w:val="auto"/>
              </w:rPr>
            </w:pPr>
          </w:p>
        </w:tc>
      </w:tr>
      <w:tr>
        <w:trPr>
          <w:trHeight w:val="28"/>
        </w:trPr>
        <w:tc>
          <w:tcPr>
            <w:tcW w:w="312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-2031365</wp:posOffset>
            </wp:positionV>
            <wp:extent cx="342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-110490</wp:posOffset>
            </wp:positionV>
            <wp:extent cx="342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5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2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6080" w:type="dxa"/>
            <w:vAlign w:val="bottom"/>
          </w:tcPr>
          <w:p>
            <w:pPr>
              <w:spacing w:after="0"/>
              <w:rPr>
                <w:sz w:val="12"/>
                <w:szCs w:val="12"/>
                <w:color w:val="auto"/>
              </w:rPr>
            </w:pPr>
          </w:p>
        </w:tc>
        <w:tc>
          <w:tcPr>
            <w:tcW w:w="7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8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620" w:type="dxa"/>
            <w:vAlign w:val="bottom"/>
            <w:tcBorders>
              <w:top w:val="single" w:sz="8" w:color="auto"/>
              <w:bottom w:val="single" w:sz="8" w:color="auto"/>
            </w:tcBorders>
            <w:gridSpan w:val="3"/>
          </w:tcPr>
          <w:p>
            <w:pPr>
              <w:jc w:val="center"/>
              <w:ind w:left="612"/>
              <w:spacing w:after="0" w:line="142" w:lineRule="exact"/>
              <w:rPr>
                <w:sz w:val="20"/>
                <w:szCs w:val="20"/>
                <w:color w:val="auto"/>
              </w:rPr>
            </w:pPr>
            <w:r>
              <w:rPr>
                <w:rFonts w:ascii="Arial" w:cs="Arial" w:eastAsia="Arial" w:hAnsi="Arial"/>
                <w:sz w:val="14"/>
                <w:szCs w:val="14"/>
                <w:b w:val="1"/>
                <w:bCs w:val="1"/>
                <w:color w:val="auto"/>
                <w:w w:val="94"/>
              </w:rPr>
              <w:t>(unaudited)</w:t>
            </w: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 (58,200)</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 (47,695)</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   (14,530)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(12,838)</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net loss to net cash (used in) / provided by operating</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3,080</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3,498</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857</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21,757</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28,211</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3,745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Non-cash operating leases expense</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1,487</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2,029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(Accretion) amortization of discount on marketable securities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543</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39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equity method investment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1,890</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2,299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(2,812)</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(4,485)</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5,032</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receivable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(2,961)</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Network incentives receivable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(8,248)</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(9,400)</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(3,537)</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(12,055)</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(5,363)</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(2,481)</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1,613</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(839)</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 share payable</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18,631</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48,442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6,226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14,122</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17,407</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34,997</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7,750</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(1,515)</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50,273</w:t>
            </w:r>
          </w:p>
        </w:tc>
        <w:tc>
          <w:tcPr>
            <w:tcW w:w="5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17,870</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(4,908)</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(2,375)</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(528,300)</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(216,200)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(18,929)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Sales of marketable securities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71,981</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Maturities of marketable securities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433,640</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89,032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40,463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16,366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 of equity method investment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(100,318)</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(57,562)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20,995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8,760</w:t>
            </w:r>
          </w:p>
        </w:tc>
      </w:tr>
      <w:tr>
        <w:trPr>
          <w:trHeight w:val="223"/>
        </w:trPr>
        <w:tc>
          <w:tcPr>
            <w:tcW w:w="60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issuance of redeemable convertible preferred stock, net of</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142,990</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166,942</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Repayment of bank loan and related fees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(5,005)</w:t>
            </w:r>
          </w:p>
        </w:tc>
        <w:tc>
          <w:tcPr>
            <w:tcW w:w="2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issuance of common stock, including early exercised stock</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1,099</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3,224</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(2,708)</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(1,144)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early exercised unvested options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139,049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167,378</w:t>
            </w:r>
          </w:p>
        </w:tc>
        <w:tc>
          <w:tcPr>
            <w:tcW w:w="5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23,303</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160,089</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12,811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27,197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44,841</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68,144</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68,144</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228,233</w:t>
            </w:r>
          </w:p>
        </w:tc>
      </w:tr>
      <w:tr>
        <w:trPr>
          <w:trHeight w:val="372"/>
        </w:trPr>
        <w:tc>
          <w:tcPr>
            <w:tcW w:w="6080" w:type="dxa"/>
            <w:vAlign w:val="bottom"/>
          </w:tcPr>
          <w:p>
            <w:pPr>
              <w:ind w:left="5380"/>
              <w:spacing w:after="0"/>
              <w:rPr>
                <w:sz w:val="20"/>
                <w:szCs w:val="20"/>
                <w:color w:val="auto"/>
              </w:rPr>
            </w:pPr>
            <w:r>
              <w:rPr>
                <w:rFonts w:ascii="Arial" w:cs="Arial" w:eastAsia="Arial" w:hAnsi="Arial"/>
                <w:sz w:val="18"/>
                <w:szCs w:val="18"/>
                <w:color w:val="auto"/>
              </w:rPr>
              <w:t>F-8</w:t>
            </w: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96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68,144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228,233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80,955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60,344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220,433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73,155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247,630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7,800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7,800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7,800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68,144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228,233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80,955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255,430</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Purchase of property and equipment accrued and not yet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Deemed dividend upon the exchange for Series A and Series C redeemable</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convertible preferred stock for Series E redeemable convertible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64,149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Conversion of redeemable convertible preferred stock to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Vesting of early exercised stock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Deferred offering costs not yet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Marqeta, Inc., or the Company, creates digital payment technology for innovation leaders. The Company’s modern card issuing Platform places control over payment transactions into the hands of its Customers, enabling them to develop modern state-of-the-art product experiences.</w:t>
      </w:r>
    </w:p>
    <w:p>
      <w:pPr>
        <w:spacing w:after="0" w:line="14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 The Company primarily earns revenue from processing card transactions for its Customers.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was incorporated in the state of Delaware in 2010 and is headquartered in Oakland, California, with offices in the United Kingdom.</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accompanying consolidated financial statements, which include the accounts of the Company and its wholly owned subsidiary, have been prepared in conformity with Generally Accepted Accounting Principles (GAAP). All intercompany balances and transactions have been eliminated in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Unaudited Interim Consolidated Financial Information</w:t>
      </w:r>
    </w:p>
    <w:p>
      <w:pPr>
        <w:spacing w:after="0" w:line="117" w:lineRule="exact"/>
        <w:rPr>
          <w:sz w:val="20"/>
          <w:szCs w:val="20"/>
          <w:color w:val="auto"/>
        </w:rPr>
      </w:pPr>
    </w:p>
    <w:p>
      <w:pPr>
        <w:jc w:val="both"/>
        <w:ind w:left="120" w:right="20"/>
        <w:spacing w:after="0" w:line="289" w:lineRule="auto"/>
        <w:rPr>
          <w:sz w:val="20"/>
          <w:szCs w:val="20"/>
          <w:color w:val="auto"/>
        </w:rPr>
      </w:pPr>
      <w:r>
        <w:rPr>
          <w:rFonts w:ascii="Arial" w:cs="Arial" w:eastAsia="Arial" w:hAnsi="Arial"/>
          <w:sz w:val="16"/>
          <w:szCs w:val="16"/>
          <w:color w:val="auto"/>
        </w:rPr>
        <w:t>The accompanying interim consolidated balance sheet as of March 31, 2021, the interim consolidated statements of operations, comprehensive loss, cash flows, and of redeemable convertible preferred stock and stockholders’ deficit for the three months ended March 31, 2020 and 2021, and the related notes to such interim consolidated financial statements are unaudited. These unaudited interim consolidated financial statements are presented in accordance with the rules and regulations of the U.S. Securities and Exchange Commission (the SEC) and do not include all disclosures normally required in annual consolidated financial statements prepared in accordance with GAAP. In management’s opinion, the unaudited interim consolidated financial statements have been prepared on the same basis as the annual financial statements and reflect all adjustments, which include only normal recurring adjustments necessary for the fair statement of the Company’s financial position as of March 31, 2021 and the results of operations and cash flows for the three months ended March 31, 2020 and 2021. The results of operations for the three months ended March 31, 2021 are not necessarily indicative of the results to be expected for the full year or any other future interim or annual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The preparation of the financial statements requires management to make estimates and assumptions relating to reported amounts of assets and liabilities, disclosure of contingent assets and liabilities, and reported amounts of revenues and expenses. Significant estimates and assumptions relate to the estimation of variable consideration in contracts with Customers, collectability of accounts receivable, reserve for contract contingencies and processing errors, the useful lives of property and equipment, the incremental borrowing rate used to determine operating</w:t>
      </w:r>
    </w:p>
    <w:p>
      <w:pPr>
        <w:spacing w:after="0" w:line="2" w:lineRule="exact"/>
        <w:rPr>
          <w:sz w:val="20"/>
          <w:szCs w:val="20"/>
          <w:color w:val="auto"/>
        </w:rPr>
      </w:pPr>
    </w:p>
    <w:p>
      <w:pPr>
        <w:jc w:val="center"/>
        <w:ind w:left="340" w:right="100"/>
        <w:spacing w:after="0" w:line="433" w:lineRule="auto"/>
        <w:rPr>
          <w:sz w:val="20"/>
          <w:szCs w:val="20"/>
          <w:color w:val="auto"/>
        </w:rPr>
      </w:pPr>
      <w:r>
        <w:rPr>
          <w:rFonts w:ascii="Arial" w:cs="Arial" w:eastAsia="Arial" w:hAnsi="Arial"/>
          <w:sz w:val="18"/>
          <w:szCs w:val="18"/>
          <w:color w:val="auto"/>
        </w:rPr>
        <w:t>lease liabilities, the fair value of equity awards and warrants, and share-based compensation. Actual results could differ materially from these estimates. F-10</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Business Risks and Uncertainties</w:t>
      </w:r>
    </w:p>
    <w:p>
      <w:pPr>
        <w:spacing w:after="0" w:line="11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Company has incurred net losses since its inception. For the year ended December 31, 2020, the Company incurred a net loss of $47.7 million, and had an accumulated deficit of $253.5 million as of December 31, 2020. For the three months ended March 31, 2021, the Company incurred a net loss of $12.8 million, and had an accumulated deficit of $266.4 million as of March 31, 2021. The Company expects losses from operations to continue for the foreseeable future as it incurs costs and expenses related to acquiring new Customers, developing its brand, expanding into new geographies, developing the existing Platform infrastructure, and creating new products for Customers.</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believes that its cash and cash equivalents of $220.4 million and marketable securities of $149.9 million as of December 31, 2020, and cash and cash equivalents of $247.6 million and marketable securities of $140.1 million as of March 31, 2021, are sufficient to fund its operations through at least the next twelve months from the issuance of these financial statements.</w:t>
      </w:r>
    </w:p>
    <w:p>
      <w:pPr>
        <w:spacing w:after="0" w:line="18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 March 2020, the World Health Organization declared the outbreak of a novel coronavirus (COVID-19) as a pandemic. Since then, the COVID-19 pandemic has continued to spread throughout the United States and the world. While the Company has not been adversely affected by the COVID-19 pandemic to date, the prolonged disruption to the economy and the long-term financial impact of the pandemic cannot be reasonably estimated. The Company continues to monitor the situation and may take actions that alter its operations and business practices as may be required by federal, state, or local authorities or that the Company determines are in the best interests of its Customers, vendors, and employees.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 xml:space="preserve">On January 1, 2019, the Company adopted Accounting Standards Codification, or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to which the Company expects to be entitled in exchange for those goods or services.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Company’s contracts with Customers typically include two performance obligations: (i) providing access to the Company’s payment processing Platform and (ii) providing card fulfillment services. Certain Customer contracts require the Company to allocate the transaction price of the contract based on the relative stand-alone selling price of the performance obligations which are estimated using an analysis of the Company’s historical contract pricing and costs incurred to fulfill its services.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generates revenue from providing platform services and other services as described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Platform Services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delivers an integrated payment transaction processing Platform to its Customers. The Company’s primary performance obligation is to provide Customers continuous access to the Company’s Platform to process all Customers’ transactions as needed. This obligation includes authorizing, settling, clearing and reconciling all transactions and managing the interactions with the Issuing Banks and Card Networks on behalf of its Customers. All these services are collectively considered a single performance obligation.</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Company’s Platform services revenue is primarily derived from Interchange Fees generated by Customer card transactions and other transaction fees collected from Customers. The Company accounts for these Interchange Fees as revenue earned from its Customers because the Company controls the services before delivery to the Customer.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Company’s Platform service consists of a stand-ready service of distinct transaction processing services that are substantially the same, with the same pattern of transfer to Customers. As such, the stand-ready obligation is accounted for as a single performance obligation that is a series of distinct services whereby the variability of the transaction value is satisfied daily as the performance obligation is satisfied. The Company satisfies its performance obligation to provide Platform services over time as Customers have continuous access to the Company’s Platform and the Company stands-ready to process Customer transactions throughout their term of access. The Company recognizes revenue when the underlying transactions are complete, and its performance obligation is satisfied. Transactions are considered complete when the Company has authorized the transaction, validated that the transaction has no errors and accepted and posted the data to its records. The Company does not have any capitalized contract costs.</w:t>
      </w:r>
    </w:p>
    <w:p>
      <w:pPr>
        <w:spacing w:after="0" w:line="166"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Company allocates variable consideration to the distinct month in which the Platform services are delivered. When pricing terms are not consistent throughout the entire term of the contract, the Company estimates variable consideration in its Customer contracts primarily using the expected value method. The standard term of the Customer contracts is three years, with automatic renewal for successive one-year periods thereafter unless either party provides written notice of its intent not to renew. The Company develops estimates of variable consideration on the basis of both historical information and current trends and does not expect or anticipate significant reversal of revenue in the future periods.</w:t>
      </w:r>
    </w:p>
    <w:p>
      <w:pPr>
        <w:spacing w:after="0" w:line="17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the Issuer Processor for its Customers, the Company is the principal in providing the services under its contracts with Customers. To deliver the services required by its Customers, the Company contracts with Card Networks for transaction routing, reporting, and settlement services and with Issuing Banks for card issuing, Card Network sponsorship, and regulatory compliance approval services. The Company controls these integrated services before delivery to its Customers, it is primarily responsible for the delivery of the services to Customers, and it has discretion in vendor selection. As such, the Company records fees paid to the Issuing Banks and Card Networks as costs of revenue. The Company’s contracts with Customers include certain service level agreements which could require the Company to make payments to Customers if service levels are not met. Any service level payment is recorded as a reduction to net revenue in the consolidated statements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Share</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Company’s contracts with Customers typically include provisions under which the Company shares a portion of the Interchange Fees with its Customers, referred to as Revenue Share. Revenue Share payments are incentives to Customers to increase their processing volume on the Company’s Platform. Revenue Share is generally computed as a percentage of the Interchange Fees earned or processing volume and is paid to Customers monthly.</w:t>
      </w:r>
    </w:p>
    <w:p>
      <w:pPr>
        <w:spacing w:after="0" w:line="14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does not receive a distinct good or service from the Customer in exchange for Revenue Share payments, and therefore records Revenue Share as a reduction to net revenue in the consolidated statements of operations. The Company records the amount due to the Customer as Revenue Share payable on the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Services Revenue</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Company earns revenue from Customers through card fulfillment services. Card fulfillment fees are generally billed to Customers upon ordering card inventory and recognized as revenue when the ordered cards are shipped to the Customers. The Company offers certain Customers the option to purchase physical cards at a discount. The Company has concluded that the discount does not constitute a future material right because the discount is within a range typically offered to the class of customers. Therefore, the Company accounts for the discount as a reduction to revenue when the Company delivers the ordered cards to the Customers.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Deferred revenue arises when Customers pay or are obligated to pay for services in advance of the Company’s revenue recognition. The Company’s deferred revenue is primarily due to variable consideration from Customer contracts where pricing terms are not consistent throughout the entire term of the contract, non-refundable upfront setup fees that are billed at contract inception, and card fulfillment services that are billed to Customers in advance of the delivery of the ordered cards.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Reserve for Contract Contingencies and Processing Errors</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Customer contracts generally contain service level agreements that can result in performance penalties payable by the Company when contractually required service levels are not met or can result in payments by the Company for processing errors. As such, the Company records a reserve for estimated performance penalties and processing errors. When providing for these reserves, the Company considers factors such as its history of incurring performance penalties and processing errors, actual contractual penalty charge rates in Customer contracts, and known or estimated processing errors. These reserves are included in accrued expenses and other current liabilities on the consolidated balance sheets and the provision for contract contingencies and processing errors is included as a reduction to net revenue on the consolidated statements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Costs of Revenue</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Costs of revenue consist of Card Network costs, Issuing Bank costs, and card fulfillment costs. Card Network costs are generally equal to a specified percentage of the processing volume or a fixed amount per transaction processed through the respective Card Network. The Company incurs Card Network costs directly from contractual arrangements with the Card Networks that are passed entirely through Issuing Banks, or directly from the Card Networks. The Company’s contracts with Card Networks and Issuing Banks typically have terms ranging from three to five years which may be renewed in one-year to two-year increments as agreed by both parties. Issuing Bank costs compensate Issuing Banks for issuing cards to the Company’s Customers and sponsoring the Company’s card programs with the Card Networks and are generally equal to a specified percentage of the processing volume or a fixed amount per transaction, subject to monthly minimum amounts. Card fulfillment costs include physical cards, packaging, and other fulfillment costs.</w:t>
      </w:r>
    </w:p>
    <w:p>
      <w:pPr>
        <w:spacing w:after="0" w:line="19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has marketing and incentive arrangements with Card Networks that provide the Company with monetary incentives based on a percentage of the volume processed over the respective Card Network. Uncollected incentives are included in prepaid expenses and other current assets on the consolidated balance sheets. The Company records these incentives as a reduction of costs of revenue on the consolidated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Segment Information</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allocating resources and evaluating the Company’s financial performance.</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the years ended December 31, 2019 and 2020, and the three months ended March 31, 2020 and 2021, revenue outside of the United States, based on the billing address of the Customer, was not material.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2020, and March 31, 2021, long-lived assets located outside of the United States were not material.</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functional currency of the Company’s foreign subsidiary is its respective local currency. Translation adjustments arising from the use of differing exchange rates from period to period are included in accumulated other comprehensive income (loss) within the consolidated balance sheets and the consolidated statements of redeemable convertible preferred stock and stockholders’ deficit. Foreign currency transaction gains and losses are included in other income (expense), net in the consolidated statements of operations. All assets and liabilities denominated in a foreign currency are translated into U.S. dollars at the exchange rate on the balance sheet date. Revenue and expenses are translated at the average exchange rate during the period, and equity balances are translated using historical exchange rates.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from the date of purchase to be cash equivalents.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consist primarily of bank deposit accounts and investments in money market funds.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Cash</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Restricted cash consists of deposits with Issuing Banks to provide the Issuing Bank collateral in the event that Customers’ funds are not deposited at the Issuing Banks in time to settle Customers’ transactions with the Card Networks. Restricted cash also includes cash used to secure a letter of credit for the Company’s lease of its office headquarters in Oakland, California.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Marketable Securities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Company’s marketable securities include U.S. government securities, commercial paper, asset-backed securities and corporate debt securities. The Company’s marketable securities are accounted for as securities available-for-sale and are classified within current assets in the consolidated balance sheets as the Company may sell these securities at any time for use in its operations, even prior to maturity. The Company carries these marketable securities at fair value, and records any unrealized gain and loss, net of taxes, in accumulated other comprehensive income (loss), a component of stockholders’ deficit. The Company records any realized gains or losses on the sale of marketable securities in other income (expense), net in the consolidated statements of operations.</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Management regularly reviews whether marketable securities are other-than-temporarily impaired. If any impairment is considered other-than-temporary, the Company writes down the investment to its then fair value and records the corresponding charge through other income (expense), net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Accounts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Accounts receivable are recorded at invoiced amounts and do not earn interest. The Company estimates an allowance for doubtful accounts receivable by making its best estimate of specific uncollectible accounts considering its historical accounts receivable collection experience and the information that management has about the current status of accounts receivable balances. As of December 31, 2019 and 2020 and March 31, 2021, the allowance for doubtful accounts receivable was $0.2 million, $0.1 million, and $0.2 million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Settlements receivable represent Interchange Fees earned on Customers’ card transactions, net of pass through Card Network fees, and are due from Issuing Banks. Settlements receivable are typically received within one or two business days of the transaction date and are due from well-established Issuing Banks, mitigating the associated risk of collection. No valuation allowance has been established. The Company does not generate revenue from Issuing Banks.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Deferred Offering Costs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Deferred offering costs consist primarily of accounting, legal, and other fees related to the Company’s proposed initial public offering (“IPO”). Upon consummation of the IPO, the deferred offering costs will be reclassified to stockholders’ equity (deficit) and recorded net against the proceeds from the offering. In the event the IPO is aborted, deferred offering costs will be expensed. The Company capitalized $3.1 million and $4.7 million of deferred offering costs within other assets, noncurrent in the consolidated balance sheet as of December 31, 2020 and March 31, 2021. No offering costs were deferred as of December 31,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Property and equipment is stated at cost, less accumulated depreciation and amortization. The Company uses the straight-line method of depreciation and amortization. Estimated useful lives range from three to five years for purchased and internally developed software, computer equipment, and furniture and fixtures. Leasehold improvements are amortized over the shorter of the lease term, excluding renewal periods, or the estimated useful life of the leasehold improvement.</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Gains and losses realized on the sale or disposal of property and equipment are recognized or charged to other income (expense), net in the consolidated statements of operations.</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Company evaluates the carrying value of property and equipment on an annual basis, or more frequently whenever circumstances indicate a long-lived asset may be impaired. When indicators of impairment exist, the Company estimates the future undiscounted cash flows attributable to such assets. In the event cash flows are not expected to be sufficient to recover the recorded value of the assets, the assets are written down to their estimated fair value. During the years ended December 31, 2019 and 2020, and the three months ended March 31, 2021, the Company did not recognize any impairment of long-lived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Fair Value Measurements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Fair value is an exit price, representing the price that would be received to sell the financial asset or paid to transfer the financial liability in an orderly transaction between market participants at the measurement date.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fair value hierarchy includes a three-level classification, which is based on whether the inputs to the valuation methodology used for measurement are observable:</w:t>
      </w:r>
    </w:p>
    <w:p>
      <w:pPr>
        <w:spacing w:after="0" w:line="76" w:lineRule="exact"/>
        <w:rPr>
          <w:sz w:val="20"/>
          <w:szCs w:val="20"/>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as of the reporting date;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3—unobservable inputs.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When developing fair value measurements, the Company maximizes the use of observable inputs and minimizes the use of unobservable inputs. In instances where the Company lacks observable inputs in the market to measure the fair value of an asset or liability, the Company may use unobservable inputs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Advertising Costs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expenses advertising costs as they are incurred. Advertising expenses for the years ended December 31, 2019 and 2020, and the three months ended March 31, 2020 and 2021, were $1.1 million, $1.4 million, $0.3 million, and $0.4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Research and development costs, which consist primarily of salaries, employees’ benefits, share-based compensation, third-party hosting fees and software licenses were $25.2 million, $34.0 million, $7.6 million, and $13.5 million for the years ended December 31, 2019 and 2020, and the three months ended March 31, 2020 and 2021, respectively. Research and development costs are expensed as incurred and are included in compensation and benefits and technology expenses in the consolidated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 able to realize its deferred tax assets in the future in excess of the net recorded amount, the Company decreases the deferred tax asset valuation allowance, which reduces the income tax expense.</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expense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Lease Obligations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 xml:space="preserve">On January 1, 2019, the Company adopted Accounting Standards Update, or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or Topic 842, using the modified retrospective method, which resulted in the recognition of operating lease right-of-use, or ROU, assets and lease liabilities on the Company’s consolidated balance sheets as of December 31, 2019, with no impact to its consolidated statements of operations for the year ended December 31, 2019.</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ROU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For short-term leases, the Company records rent expense in the consolidated statements of operations on a straight-line basis over the lease term and records variable lease payments as incurred. The Company has no finance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Loss Contingencies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Company may be involved in various lawsuits, claims, and proceedings that arise in the ordinary course of business. The Company records a liability for these when it believes it is probable that it has incurred a loss, and the Company can reasonably estimate the loss. The Company regularly evaluates current information to determine whether it should adjust a recorded liability or record a new one. Significant judgment is required to determine both the probability and the estimated amount. See Note 8, “Commitments and Contingencies”, for a full description of the Company’s loss contingencies.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1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Company grants stock option awards to employees and directors. The Company estimates the fair value of share-based payment awards granted to employees and directors on the date of grant using the Black-Scholes option pricing model. The model requires management to make a number of assumptions, including the fair value of the Company’s common stock, expected volatility, expected term, risk-free interest rate, and expected dividends. The Company records the resulting expense in the consolidated statements of operations over the period for which the employee or director is required to perform services to vest in the award, which is generally four years. The Company accounts for forfeitures as they occur.</w:t>
      </w:r>
    </w:p>
    <w:p>
      <w:pPr>
        <w:spacing w:after="0" w:line="161"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Commencing in 2020, the Company grants restricted stock units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of the Company’s equity securities, as defined in such RSU agreements. The Company measures the RSU based on the fair value of the underlying common stock on the grant date. As of December 31, 2020, and March 31, 2021, no share-based compensation expense had been recognized for RSUs because the liquidity condition had not occurred. In the period in which a liquidity condition is satisfied, the Company will record cumulative share-based compensation expense using the accelerated attribution method for those RSUs for which the service condition has been satisfied prior to the occurrence of the liquidity event. The Company will record the remaining unrecognized share-based compensation expense over the remainder of the requisite service period.</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certain situations where existing economic interest holders acquire outstanding common stock from current or former employees for a purchase price greater than the Company’s estimated fair value of its common stock, the Company records share-based compensation expense for the difference between the price paid and the estimated fair value on the date of the transaction.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New Accounting Standards Adopted</w:t>
      </w:r>
      <w:r>
        <w:rPr>
          <w:rFonts w:ascii="Arial" w:cs="Arial" w:eastAsia="Arial" w:hAnsi="Arial"/>
          <w:sz w:val="18"/>
          <w:szCs w:val="18"/>
          <w:b w:val="1"/>
          <w:bCs w:val="1"/>
          <w:i w:val="1"/>
          <w:iCs w:val="1"/>
          <w:color w:val="auto"/>
        </w:rPr>
        <w:t xml:space="preserve"> (unaudited)</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 xml:space="preserve">In August 2018, the Financial Accounting Standards Board (the FASB) issued Accounting Standards Update No. 2018-15,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Other—Internal-Use Software </w:t>
      </w:r>
      <w:r>
        <w:rPr>
          <w:rFonts w:ascii="Arial" w:cs="Arial" w:eastAsia="Arial" w:hAnsi="Arial"/>
          <w:sz w:val="17"/>
          <w:szCs w:val="17"/>
          <w:color w:val="auto"/>
        </w:rPr>
        <w:t>(Subtopic 350-40), which aligns the requirements for capitalizing implementation costs incurred in a hosting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Company adopted the new standard as of January 1, 2021. The adoption of this ASU did not have a material impact on the Company’s consolidated financial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New Accounting Standards Not Yet Adopted</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 an emerging growth company, the Jumpstart Our Business Startups Act (the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 discussed below reflects this election.</w:t>
      </w:r>
    </w:p>
    <w:p>
      <w:pPr>
        <w:spacing w:after="0" w:line="16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ASU 2016-13 replaces the incurred loss model with the current expected credit loss, or CECL model to estimate credit losses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measured at amortized cost and certain off-balance sheet credit exposures. The CECL model requires a company to estimate credit losses expected over the life of the financial assets based on historical experience, current conditions and reasonable and supportable forecasts. The guidance will be effective for the Company beginning January 1, 2023, and interim periods therein. The amendment requires a modified retrospective approach by recording a cumulative-effect adjustment to retained earnings as of the beginning of the period of adoption. Early adoption is permitted. The Company is still evaluating the impact this ASU will have on its consolidated financial statements.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17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37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Platform services revenue, net</w:t>
            </w:r>
          </w:p>
        </w:tc>
        <w:tc>
          <w:tcPr>
            <w:tcW w:w="4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$ 137,418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$ 282,286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$ 46,757</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$ 106,233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Other services revenue</w:t>
            </w:r>
          </w:p>
        </w:tc>
        <w:tc>
          <w:tcPr>
            <w:tcW w:w="36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5,849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8,006</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1,631</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1,750</w:t>
            </w:r>
          </w:p>
        </w:tc>
      </w:tr>
      <w:tr>
        <w:trPr>
          <w:trHeight w:val="27"/>
        </w:trPr>
        <w:tc>
          <w:tcPr>
            <w:tcW w:w="37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revenue</w:t>
            </w:r>
          </w:p>
        </w:tc>
        <w:tc>
          <w:tcPr>
            <w:tcW w:w="3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$ 143,267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$ 290,292</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$ 48,388</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$ 107,983</w:t>
            </w:r>
          </w:p>
        </w:tc>
      </w:tr>
      <w:tr>
        <w:trPr>
          <w:trHeight w:val="20"/>
        </w:trPr>
        <w:tc>
          <w:tcPr>
            <w:tcW w:w="3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4580" w:type="dxa"/>
            <w:vAlign w:val="bottom"/>
            <w:gridSpan w:val="3"/>
          </w:tcPr>
          <w:p>
            <w:pPr>
              <w:jc w:val="right"/>
              <w:ind w:right="2660"/>
              <w:spacing w:after="0"/>
              <w:rPr>
                <w:sz w:val="20"/>
                <w:szCs w:val="20"/>
                <w:color w:val="auto"/>
              </w:rPr>
            </w:pPr>
            <w:r>
              <w:rPr>
                <w:rFonts w:ascii="Arial" w:cs="Arial" w:eastAsia="Arial" w:hAnsi="Arial"/>
                <w:sz w:val="18"/>
                <w:szCs w:val="18"/>
                <w:color w:val="auto"/>
              </w:rPr>
              <w:t>F-18</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provide information about contract assets and deferred revenue: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balance</w:t>
            </w:r>
          </w:p>
        </w:tc>
        <w:tc>
          <w:tcPr>
            <w:tcW w:w="52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Balance sheet line reference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6"/>
          </w:tcPr>
          <w:p>
            <w:pPr>
              <w:ind w:left="18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36"/>
        </w:trPr>
        <w:tc>
          <w:tcPr>
            <w:tcW w:w="3380" w:type="dxa"/>
            <w:vAlign w:val="bottom"/>
            <w:gridSpan w:val="2"/>
            <w:vMerge w:val="continue"/>
          </w:tcPr>
          <w:p>
            <w:pPr>
              <w:spacing w:after="0"/>
              <w:rPr>
                <w:sz w:val="11"/>
                <w:szCs w:val="11"/>
                <w:color w:val="auto"/>
              </w:rPr>
            </w:pPr>
          </w:p>
        </w:tc>
        <w:tc>
          <w:tcPr>
            <w:tcW w:w="5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5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assets—current</w:t>
            </w: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Contract assets—non-current</w:t>
            </w:r>
          </w:p>
        </w:tc>
        <w:tc>
          <w:tcPr>
            <w:tcW w:w="52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contract assets</w:t>
            </w:r>
          </w:p>
        </w:tc>
        <w:tc>
          <w:tcPr>
            <w:tcW w:w="5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Deferred revenue—current</w:t>
            </w:r>
          </w:p>
        </w:tc>
        <w:tc>
          <w:tcPr>
            <w:tcW w:w="522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revenue—non-current</w:t>
            </w: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2,922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8,865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23"/>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Total deferred revenue</w:t>
            </w:r>
          </w:p>
        </w:tc>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3,606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12,848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6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Deferred Revenue</w:t>
            </w:r>
          </w:p>
        </w:tc>
        <w:tc>
          <w:tcPr>
            <w:tcW w:w="160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35"/>
        </w:trPr>
        <w:tc>
          <w:tcPr>
            <w:tcW w:w="7700" w:type="dxa"/>
            <w:vAlign w:val="bottom"/>
            <w:gridSpan w:val="2"/>
            <w:vMerge w:val="continue"/>
          </w:tcPr>
          <w:p>
            <w:pPr>
              <w:spacing w:after="0"/>
              <w:rPr>
                <w:sz w:val="11"/>
                <w:szCs w:val="11"/>
                <w:color w:val="auto"/>
              </w:rPr>
            </w:pPr>
          </w:p>
        </w:tc>
        <w:tc>
          <w:tcPr>
            <w:tcW w:w="50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jc w:val="right"/>
              <w:ind w:right="24"/>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Borders>
              <w:top w:val="single" w:sz="8" w:color="auto"/>
            </w:tcBorders>
          </w:tcPr>
          <w:p>
            <w:pPr>
              <w:spacing w:after="0"/>
              <w:rPr>
                <w:sz w:val="12"/>
                <w:szCs w:val="12"/>
                <w:color w:val="auto"/>
              </w:rPr>
            </w:pPr>
          </w:p>
        </w:tc>
        <w:tc>
          <w:tcPr>
            <w:tcW w:w="65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top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$1,069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3,606</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3,606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$ 12,848</w:t>
            </w:r>
          </w:p>
        </w:tc>
        <w:tc>
          <w:tcPr>
            <w:tcW w:w="0" w:type="dxa"/>
            <w:vAlign w:val="bottom"/>
          </w:tcPr>
          <w:p>
            <w:pPr>
              <w:spacing w:after="0"/>
              <w:rPr>
                <w:sz w:val="1"/>
                <w:szCs w:val="1"/>
                <w:color w:val="auto"/>
              </w:rPr>
            </w:pPr>
          </w:p>
        </w:tc>
      </w:tr>
      <w:tr>
        <w:trPr>
          <w:trHeight w:val="202"/>
        </w:trPr>
        <w:tc>
          <w:tcPr>
            <w:tcW w:w="7700" w:type="dxa"/>
            <w:vAlign w:val="bottom"/>
            <w:gridSpan w:val="2"/>
          </w:tcPr>
          <w:p>
            <w:pPr>
              <w:spacing w:after="0" w:line="201" w:lineRule="exact"/>
              <w:rPr>
                <w:sz w:val="20"/>
                <w:szCs w:val="20"/>
                <w:color w:val="auto"/>
              </w:rPr>
            </w:pPr>
            <w:r>
              <w:rPr>
                <w:rFonts w:ascii="Arial" w:cs="Arial" w:eastAsia="Arial" w:hAnsi="Arial"/>
                <w:sz w:val="18"/>
                <w:szCs w:val="18"/>
                <w:color w:val="auto"/>
                <w:w w:val="95"/>
              </w:rPr>
              <w:t>Revenue recognized in the period from amounts included in deferred revenue at the beginning of the</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period</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(375)</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deferred revenue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9,906</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Balance at the end of the period</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3,606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3,694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Company has performance obligations associated with commitments in Customer contracts for future standready obligations to process Customer transactions throughout the contractual term. Remaining performance obligations include related deferred revenue currently recorded and exclude contracts for which the Company recognizes revenue at the amount to which it has the right to invoice for services as performed. The amount and timing of revenue recognition is largely driven by the customer’s utilization of the Platform services.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amortized cost, unrealized gain (loss), and estimated fair value of the Company’s investments in securities available for sale consisted of the following: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8"/>
              </w:rPr>
              <w:t>December 31, 2019</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Amortized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6"/>
            <w:vMerge w:val="restart"/>
          </w:tcPr>
          <w:p>
            <w:pPr>
              <w:jc w:val="right"/>
              <w:ind w:right="300"/>
              <w:spacing w:after="0"/>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960" w:type="dxa"/>
            <w:vAlign w:val="bottom"/>
            <w:gridSpan w:val="5"/>
          </w:tcPr>
          <w:p>
            <w:pPr>
              <w:jc w:val="right"/>
              <w:ind w:right="200"/>
              <w:spacing w:after="0"/>
              <w:rPr>
                <w:sz w:val="20"/>
                <w:szCs w:val="20"/>
                <w:color w:val="auto"/>
              </w:rPr>
            </w:pPr>
            <w:r>
              <w:rPr>
                <w:rFonts w:ascii="Arial" w:cs="Arial" w:eastAsia="Arial" w:hAnsi="Arial"/>
                <w:sz w:val="18"/>
                <w:szCs w:val="18"/>
                <w:color w:val="auto"/>
              </w:rPr>
              <w:t>$ 18,049</w:t>
            </w:r>
          </w:p>
        </w:tc>
        <w:tc>
          <w:tcPr>
            <w:tcW w:w="1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6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$ 18,064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9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19,237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960" w:type="dxa"/>
            <w:vAlign w:val="bottom"/>
            <w:gridSpan w:val="5"/>
          </w:tcPr>
          <w:p>
            <w:pPr>
              <w:jc w:val="right"/>
              <w:ind w:right="200"/>
              <w:spacing w:after="0"/>
              <w:rPr>
                <w:sz w:val="20"/>
                <w:szCs w:val="20"/>
                <w:color w:val="auto"/>
              </w:rPr>
            </w:pPr>
            <w:r>
              <w:rPr>
                <w:rFonts w:ascii="Arial" w:cs="Arial" w:eastAsia="Arial" w:hAnsi="Arial"/>
                <w:sz w:val="18"/>
                <w:szCs w:val="18"/>
                <w:color w:val="auto"/>
              </w:rPr>
              <w:t>25,014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ind w:left="2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32,856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1"/>
              </w:rPr>
              <w:t>$ 95,156</w:t>
            </w:r>
          </w:p>
        </w:tc>
        <w:tc>
          <w:tcPr>
            <w:tcW w:w="2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w w:val="79"/>
              </w:rPr>
              <w:t>74</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$ 95,225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100" w:type="dxa"/>
            <w:vAlign w:val="bottom"/>
            <w:gridSpan w:val="6"/>
          </w:tcPr>
          <w:p>
            <w:pPr>
              <w:jc w:val="right"/>
              <w:ind w:right="140"/>
              <w:spacing w:after="0"/>
              <w:rPr>
                <w:sz w:val="20"/>
                <w:szCs w:val="20"/>
                <w:color w:val="auto"/>
              </w:rPr>
            </w:pPr>
            <w:r>
              <w:rPr>
                <w:rFonts w:ascii="Arial" w:cs="Arial" w:eastAsia="Arial" w:hAnsi="Arial"/>
                <w:sz w:val="18"/>
                <w:szCs w:val="18"/>
                <w:color w:val="auto"/>
              </w:rPr>
              <w:t>$125,823</w:t>
            </w:r>
          </w:p>
        </w:tc>
        <w:tc>
          <w:tcPr>
            <w:tcW w:w="4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180"/>
              <w:spacing w:after="0"/>
              <w:rPr>
                <w:sz w:val="20"/>
                <w:szCs w:val="20"/>
                <w:color w:val="auto"/>
              </w:rPr>
            </w:pPr>
            <w:r>
              <w:rPr>
                <w:rFonts w:ascii="Arial" w:cs="Arial" w:eastAsia="Arial" w:hAnsi="Arial"/>
                <w:sz w:val="18"/>
                <w:szCs w:val="18"/>
                <w:color w:val="auto"/>
              </w:rPr>
              <w:t>47</w:t>
            </w:r>
          </w:p>
        </w:tc>
        <w:tc>
          <w:tcPr>
            <w:tcW w:w="66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$125,864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1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4,991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100" w:type="dxa"/>
            <w:vAlign w:val="bottom"/>
            <w:gridSpan w:val="6"/>
          </w:tcPr>
          <w:p>
            <w:pPr>
              <w:jc w:val="right"/>
              <w:ind w:right="140"/>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80" w:type="dxa"/>
            <w:vAlign w:val="bottom"/>
            <w:gridSpan w:val="2"/>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14,683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280" w:type="dxa"/>
            <w:vAlign w:val="bottom"/>
            <w:gridSpan w:val="2"/>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80" w:type="dxa"/>
            <w:vAlign w:val="bottom"/>
            <w:gridSpan w:val="3"/>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149,791</w:t>
            </w: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1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149,903</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560" w:type="dxa"/>
            <w:vAlign w:val="bottom"/>
          </w:tcPr>
          <w:p>
            <w:pPr>
              <w:spacing w:after="0"/>
              <w:rPr>
                <w:sz w:val="13"/>
                <w:szCs w:val="13"/>
                <w:color w:val="auto"/>
              </w:rPr>
            </w:pPr>
          </w:p>
        </w:tc>
        <w:tc>
          <w:tcPr>
            <w:tcW w:w="1100" w:type="dxa"/>
            <w:vAlign w:val="bottom"/>
            <w:gridSpan w:val="6"/>
          </w:tcPr>
          <w:p>
            <w:pPr>
              <w:jc w:val="right"/>
              <w:ind w:right="440"/>
              <w:spacing w:after="0" w:line="158"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3"/>
                <w:szCs w:val="13"/>
                <w:color w:val="auto"/>
              </w:rPr>
            </w:pPr>
          </w:p>
        </w:tc>
        <w:tc>
          <w:tcPr>
            <w:tcW w:w="1040" w:type="dxa"/>
            <w:vAlign w:val="bottom"/>
            <w:gridSpan w:val="7"/>
          </w:tcPr>
          <w:p>
            <w:pPr>
              <w:jc w:val="right"/>
              <w:ind w:right="360"/>
              <w:spacing w:after="0" w:line="158"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3"/>
                <w:szCs w:val="13"/>
                <w:color w:val="auto"/>
              </w:rPr>
            </w:pPr>
          </w:p>
        </w:tc>
        <w:tc>
          <w:tcPr>
            <w:tcW w:w="1040" w:type="dxa"/>
            <w:vAlign w:val="bottom"/>
            <w:gridSpan w:val="6"/>
          </w:tcPr>
          <w:p>
            <w:pPr>
              <w:spacing w:after="0" w:line="158"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5"/>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6"/>
          </w:tcPr>
          <w:p>
            <w:pPr>
              <w:ind w:left="120"/>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6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40" w:type="dxa"/>
            <w:vAlign w:val="bottom"/>
            <w:gridSpan w:val="4"/>
          </w:tcPr>
          <w:p>
            <w:pPr>
              <w:spacing w:after="0"/>
              <w:rPr>
                <w:sz w:val="20"/>
                <w:szCs w:val="20"/>
                <w:color w:val="auto"/>
              </w:rPr>
            </w:pPr>
            <w:r>
              <w:rPr>
                <w:rFonts w:ascii="Arial" w:cs="Arial" w:eastAsia="Arial" w:hAnsi="Arial"/>
                <w:sz w:val="13"/>
                <w:szCs w:val="13"/>
                <w:b w:val="1"/>
                <w:bCs w:val="1"/>
                <w:color w:val="auto"/>
                <w:w w:val="73"/>
              </w:rPr>
              <w:t>(unaudited)</w:t>
            </w:r>
          </w:p>
        </w:tc>
        <w:tc>
          <w:tcPr>
            <w:tcW w:w="48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w w:val="82"/>
              </w:rPr>
              <w:t>$ 115,507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8"/>
                <w:szCs w:val="18"/>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115,553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76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5,469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11,699</w:t>
            </w: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11,728</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680" w:type="dxa"/>
            <w:vAlign w:val="bottom"/>
            <w:gridSpan w:val="3"/>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140,064</w:t>
            </w:r>
          </w:p>
        </w:tc>
        <w:tc>
          <w:tcPr>
            <w:tcW w:w="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140,145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had four, six, and four separate marketable securities in unrealized loss positions as of December 31, 2019 and 2020, and March 31, 2021, respectively. The Company did not identify any marketable securities that were other-than-temporarily impaired as of December 31, 2019 and 2020, and March 31, 2021.</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stated maturities of the Company’s marketable securities: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62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$ 84,088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$ 84,149</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$ 149,791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$ 149,903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$ 140,064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$ 140,145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11,068</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$ 95,156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$ 95,225</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$ 149,791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$ 149,903</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$ 140,064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$ 140,145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Company’s financial instruments consist of cash equivalents, marketable securities, accounts receivable, unbilled customers’ receivable, settlements receivable, accounts payable, accrued liabilities, and redeemable convertible preferred stock warrant liabilities. Cash equivalents are stated at amortized cost, which approximates fair value at the balance sheet dates, due to the short period of time to maturity. Marketable securities are carried at fair value. Accounts receivable, unbilled customers’ receivable, settlements receivable, accounts payable, and accrued liabilities are stated at their carrying value, which approximates fair value due to the short time to the expected receipt or payment date. The redeemable convertible preferred stock warrant liabilities are carried at fair value.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Level 1</w:t>
            </w: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equivalents</w:t>
            </w:r>
          </w:p>
        </w:tc>
        <w:tc>
          <w:tcPr>
            <w:tcW w:w="3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19,047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19,047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securities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18,064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18,064</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19,237</w:t>
            </w: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25,040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32,884</w:t>
            </w: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37,111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79,652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116,763</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Other Liabilities</w:t>
            </w:r>
          </w:p>
        </w:tc>
        <w:tc>
          <w:tcPr>
            <w:tcW w:w="3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liabilities</w:t>
            </w:r>
          </w:p>
        </w:tc>
        <w:tc>
          <w:tcPr>
            <w:tcW w:w="3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620" w:type="dxa"/>
            <w:vAlign w:val="bottom"/>
          </w:tcPr>
          <w:p>
            <w:pPr>
              <w:spacing w:after="0"/>
              <w:rPr>
                <w:sz w:val="24"/>
                <w:szCs w:val="24"/>
                <w:color w:val="auto"/>
              </w:rPr>
            </w:pPr>
          </w:p>
        </w:tc>
        <w:tc>
          <w:tcPr>
            <w:tcW w:w="3320" w:type="dxa"/>
            <w:vAlign w:val="bottom"/>
            <w:gridSpan w:val="2"/>
          </w:tcPr>
          <w:p>
            <w:pPr>
              <w:jc w:val="right"/>
              <w:ind w:right="2187"/>
              <w:spacing w:after="0"/>
              <w:rPr>
                <w:sz w:val="20"/>
                <w:szCs w:val="20"/>
                <w:color w:val="auto"/>
              </w:rPr>
            </w:pPr>
            <w:r>
              <w:rPr>
                <w:rFonts w:ascii="Arial" w:cs="Arial" w:eastAsia="Arial" w:hAnsi="Arial"/>
                <w:sz w:val="18"/>
                <w:szCs w:val="18"/>
                <w:color w:val="auto"/>
              </w:rPr>
              <w:t>F-21</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Level 1</w:t>
            </w: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0"/>
                <w:szCs w:val="10"/>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203,592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$ 203,592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125,864</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14,733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329,456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24,039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$ 353,495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2,517</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2,517</w:t>
            </w:r>
          </w:p>
        </w:tc>
        <w:tc>
          <w:tcPr>
            <w:tcW w:w="1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center"/>
              <w:ind w:left="33"/>
              <w:spacing w:after="0"/>
              <w:rPr>
                <w:sz w:val="20"/>
                <w:szCs w:val="20"/>
                <w:color w:val="auto"/>
              </w:rPr>
            </w:pPr>
            <w:r>
              <w:rPr>
                <w:rFonts w:ascii="Arial" w:cs="Arial" w:eastAsia="Arial" w:hAnsi="Arial"/>
                <w:sz w:val="14"/>
                <w:szCs w:val="14"/>
                <w:b w:val="1"/>
                <w:bCs w:val="1"/>
                <w:color w:val="auto"/>
                <w:w w:val="94"/>
              </w:rPr>
              <w:t>March 31, 2021</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Level 1</w:t>
            </w: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0"/>
                <w:szCs w:val="10"/>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jc w:val="center"/>
              <w:ind w:left="53"/>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212,476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$ 212,476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115,553</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115,553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5,475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11,728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11,728</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328,029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24,592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$ 352,621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$ 4,827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$ 4,827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classifies money market funds, commercial paper, U.S. government securities, asset-backed securities and corporate securities within Level 1 or Level 2 of the fair value hierarchy because the Company values these investments using quoted market prices or alternative pricing sources and models utilizing market observable inputs.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classified the redeemable convertible preferred stock warrants within Level 3 because the Company determines their fair value using unobservable inputs, including the fair value of the Company’s redeemable Series B convertible stock, which the Company determines in the same manner as the fair value of the common stock. The Company records the change in the fair value of redeemable convertible preferred stock warrants in other income (expense), net in the consolidated statements of operations.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 redeemable convertible preferred stock warrant liabilities was estimated using the following assumptions: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6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2780" w:type="dxa"/>
            <w:vAlign w:val="bottom"/>
            <w:gridSpan w:val="3"/>
          </w:tcPr>
          <w:p>
            <w:pPr>
              <w:jc w:val="right"/>
              <w:ind w:right="440"/>
              <w:spacing w:after="0"/>
              <w:rPr>
                <w:sz w:val="20"/>
                <w:szCs w:val="20"/>
                <w:color w:val="auto"/>
              </w:rPr>
            </w:pPr>
            <w:r>
              <w:rPr>
                <w:rFonts w:ascii="Arial" w:cs="Arial" w:eastAsia="Arial" w:hAnsi="Arial"/>
                <w:sz w:val="18"/>
                <w:szCs w:val="18"/>
                <w:color w:val="auto"/>
              </w:rPr>
              <w:t>43.7%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49.9%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3.8</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gridSpan w:val="3"/>
          </w:tcPr>
          <w:p>
            <w:pPr>
              <w:jc w:val="right"/>
              <w:ind w:right="44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B redeemable convertible preferred stock</w:t>
            </w:r>
          </w:p>
        </w:tc>
        <w:tc>
          <w:tcPr>
            <w:tcW w:w="2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$3.07</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$12.66</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24.00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 liabilities: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36"/>
        </w:trPr>
        <w:tc>
          <w:tcPr>
            <w:tcW w:w="8640" w:type="dxa"/>
            <w:vAlign w:val="bottom"/>
          </w:tcPr>
          <w:p>
            <w:pPr>
              <w:spacing w:after="0"/>
              <w:rPr>
                <w:sz w:val="11"/>
                <w:szCs w:val="11"/>
                <w:color w:val="auto"/>
              </w:rPr>
            </w:pPr>
          </w:p>
        </w:tc>
        <w:tc>
          <w:tcPr>
            <w:tcW w:w="3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2019</w:t>
            </w: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5"/>
              <w:spacing w:after="0" w:line="13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1"/>
                <w:szCs w:val="11"/>
                <w:color w:val="auto"/>
              </w:rPr>
            </w:pPr>
          </w:p>
        </w:tc>
      </w:tr>
      <w:tr>
        <w:trPr>
          <w:trHeight w:val="142"/>
        </w:trPr>
        <w:tc>
          <w:tcPr>
            <w:tcW w:w="8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(unaudited)</w:t>
            </w:r>
          </w:p>
        </w:tc>
        <w:tc>
          <w:tcPr>
            <w:tcW w:w="40" w:type="dxa"/>
            <w:vAlign w:val="bottom"/>
          </w:tcPr>
          <w:p>
            <w:pPr>
              <w:spacing w:after="0"/>
              <w:rPr>
                <w:sz w:val="12"/>
                <w:szCs w:val="1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4"/>
              </w:rPr>
              <w:t>$456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2,517</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Remeasurement of redeemable convertible preferred stock warrant liabilities</w:t>
            </w: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1,948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2,310</w:t>
            </w:r>
          </w:p>
        </w:tc>
      </w:tr>
      <w:tr>
        <w:trPr>
          <w:trHeight w:val="27"/>
        </w:trPr>
        <w:tc>
          <w:tcPr>
            <w:tcW w:w="8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the period</w:t>
            </w: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2,517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4,827</w:t>
            </w:r>
          </w:p>
        </w:tc>
      </w:tr>
      <w:tr>
        <w:trPr>
          <w:trHeight w:val="20"/>
        </w:trPr>
        <w:tc>
          <w:tcPr>
            <w:tcW w:w="8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There were no transfers of financial instruments between the fair value hierarchy levels during the years ended December 31, 2019 and 2020, and the three months ended March 31, 2021.</w:t>
      </w:r>
    </w:p>
    <w:p>
      <w:pPr>
        <w:spacing w:after="0" w:line="274" w:lineRule="exact"/>
        <w:rPr>
          <w:sz w:val="20"/>
          <w:szCs w:val="20"/>
          <w:color w:val="auto"/>
        </w:rPr>
      </w:pPr>
    </w:p>
    <w:p>
      <w:pPr>
        <w:ind w:left="120" w:right="7620" w:hanging="4"/>
        <w:spacing w:after="0" w:line="425" w:lineRule="auto"/>
        <w:tabs>
          <w:tab w:leader="none" w:pos="30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Certain Balance Sheet Components Prepaid Expenses and Other Current Assets</w:t>
      </w:r>
    </w:p>
    <w:p>
      <w:pPr>
        <w:ind w:left="1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Card program deposits</w:t>
            </w:r>
          </w:p>
        </w:tc>
        <w:tc>
          <w:tcPr>
            <w:tcW w:w="5020" w:type="dxa"/>
            <w:vAlign w:val="bottom"/>
            <w:gridSpan w:val="3"/>
          </w:tcPr>
          <w:p>
            <w:pPr>
              <w:jc w:val="right"/>
              <w:ind w:right="260"/>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2,167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Unbilled customers’ receivable</w:t>
            </w:r>
          </w:p>
        </w:tc>
        <w:tc>
          <w:tcPr>
            <w:tcW w:w="5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current assets</w:t>
            </w:r>
          </w:p>
        </w:tc>
        <w:tc>
          <w:tcPr>
            <w:tcW w:w="42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3,125</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3,295</w:t>
            </w:r>
          </w:p>
        </w:tc>
      </w:tr>
      <w:tr>
        <w:trPr>
          <w:trHeight w:val="27"/>
        </w:trPr>
        <w:tc>
          <w:tcPr>
            <w:tcW w:w="4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4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11,461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11,290</w:t>
            </w:r>
          </w:p>
        </w:tc>
      </w:tr>
      <w:tr>
        <w:trPr>
          <w:trHeight w:val="20"/>
        </w:trPr>
        <w:tc>
          <w:tcPr>
            <w:tcW w:w="4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5020" w:type="dxa"/>
            <w:vAlign w:val="bottom"/>
            <w:gridSpan w:val="3"/>
          </w:tcPr>
          <w:p>
            <w:pPr>
              <w:jc w:val="right"/>
              <w:ind w:right="3680"/>
              <w:spacing w:after="0"/>
              <w:rPr>
                <w:sz w:val="20"/>
                <w:szCs w:val="20"/>
                <w:color w:val="auto"/>
              </w:rPr>
            </w:pPr>
            <w:r>
              <w:rPr>
                <w:rFonts w:ascii="Arial" w:cs="Arial" w:eastAsia="Arial" w:hAnsi="Arial"/>
                <w:sz w:val="18"/>
                <w:szCs w:val="18"/>
                <w:color w:val="auto"/>
              </w:rPr>
              <w:t>F-23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8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r>
      <w:tr>
        <w:trPr>
          <w:trHeight w:val="142"/>
        </w:trPr>
        <w:tc>
          <w:tcPr>
            <w:tcW w:w="8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8,110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7,634</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7,499</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2,416</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Internally developed and purchased software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1,345</w:t>
            </w:r>
          </w:p>
        </w:tc>
      </w:tr>
      <w:tr>
        <w:trPr>
          <w:trHeight w:val="27"/>
        </w:trPr>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19,376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(6,572)</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(9,899)</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(10,608)</w:t>
            </w:r>
          </w:p>
        </w:tc>
      </w:tr>
      <w:tr>
        <w:trPr>
          <w:trHeight w:val="27"/>
        </w:trPr>
        <w:tc>
          <w:tcPr>
            <w:tcW w:w="8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9,152</w:t>
            </w:r>
          </w:p>
        </w:tc>
      </w:tr>
      <w:tr>
        <w:trPr>
          <w:trHeight w:val="20"/>
        </w:trPr>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Depreciation and amortization expense for the years ended December 31, 2019 and 2020, and three months ended March 31, 2020 and 2021 was $3.1 million, $3.5 million, $0.9 million, and $0.9 million respectively.</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During the years ended December 31, 2019 and 2020, and the three months ended March 31, 2021, the Company did not capitalize any internal-use software costs because development costs meeting capitalization criteria were not material during the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4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costs of revenue</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$10,475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$24,529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31,220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4560" w:type="dxa"/>
            <w:vAlign w:val="bottom"/>
            <w:gridSpan w:val="3"/>
          </w:tcPr>
          <w:p>
            <w:pPr>
              <w:jc w:val="right"/>
              <w:ind w:right="380"/>
              <w:spacing w:after="0"/>
              <w:rPr>
                <w:sz w:val="20"/>
                <w:szCs w:val="20"/>
                <w:color w:val="auto"/>
              </w:rPr>
            </w:pPr>
            <w:r>
              <w:rPr>
                <w:rFonts w:ascii="Arial" w:cs="Arial" w:eastAsia="Arial" w:hAnsi="Arial"/>
                <w:sz w:val="18"/>
                <w:szCs w:val="18"/>
                <w:color w:val="auto"/>
              </w:rPr>
              <w:t>7,617</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14,078</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8,969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Reserve for contract contingencies and processing errors</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3,770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9,537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Deferred revenue</w:t>
            </w:r>
          </w:p>
        </w:tc>
        <w:tc>
          <w:tcPr>
            <w:tcW w:w="4560" w:type="dxa"/>
            <w:vAlign w:val="bottom"/>
            <w:gridSpan w:val="3"/>
          </w:tcPr>
          <w:p>
            <w:pPr>
              <w:jc w:val="right"/>
              <w:ind w:right="380"/>
              <w:spacing w:after="0"/>
              <w:rPr>
                <w:sz w:val="20"/>
                <w:szCs w:val="20"/>
                <w:color w:val="auto"/>
              </w:rPr>
            </w:pPr>
            <w:r>
              <w:rPr>
                <w:rFonts w:ascii="Arial" w:cs="Arial" w:eastAsia="Arial" w:hAnsi="Arial"/>
                <w:sz w:val="18"/>
                <w:szCs w:val="18"/>
                <w:color w:val="auto"/>
              </w:rPr>
              <w:t>684</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3,983</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6,343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2,066</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4560" w:type="dxa"/>
            <w:vAlign w:val="bottom"/>
            <w:gridSpan w:val="3"/>
          </w:tcPr>
          <w:p>
            <w:pPr>
              <w:jc w:val="right"/>
              <w:ind w:right="380"/>
              <w:spacing w:after="0"/>
              <w:rPr>
                <w:sz w:val="20"/>
                <w:szCs w:val="20"/>
                <w:color w:val="auto"/>
              </w:rPr>
            </w:pPr>
            <w:r>
              <w:rPr>
                <w:rFonts w:ascii="Arial" w:cs="Arial" w:eastAsia="Arial" w:hAnsi="Arial"/>
                <w:sz w:val="18"/>
                <w:szCs w:val="18"/>
                <w:color w:val="auto"/>
              </w:rPr>
              <w:t>1,237</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2,302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4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5,824</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6,511</w:t>
            </w: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5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31,673</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60,545</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69,448</w:t>
            </w:r>
          </w:p>
        </w:tc>
        <w:tc>
          <w:tcPr>
            <w:tcW w:w="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4560" w:type="dxa"/>
            <w:vAlign w:val="bottom"/>
            <w:gridSpan w:val="3"/>
          </w:tcPr>
          <w:p>
            <w:pPr>
              <w:ind w:left="640"/>
              <w:spacing w:after="0"/>
              <w:rPr>
                <w:sz w:val="20"/>
                <w:szCs w:val="20"/>
                <w:color w:val="auto"/>
              </w:rPr>
            </w:pPr>
            <w:r>
              <w:rPr>
                <w:rFonts w:ascii="Arial" w:cs="Arial" w:eastAsia="Arial" w:hAnsi="Arial"/>
                <w:sz w:val="18"/>
                <w:szCs w:val="18"/>
                <w:color w:val="auto"/>
              </w:rPr>
              <w:t>F-24</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liabilities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8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8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$2,922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8,865</w:t>
            </w:r>
          </w:p>
        </w:tc>
        <w:tc>
          <w:tcPr>
            <w:tcW w:w="1040" w:type="dxa"/>
            <w:vAlign w:val="bottom"/>
          </w:tcPr>
          <w:p>
            <w:pPr>
              <w:jc w:val="right"/>
              <w:spacing w:after="0"/>
              <w:rPr>
                <w:sz w:val="20"/>
                <w:szCs w:val="20"/>
                <w:color w:val="auto"/>
              </w:rPr>
            </w:pPr>
            <w:r>
              <w:rPr>
                <w:rFonts w:ascii="Arial" w:cs="Arial" w:eastAsia="Arial" w:hAnsi="Arial"/>
                <w:sz w:val="18"/>
                <w:szCs w:val="18"/>
                <w:color w:val="auto"/>
              </w:rPr>
              <w:t>$8,060</w:t>
            </w:r>
          </w:p>
        </w:tc>
        <w:tc>
          <w:tcPr>
            <w:tcW w:w="2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18"/>
                <w:szCs w:val="18"/>
                <w:color w:val="auto"/>
              </w:rPr>
            </w:pPr>
          </w:p>
        </w:tc>
      </w:tr>
      <w:tr>
        <w:trPr>
          <w:trHeight w:val="223"/>
        </w:trPr>
        <w:tc>
          <w:tcPr>
            <w:tcW w:w="816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3,300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10,452</w:t>
            </w:r>
          </w:p>
        </w:tc>
        <w:tc>
          <w:tcPr>
            <w:tcW w:w="3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$9,650</w:t>
            </w:r>
          </w:p>
        </w:tc>
        <w:tc>
          <w:tcPr>
            <w:tcW w:w="2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Loan and Security Agreement</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2018, the Company had an outstanding principal balance of $5.0 million under a loan and security agreement. On December 2, 2019, the Company repaid the outstanding principal balance of $5.0 million under this agreement in full and terminated this loan facility.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2016, the Company entered into a lease agreement for its corporate headquarters in Oakland, California for 19,000 square feet of office space, which was subsequently amended resulting in a total of approximately 63,000 square feet of office space being leased. The non-cancellable operating lease expires in February 2026 and includes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that exceed the amount of base operating expenses as defined in the original lease agreement.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operating lease costs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Year Ended December 31,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70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142"/>
        </w:trPr>
        <w:tc>
          <w:tcPr>
            <w:tcW w:w="37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(unaudited)</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Operating lease cost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3,514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Short-term lease cost</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7"/>
        </w:trPr>
        <w:tc>
          <w:tcPr>
            <w:tcW w:w="3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r>
      <w:tr>
        <w:trPr>
          <w:trHeight w:val="20"/>
        </w:trPr>
        <w:tc>
          <w:tcPr>
            <w:tcW w:w="3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does not have any sublease income and the Company’s lease agreements do not contain any residual value guarantees or material restrictive covenants.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weighted average remaining operating lease term and the weighted average discount rate used in the calculation of the Company’s lease assets and lease liabilities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Weighted average remaining operating lease term (in years)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gridSpan w:val="4"/>
          </w:tcPr>
          <w:p>
            <w:pPr>
              <w:jc w:val="right"/>
              <w:ind w:right="180"/>
              <w:spacing w:after="0"/>
              <w:rPr>
                <w:sz w:val="20"/>
                <w:szCs w:val="20"/>
                <w:color w:val="auto"/>
              </w:rPr>
            </w:pPr>
            <w:r>
              <w:rPr>
                <w:rFonts w:ascii="Arial" w:cs="Arial" w:eastAsia="Arial" w:hAnsi="Arial"/>
                <w:sz w:val="18"/>
                <w:szCs w:val="18"/>
                <w:color w:val="auto"/>
              </w:rPr>
              <w:t>6.1</w:t>
            </w:r>
          </w:p>
        </w:tc>
        <w:tc>
          <w:tcPr>
            <w:tcW w:w="920" w:type="dxa"/>
            <w:vAlign w:val="bottom"/>
            <w:gridSpan w:val="4"/>
          </w:tcPr>
          <w:p>
            <w:pPr>
              <w:ind w:left="40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9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2"/>
              </w:rPr>
              <w:t>7.7%</w:t>
            </w: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0"/>
                <w:szCs w:val="20"/>
                <w:color w:val="auto"/>
              </w:rPr>
            </w:pPr>
            <w:r>
              <w:rPr>
                <w:rFonts w:ascii="Arial" w:cs="Arial" w:eastAsia="Arial" w:hAnsi="Arial"/>
                <w:sz w:val="18"/>
                <w:szCs w:val="18"/>
                <w:color w:val="auto"/>
              </w:rPr>
              <w:t>Maturities of operating lease liabilities by year are as follows: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(unaudited)</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2021 or remainder of 2021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4,081</w:t>
            </w:r>
          </w:p>
        </w:tc>
        <w:tc>
          <w:tcPr>
            <w:tcW w:w="3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4,239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4,599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22,283</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21,250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18,220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17,534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w w:val="95"/>
              </w:rPr>
              <w:t>Other information related to the Company’s operating leases were as follows:</w:t>
            </w: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5"/>
              </w:rPr>
              <w:t>Year Ended December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13"/>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4"/>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gridSpan w:val="6"/>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3,185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3,192</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899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2,954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connection with the lease for its corporate headquarters office space, the Company is required to provide the landlord a letter of credit in the amount of $1.5 million. The Company has secured this letter of credit by depositing $1.5 million with the issuing financial institution, which deposit is classified as restricted cash in the consolidated balance sheets.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Purchase Obligations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of December 31, 2020, and March 31, 2021, the Company had non-cancellable purchase commitments with certain service providers and Issuing Banks totaling approximately $13.6 million and $9.9 million, respectively, payable over 4 and 5 years, respectively. These purchase obligations generally represent minimum commitments for cloud-computing services and Issuing Bank processing fees over the fixed, non-cancellable respective contract terms.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Employee Benefit Plan</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Company maintains defined contribution plans for eligible employees, including a 401(k) plan that covers substantially all of its U.S. based employees and to which the Company provides a matching contribution of 50% of the first 6% of compensation that an employee contributes. The 401(k) plan matching contribution vests after one year of service. During the years ended December 31, 2019 and 2020, and the three months ended March 31, 2020 and 2021, the Company contributed $1.1 million, $1.9 million, $0.5 million, and $0.8 million to its defined contribution plans,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Legal Contingencies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As of December 31, 2019 and 2020, and March 31, 2021, there were no legal contingency matters, either individually or in aggregate, that would have a material adverse effect on the financial position, results of operations, or cash flows of the Company. Given the unpredictable nature of legal proceedings, the Company bases its assessment on the information available at the time. As additional information becomes available, the Company reassesses the potential liability and may revise the estimate.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 of Payment Transactions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consolidated balance sheets. If a Customer does not have sufficient funds to settle a transaction, the Company is liable to the Issuing Bank to settle the transaction and would therefore incur losses if such amounts cannot be subsequently recovered from the Customer.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Indemnifications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vendors, lessors, business partners, and other parties with respect to certain matters, including, but not limited to, losses arising out of the breach of such agreements, services to be provided by the Company or from intellectual property infringement claims made by third parties. 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consolidated balance sheets, consolidated statements of operations, consolidated statements of comprehensive loss, or consolidated statements of cash flows.</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those Customers to receive credits in the event the Company fails to meet those levels.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Non-income Taxes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is subject to state and local indirect taxes in various jurisdictions in the United States. In several of these jurisdictions the Company has reviewed and concluded that such indirect taxes are not applicable to the Company’s service offerings. In a few of these jurisdictions the tax regulations are less clear. While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Company believes its service offerings are not subject to tax in these jurisdictions, the Company is working with the respective state and local tax authorities to confirm the Company’s conclusions. The Company has not recorded a liability associated with these matters as of December 31, 2019 and 2020 and March 31, 2021 as it believes it is not probable that the indirect taxes are applicable to the Company. In the event that adverse information is received in response to the Company’s state inquiries, and the Company chooses not to appeal, a potential range of tax liabilities would be $1.2 million to $4.8 million as of December 31, 2020, and $1.4 million to $5.6 million as of March 31, 2021.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2019, the Company sold 38,552,482 shares of Series E redeemable convertible preferred stock at a purchase price of $3.891 per share, for an aggregate purchase price of $150.0 million. Offering costs of $7.0 million were paid and recorded as an offset to these proceeds.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the year ended December 31, 2020, the Company sold 20,989,756 shares of Series E-1 redeemable convertible preferred stock at a purchase price of $8.337 per share, for an aggregate purchase price of $175.0 million. Offering costs of $8.1 million were paid and recorded as an offset to these proceeds.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redeemable convertible preferred stock authorized and issued and outstanding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left="456"/>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Shares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0"/>
                <w:szCs w:val="10"/>
                <w:color w:val="auto"/>
              </w:rPr>
            </w:pPr>
          </w:p>
        </w:tc>
        <w:tc>
          <w:tcPr>
            <w:tcW w:w="720" w:type="dxa"/>
            <w:vAlign w:val="bottom"/>
          </w:tcPr>
          <w:p>
            <w:pPr>
              <w:jc w:val="center"/>
              <w:ind w:right="11"/>
              <w:spacing w:after="0" w:line="119" w:lineRule="exact"/>
              <w:rPr>
                <w:sz w:val="20"/>
                <w:szCs w:val="20"/>
                <w:color w:val="auto"/>
              </w:rPr>
            </w:pPr>
            <w:r>
              <w:rPr>
                <w:rFonts w:ascii="Arial" w:cs="Arial" w:eastAsia="Arial" w:hAnsi="Arial"/>
                <w:sz w:val="13"/>
                <w:szCs w:val="13"/>
                <w:b w:val="1"/>
                <w:bCs w:val="1"/>
                <w:color w:val="auto"/>
                <w:w w:val="96"/>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authorized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58,408,050</w:t>
            </w:r>
          </w:p>
        </w:tc>
        <w:tc>
          <w:tcPr>
            <w:tcW w:w="1080" w:type="dxa"/>
            <w:vAlign w:val="bottom"/>
          </w:tcPr>
          <w:p>
            <w:pPr>
              <w:jc w:val="right"/>
              <w:spacing w:after="0"/>
              <w:rPr>
                <w:sz w:val="20"/>
                <w:szCs w:val="20"/>
                <w:color w:val="auto"/>
              </w:rPr>
            </w:pPr>
            <w:r>
              <w:rPr>
                <w:rFonts w:ascii="Arial" w:cs="Arial" w:eastAsia="Arial" w:hAnsi="Arial"/>
                <w:sz w:val="18"/>
                <w:szCs w:val="18"/>
                <w:color w:val="auto"/>
              </w:rPr>
              <w:t>58,204,440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16,966</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17,153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62,114,648</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62,114,648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22,975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28,734,078</w:t>
            </w:r>
          </w:p>
        </w:tc>
        <w:tc>
          <w:tcPr>
            <w:tcW w:w="1080" w:type="dxa"/>
            <w:vAlign w:val="bottom"/>
          </w:tcPr>
          <w:p>
            <w:pPr>
              <w:jc w:val="right"/>
              <w:spacing w:after="0"/>
              <w:rPr>
                <w:sz w:val="20"/>
                <w:szCs w:val="20"/>
                <w:color w:val="auto"/>
              </w:rPr>
            </w:pPr>
            <w:r>
              <w:rPr>
                <w:rFonts w:ascii="Arial" w:cs="Arial" w:eastAsia="Arial" w:hAnsi="Arial"/>
                <w:sz w:val="18"/>
                <w:szCs w:val="18"/>
                <w:color w:val="auto"/>
              </w:rPr>
              <w:t>28,734,078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28,461</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31,094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34,634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33,185,680</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33,185,680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66,824,303</w:t>
            </w:r>
          </w:p>
        </w:tc>
        <w:tc>
          <w:tcPr>
            <w:tcW w:w="1080" w:type="dxa"/>
            <w:vAlign w:val="bottom"/>
          </w:tcPr>
          <w:p>
            <w:pPr>
              <w:jc w:val="right"/>
              <w:spacing w:after="0"/>
              <w:rPr>
                <w:sz w:val="20"/>
                <w:szCs w:val="20"/>
                <w:color w:val="auto"/>
              </w:rPr>
            </w:pPr>
            <w:r>
              <w:rPr>
                <w:rFonts w:ascii="Arial" w:cs="Arial" w:eastAsia="Arial" w:hAnsi="Arial"/>
                <w:sz w:val="18"/>
                <w:szCs w:val="18"/>
                <w:color w:val="auto"/>
              </w:rPr>
              <w:t>66,824,303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142,990</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223,668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337,047,188</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336,843,578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378,707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left="416"/>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Shares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authorized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58,408,050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58,204,440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60,434,352</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60,434,352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28,734,078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28,734,078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33,185,680</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33,185,680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66,824,303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66,824,303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142,990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20,989,756</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20,989,756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166,942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352,047,950</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351,844,340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422,133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501,881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left="416"/>
              <w:spacing w:after="0"/>
              <w:rPr>
                <w:sz w:val="20"/>
                <w:szCs w:val="20"/>
                <w:color w:val="auto"/>
              </w:rPr>
            </w:pPr>
            <w:r>
              <w:rPr>
                <w:rFonts w:ascii="Arial" w:cs="Arial" w:eastAsia="Arial" w:hAnsi="Arial"/>
                <w:sz w:val="14"/>
                <w:szCs w:val="14"/>
                <w:b w:val="1"/>
                <w:bCs w:val="1"/>
                <w:color w:val="auto"/>
                <w:w w:val="96"/>
              </w:rPr>
              <w:t>March 31, 2021</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8"/>
                <w:szCs w:val="8"/>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authorized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58,408,050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58,204,440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60,434,352</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60,434,352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28,734,078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28,734,078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33,185,680</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33,185,680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66,824,303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66,824,303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142,990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20,989,756</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20,989,756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166,942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352,047,950</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351,844,340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422,133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501,881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Exchange of Common Stock for Series E Redeemable Convertible Preferred Stock</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addition to the issuance of Series E redeemable convertible preferred stock for cash proceeds discussed above, the Company in April 2019 also issued 11,074,661 shares of Series E redeemable convertible preferred stock in exchange for the same number of shares of common stock owned by certain employees. The third-party investors purchased the common stock from certain employees for the Series E redeemable convertible preferred stock</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price of $3.891 per share. The Company did not receive cash for the issuance of these shares of Series E redeemable convertible preferred stock. The Company recorded $13.7 million in share-based compensation expense in 2019 for the difference between the aggregate price paid for common stock shares sold by employees to the third-party investors and the aggregate estimated fair value of the common stock exchanged. The Company reclassified the carrying value of the common stock of $13.8 million from additional paid-in-capital to redeemable convertible preferred stock on the consolidated balance sheet. There were no such transactions in 2020 or during the three months ended March 31,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u w:val="single" w:color="auto"/>
          <w:color w:val="auto"/>
        </w:rPr>
        <w:t>Exchange of Series A and Series C Redeemable Convertible Preferred Stock for Series E Redeemable Convertible Preferred Stock</w:t>
      </w:r>
    </w:p>
    <w:p>
      <w:pPr>
        <w:spacing w:after="0" w:line="1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Additionally during April 2019, the Company exchanged 10,771,746 shares and 6,425,413 shares of Series A and Series C redeemable convertible preferred stock, respectively, owned by non-employee stockholders, for 17,197,159 shares of Series E redeemable convertible preferred stock. Third-party investors purchased the Series A and Series C redeemable convertible preferred stock from these non-employee stockholders for the Series E redeemable convertible preferred stock price of $3.891 per share. The Company did not receive cash for the issuance of these shares of Series E redeemable convertible preferred stock. The amount paid by the third-party investors in excess of the carrying value of Series A and Series C redeemable convertible preferred stock was considered a deemed dividend provided by the Company to the non-employee selling stockholders. The Company recorded a deemed dividend of $64.1 million in 2019 through additional-paid-in capital, to the extent available, and accumulated deficit. The shares of Series A and Series C redeemable convertible preferred stock that were exchanged were retired and have been removed from the authorized, issued and outstanding number of shares on the consolidated balance sheets and consolidated statements of redeemable convertible preferred stock and stockholders’ deficit as of December 31, 2019. There were no such transactions in 2020 or during the three months ended March 31, 2021.</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Conversion of Series A and Series C redeemable convertible preferred stock to common stock</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During August 2020, the Company converted 5,988,994 shares of Series A and Series C redeemable convertible preferred stock, owned by non-employee stockholders, for the same number of shares of common stock, at the request of the holders based on the conversion terms specified in the original agreements. The Company did not receive cash for the issuance of these shares of common stock. The carrying value of the converted Series A and Series C redeemable convertible preferred stock of $0.8 million was reclassified to common stock par value and additional paid-in-capital upon conversion. The shares of Series A and Series C redeemable convertible preferred stock that were converted were retired and have been removed from the authorized, issued and outstanding number of shares on the consolidated balance sheets and consolidated statements of redeemable convertible preferred stock and stockholders’ deficit as of December 31, 2020.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holders of redeemable convertible preferred stock at December 31, 2020 and March 31, 2021 have various rights and preferences as follows:</w:t>
      </w:r>
    </w:p>
    <w:p>
      <w:pPr>
        <w:spacing w:after="0" w:line="24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—The holders of redeemable convertible preferred stock have no voluntary rights to redeem shares. The redeemable convertible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has deemed liquidation provisions which require the shares to be redeemed upon any liquidation, dissolution, or winding up of the Company, whether voluntary or involuntary, or a Liquidation Event. Although the redeemable convertible preferred stock is not mandatorily or currently redeemable, a deemed Liquidation Event could constitute a redemption event outside the Company’s control. Therefore, all shares of redeemable convertible preferred stock have been presented outside of permanent equity. The Company recorded all shares of redeemable convertible preferred stock at their respective issuance price less issuance costs on the dates of issuance. Given the Company’s performance and financial condition, the Company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currently does not believe a Liquidation Event is probable. The carrying values of the Company’s redeemable convertible preferred stock have not been accreted to their redemption values as the Liquidation Event is not considered probable of occurring. Subsequent adjustments of the carrying values to redemption values will be made only if and when it becomes probable the preferred shares will become redeemable.</w:t>
      </w:r>
    </w:p>
    <w:p>
      <w:pPr>
        <w:spacing w:after="0" w:line="16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b w:val="1"/>
          <w:bCs w:val="1"/>
          <w:i w:val="1"/>
          <w:iCs w:val="1"/>
          <w:color w:val="auto"/>
        </w:rPr>
        <w:t>Liquidation Preference</w:t>
      </w:r>
      <w:r>
        <w:rPr>
          <w:rFonts w:ascii="Arial" w:cs="Arial" w:eastAsia="Arial" w:hAnsi="Arial"/>
          <w:sz w:val="18"/>
          <w:szCs w:val="18"/>
          <w:i w:val="1"/>
          <w:iCs w:val="1"/>
          <w:color w:val="auto"/>
        </w:rPr>
        <w:t>—</w:t>
      </w:r>
      <w:r>
        <w:rPr>
          <w:rFonts w:ascii="Arial" w:cs="Arial" w:eastAsia="Arial" w:hAnsi="Arial"/>
          <w:sz w:val="18"/>
          <w:szCs w:val="18"/>
          <w:color w:val="auto"/>
        </w:rPr>
        <w:t>In the event of any Liquidation Event (as defined above) of the Company, the holders of Series E-1, Series E, Series D-1,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D redeemable convertible preferred stock shall be entitled to receive a payout of $8.337, $3.891, $1.205, and $1.205 per share, respectively, plus any declared and unpaid dividends, prior and in preference to any distributions made to the holders of Series C, Series B, and Series A redeemable convertible preferred stock and to the holders of common stock.</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the assets and funds distributed among the holders of the Series E-1, Series E, Series D-1 and Series D redeemable convertible preferred stock are insufficient to permit payment to such holders of the full preferential amount, then the entire assets and funds of the Company legally available for distribution shall be distributed ratably among the holders of the Series E-1, Series E, Series D-1, and Series D redeemable convertible preferred stock in proportion to the preferential amount each such holder is otherwise entitled to receive.</w:t>
      </w:r>
    </w:p>
    <w:p>
      <w:pPr>
        <w:spacing w:after="0" w:line="18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After the payment of the full liquidation preference of the Series E-1, Series E, Series D-1, and Series D redeemable convertible preferred stock, the holders of Series C, Series B and Series A redeemable convertible preferred stock are entitled to receive an amount equal to $0.353, $0.295, and $0.057 per share, respectively, plus any declared but unpaid dividends, prior and in preference to any distributions made to the holders of common stock. If the remaining assets and funds distributed among the holders of the Series C, Series B, and Series A redeemable convertible preferred stock are insufficient to permit payment to such holders of the full preferential amount, then all assets and funds of the Company legally available for distribution shall be distributed ratably among the holders of the Series C, Series B, and Series A redeemable convertible preferred stock in proportion to the preferential amount each such holder is otherwise entitled to receive.</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After the payment of the full liquidation preference of the shares of redeemable convertible preferred stock, the remaining assets of the Company legally available for distribution, if any, shall be distributed ratably to the holders of the common stock.</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i w:val="1"/>
          <w:iCs w:val="1"/>
          <w:color w:val="auto"/>
        </w:rPr>
        <w:t>—</w:t>
      </w:r>
      <w:r>
        <w:rPr>
          <w:rFonts w:ascii="Arial" w:cs="Arial" w:eastAsia="Arial" w:hAnsi="Arial"/>
          <w:sz w:val="18"/>
          <w:szCs w:val="18"/>
          <w:color w:val="auto"/>
        </w:rPr>
        <w:t>Holders of Series E-1, Series E, Series D-1, and Series D redeemable convertible preferred stock, prior and in preference to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C, Series B, and Series A redeemable convertible preferred stock, are entitled to receive cash dividends at a rate of 8.0% of their original issue price.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After the holders of the Series E-1, Series E, Series D-1, and Series D redeemable convertible preferred stock have received their full dividend preference the holders of Series C, Series B, and Series A redeemable convertible preferred stock, prior and in preference to the holders of common stock, are entitled to receive cash dividends at a rate of 8.0% of their respective original issue price.</w:t>
      </w:r>
    </w:p>
    <w:p>
      <w:pPr>
        <w:spacing w:after="0" w:line="18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After the holders of the Series C, Series B, and Series A redeemable convertible preferred stock have received their full dividend preference, any remaining dividends shall be distributed among all holders of common stock and all holders of Series E-1, Series E, Series D-1, Series D, Series C, Series B, and Series A redeemable convertible preferred stock on an as-converted basis. Dividends are payable only when, as and if declared by the Company’s board of directors. Dividends are non-cumulative. No dividends have been declared to date.</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i w:val="1"/>
          <w:iCs w:val="1"/>
          <w:color w:val="auto"/>
        </w:rPr>
        <w:t>—</w:t>
      </w:r>
      <w:r>
        <w:rPr>
          <w:rFonts w:ascii="Arial" w:cs="Arial" w:eastAsia="Arial" w:hAnsi="Arial"/>
          <w:sz w:val="18"/>
          <w:szCs w:val="18"/>
          <w:color w:val="auto"/>
        </w:rPr>
        <w:t>All shares of redeemable convertible preferred stock are convertible into common stock at the option of the holder, at any time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issuance, subject to adjustment for stock splits, stock dividends, and dilution.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Each share of redeemable convertible preferred stock will automatically convert into common stock at the applicable conversion rate obtained by dividing the original issuance price per share by the applicable per share conversion price:</w:t>
      </w:r>
    </w:p>
    <w:p>
      <w:pPr>
        <w:spacing w:after="0" w:line="62" w:lineRule="exact"/>
        <w:rPr>
          <w:sz w:val="20"/>
          <w:szCs w:val="20"/>
          <w:color w:val="auto"/>
        </w:rPr>
      </w:pPr>
    </w:p>
    <w:p>
      <w:pPr>
        <w:jc w:val="both"/>
        <w:ind w:left="440" w:right="20" w:firstLine="6"/>
        <w:spacing w:after="0" w:line="257" w:lineRule="auto"/>
        <w:tabs>
          <w:tab w:leader="none" w:pos="743"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immediately upon the closing of a firmly underwritten public offering registered under the Securities Act, pursuant to an effective registration statement under the Securities Act covering the offer and sale of common stock for the account of the Company, in which (i) the per share price is not less than one times the Series E original issue price (as adjusted for any stock dividends, combinations, splits, recapitalizations etc.), (ii) the gross cash proceeds to the Company (before underwriting discounts, commissions, and fees) are at least $100,000,000, and (iii) the Company’s shares have been listed for trading on a national securities exchange, or</w:t>
      </w:r>
    </w:p>
    <w:p>
      <w:pPr>
        <w:spacing w:after="0" w:line="79" w:lineRule="exact"/>
        <w:rPr>
          <w:rFonts w:ascii="Arial" w:cs="Arial" w:eastAsia="Arial" w:hAnsi="Arial"/>
          <w:sz w:val="18"/>
          <w:szCs w:val="18"/>
          <w:color w:val="auto"/>
        </w:rPr>
      </w:pPr>
    </w:p>
    <w:p>
      <w:pPr>
        <w:jc w:val="both"/>
        <w:ind w:left="440" w:firstLine="6"/>
        <w:spacing w:after="0" w:line="254" w:lineRule="auto"/>
        <w:tabs>
          <w:tab w:leader="none" w:pos="73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any time upon the affirmative election of (i) the holders of at least a majority of the redeemable convertible preferred stock then outstanding (voting together as if a single class and not as separate series, and on an as-converted basis), (ii) with respect to the Series D-1 redeemable convertible preferred stock only, the holders of a majority of the outstanding shares of Series D-1 redeemable convertible preferred stock only, voting as a separate series, (iii) with respect to the Series E redeemable convertible preferred stock only, the holders of a majority of the outstanding shares of Series E redeemable convertible preferred stock only, voting as a separate series and (iv) with respect to the Series E-1 convertible preferred stock only, the holders of a majority of the outstanding shares of Series E-1 redeemable convertible preferred stock, voting as a separate series.</w:t>
      </w:r>
    </w:p>
    <w:p>
      <w:pPr>
        <w:spacing w:after="0" w:line="19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2019 and 2020, and March 31, 2021, the conversion prices per share for all series of redeemable convertible preferred stock were equal to the original issue prices, and the rate at which each share would convert into common stock was one-for-one.</w:t>
      </w:r>
    </w:p>
    <w:p>
      <w:pPr>
        <w:spacing w:after="0" w:line="146"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i w:val="1"/>
          <w:iCs w:val="1"/>
          <w:color w:val="auto"/>
        </w:rPr>
        <w:t>—</w:t>
      </w:r>
      <w:r>
        <w:rPr>
          <w:rFonts w:ascii="Arial" w:cs="Arial" w:eastAsia="Arial" w:hAnsi="Arial"/>
          <w:sz w:val="18"/>
          <w:szCs w:val="18"/>
          <w:color w:val="auto"/>
        </w:rPr>
        <w:t>Holders of redeemable convertible preferred stock are entitled to one vote for each share of common stock into which their shares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converted. Holders of Series A redeemable convertible preferred stock together are entitled to appoint two members of the board of directors. Holders of Series C redeemable convertible preferred stock together are entitled to appoint one member of the board of directors. The holders of common stock, voting together as a separate class, are entitled to appoint two members of the board of directors, who will be deemed common directors. The holders of common stock and redeemable convertible preferred stock voting together as a single class on an as-if-converted basis shall elect any remaining members of the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2020 and March 31, 2021, the Company was authorized to issue up to 897,047,950 of shares of its capital stock, of which 545,000,000 shares have been designated as common stock.</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holders of the Company’s common stock are not entitled to dividends, whether in cash or property, until all declared dividends to Series A, Series B, Series C, Series D, Series D-1, Series E and Series E-1 redeemable convertible preferred stockholders have been paid. The holders of each share of common stock shall have the right to one vote for each share and are entitled, as a share class, to elect two members of the board of directors. In addition, the holders of common stock and redeemable convertible preferred stock, voting together as a single class on an as-if-converted basis, are entitled to elect any remaining members of the board of directors.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reserved common shares for the following purposes as of:</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8480" w:type="dxa"/>
            <w:vAlign w:val="bottom"/>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83,471,731</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83,471,731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58,204,440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58,204,440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60,434,352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60,434,352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28,734,078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28,734,078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D-1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33,185,680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33,185,680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Series E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66,824,303</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66,824,303</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Series E-1 redeemable convertible preferred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20,989,756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20,989,756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203,610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203,610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1,602,414</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2,752,414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23,421,374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24,332,915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4,430,336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6,503,203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Stock options and restricted stock units available for future grants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7,683,069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2,493,159</w:t>
            </w:r>
          </w:p>
        </w:tc>
      </w:tr>
      <w:tr>
        <w:trPr>
          <w:trHeight w:val="27"/>
        </w:trPr>
        <w:tc>
          <w:tcPr>
            <w:tcW w:w="84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389,185,143</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388,129,641</w:t>
            </w:r>
          </w:p>
        </w:tc>
      </w:tr>
      <w:tr>
        <w:trPr>
          <w:trHeight w:val="20"/>
        </w:trPr>
        <w:tc>
          <w:tcPr>
            <w:tcW w:w="84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addition to the reserved common stock shares above, the Company committed up to 360,000 common stock shares or equivalent in cash for future issuance to fund and support the Company’s social impact initiatives over the next ten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Stock Incentive Plan</w:t>
      </w:r>
    </w:p>
    <w:p>
      <w:pPr>
        <w:spacing w:after="0" w:line="12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Under the Company’s 2011 Plan, the board of directors may grant stock options, RSUs, and other share-related and performance awards that may be settled in cash, stock, or other property to employees, directors, and consultants. As of December 31, 2019 and 2020, and March 31, 2021, 88,568,905, 100,993,447, and 100,993,447 shares of common stock, respectively, are available for future grants under the Plan.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Under the Plan, the exercise price of an incentive stock option shall not be less than the fair value of one share of common stock on the date of grant (not less than 110% of the fair value of one share of common stock for grants to stockholders owning more than 10% of the total combined voting power of all classes of stock of the Company (a “10% Stockholder”). Options are exercisable over periods not to exceed ten years from the date of grant (five years for incentive stock options granted to 10% Stockholders). A summary of the Company’s stock option activity was as follows: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Exercise</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Price per</w:t>
            </w: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Share</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Life (Years)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19,628,032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17,008,222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1.30</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(8,529,478)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0.13</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(2,947,365)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0.54</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25,159,411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46,594</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6,404,800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(6,084,183)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0.53</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(2,058,654)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1.50</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23,421,374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248,002</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 (unaudited)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4,056,994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10.48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 (unaudited)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(2,224,069)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0.92</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 (unaudited)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(921,384)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2021 (unaudited)*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24,332,915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491,342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20" w:type="dxa"/>
            <w:vAlign w:val="bottom"/>
          </w:tcPr>
          <w:p>
            <w:pPr>
              <w:spacing w:after="0"/>
              <w:rPr>
                <w:sz w:val="20"/>
                <w:szCs w:val="20"/>
                <w:color w:val="auto"/>
              </w:rPr>
            </w:pPr>
            <w:r>
              <w:rPr>
                <w:rFonts w:ascii="Arial" w:cs="Arial" w:eastAsia="Arial" w:hAnsi="Arial"/>
                <w:sz w:val="18"/>
                <w:szCs w:val="18"/>
                <w:color w:val="auto"/>
              </w:rPr>
              <w:t>Vested as of December 31, 2019</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6,820,497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0.21</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17,473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2020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7,858,915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87,352</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Vested as of March 31, 2021 (unaudited)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7,935,395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1.08</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174,810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5" w:lineRule="exact"/>
        <w:rPr>
          <w:sz w:val="20"/>
          <w:szCs w:val="20"/>
          <w:color w:val="auto"/>
        </w:rPr>
      </w:pPr>
    </w:p>
    <w:p>
      <w:pPr>
        <w:ind w:left="440" w:hanging="324"/>
        <w:spacing w:after="0"/>
        <w:tabs>
          <w:tab w:leader="none" w:pos="4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Plan allows for early exercise of stock options and these balances include all exercisable stock options regardless of vesting status.</w:t>
      </w:r>
    </w:p>
    <w:p>
      <w:pPr>
        <w:spacing w:after="0" w:line="23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2019, share-based compensation recognized for employee stock options was $21.5 million, of which $6.7 million was related to stock option grants and $14.8 million was related to secondary market transactions between employees and certain economic interest holders.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2020, share-based compensation recognized for employee stock options was $28.0 million, of which $10.7 million was related to stock option grants and $17.3 million was related to secondary market transactions between employees and certain economic interest holders.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three months ended March 31, 2020, share-based compensation recognized for employee stock options was $3.7 million, of which $2.3 million was related to stock option grants and $1.4 million was related to secondary market transactions between employees and certain economic interest holders.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the three months ended March 31, 2021, share-based compensation recognized for employee stock options was $11.4 million, of which $5.5 million was related to stock option grants and $5.9 million was related to secondary market transactions between employees and certain economic interest holders.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income tax benefit has been recognized related to share-based compensation expense and no tax benefits have been realized from exercised stock options.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weighted-average grant date fair value of options granted during the years ended December 31, 2019 and 2020, and the three months ended March 31, 2020 and 2021, was $1.73, $1.81, $2.77 and $12.24,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intrinsic value of options exercised during the years ended December 31, 2019 and 2020 was $21.2 million and $32.8 million,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grant-date fair value of options vested during the years ended December 31, 2019 and 2020 was $5.2 million and $10.7 million, respectively.</w:t>
      </w:r>
    </w:p>
    <w:p>
      <w:pPr>
        <w:spacing w:after="0" w:line="234"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2020, and March 31, 2021, unrecognized compensation costs related to unvested outstanding stock options was $25.7 million and $68.6 million, respectively. These costs are expected to be recognized over a period of 3.5 years and 3.8 years, respectively.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weighted average assumptions were used to calculate the fair value of employee stock option grants: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4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volatility</w:t>
            </w:r>
          </w:p>
        </w:tc>
        <w:tc>
          <w:tcPr>
            <w:tcW w:w="3620" w:type="dxa"/>
            <w:vAlign w:val="bottom"/>
            <w:gridSpan w:val="3"/>
          </w:tcPr>
          <w:p>
            <w:pPr>
              <w:jc w:val="right"/>
              <w:ind w:right="340"/>
              <w:spacing w:after="0"/>
              <w:rPr>
                <w:sz w:val="20"/>
                <w:szCs w:val="20"/>
                <w:color w:val="auto"/>
              </w:rPr>
            </w:pPr>
            <w:r>
              <w:rPr>
                <w:rFonts w:ascii="Arial" w:cs="Arial" w:eastAsia="Arial" w:hAnsi="Arial"/>
                <w:sz w:val="18"/>
                <w:szCs w:val="18"/>
                <w:color w:val="auto"/>
              </w:rPr>
              <w:t>43.7%</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48.1%</w:t>
            </w: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46.9%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6.02</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6.02</w:t>
            </w:r>
          </w:p>
        </w:tc>
        <w:tc>
          <w:tcPr>
            <w:tcW w:w="7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6.02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20" w:type="dxa"/>
            <w:vAlign w:val="bottom"/>
            <w:gridSpan w:val="3"/>
          </w:tcPr>
          <w:p>
            <w:pPr>
              <w:jc w:val="right"/>
              <w:ind w:right="340"/>
              <w:spacing w:after="0"/>
              <w:rPr>
                <w:sz w:val="20"/>
                <w:szCs w:val="20"/>
                <w:color w:val="auto"/>
              </w:rPr>
            </w:pPr>
            <w:r>
              <w:rPr>
                <w:rFonts w:ascii="Arial" w:cs="Arial" w:eastAsia="Arial" w:hAnsi="Arial"/>
                <w:sz w:val="18"/>
                <w:szCs w:val="18"/>
                <w:color w:val="auto"/>
              </w:rPr>
              <w:t>1.9%</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780" w:type="dxa"/>
            <w:vAlign w:val="bottom"/>
          </w:tcPr>
          <w:p>
            <w:pPr>
              <w:jc w:val="right"/>
              <w:ind w:right="98"/>
              <w:spacing w:after="0"/>
              <w:rPr>
                <w:sz w:val="20"/>
                <w:szCs w:val="20"/>
                <w:color w:val="auto"/>
              </w:rPr>
            </w:pPr>
            <w:r>
              <w:rPr>
                <w:rFonts w:ascii="Arial" w:cs="Arial" w:eastAsia="Arial" w:hAnsi="Arial"/>
                <w:sz w:val="18"/>
                <w:szCs w:val="18"/>
                <w:color w:val="auto"/>
              </w:rPr>
              <w:t>0.7%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3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$2.61</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$3.27</w:t>
            </w:r>
          </w:p>
        </w:tc>
        <w:tc>
          <w:tcPr>
            <w:tcW w:w="7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87"/>
              </w:rPr>
              <w:t>$ 2.77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$ 19.32</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summarizes the Company’s methodology for determining the key assumptions used to estimate the fair value of options:</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b w:val="1"/>
          <w:bCs w:val="1"/>
          <w:i w:val="1"/>
          <w:iCs w:val="1"/>
          <w:color w:val="auto"/>
        </w:rPr>
        <w:t xml:space="preserve">Fair Value of Common Stock: </w:t>
      </w:r>
      <w:r>
        <w:rPr>
          <w:rFonts w:ascii="Arial" w:cs="Arial" w:eastAsia="Arial" w:hAnsi="Arial"/>
          <w:sz w:val="17"/>
          <w:szCs w:val="17"/>
          <w:color w:val="auto"/>
        </w:rPr>
        <w:t>The fair value of the common stock underlying the Company’s share-based awards was determined by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with input from management and contemporaneous third-party valuations. If awards were granted a short period of time preceding the date of a valuation report, the Company retrospectively assessed the fair value used for financial reporting purposes after considering the fair value reflected in the subsequent valuation report and other facts and circumstances on the date of grant as discussed below.</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Given the absence of a public trading market for the Company’s common stock, and in accordance with the AICPA Guide, the board of directors exercised reasonable judgment and considered numerous objective and subjective factors to determine the best estimate of the fair value of its common stock including:</w:t>
      </w:r>
    </w:p>
    <w:p>
      <w:pPr>
        <w:spacing w:after="0" w:line="89" w:lineRule="exact"/>
        <w:rPr>
          <w:sz w:val="20"/>
          <w:szCs w:val="20"/>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observed secondary sales of common stock;</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rights, preferences, and privileges of the Company’s redeemable convertible preferred stock relative to those of its common stock;</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Company’s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relevant precedent transactions involving its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the Company given prevailing market conditions and the nature and history of its business;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market multiples of comparable companies in its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estimating the fair value of the Company’s common stock, the board of directors determined the equity value of the Company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 recommended in the AICPA Guide for early-stage companies and is adjusted to reflect the risks inherent in the Company’s cash flows. The market approach estimates fair value based on a comparison of the subject company to comparable public companies in a similar line of business.</w:t>
      </w:r>
    </w:p>
    <w:p>
      <w:pPr>
        <w:spacing w:after="0" w:line="161"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Prior to March 2019, the Company’s equity valuation was based on both the income and the market approach valuation methods and the Option Pricing Method, or OPM, was selected as the principal equity allocation method. Both these methods were consistent with prior valuations. For options granted starting in the second quarter of 2019, the Company used a hybrid method to determine the fair value of its common stock, in addition to giving consideration to secondary sales of its common stock. Under the hybrid method, multiple valuation approaches were used and then combined into a single probability weighted valuation. The Company’s approach included the use of initial public offering scenarios, a scenario assuming continued operation as a private entity, and a scenario assuming an acquisition of the Company.</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the Company has considered the impact on its valuation estimates from secondary transactions and given weighting to such transactions in its common stock fair value estimates. The Company considered the facts and circumstances of each secondary transaction including the different buyers and sellers, transaction volume, timing relative to the valuation date, and whether the transaction involved investors with access to the Company’s financial information.</w:t>
      </w:r>
    </w:p>
    <w:p>
      <w:pPr>
        <w:spacing w:after="0" w:line="18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the Company’s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the Company’s valuations as of each valuation date and may have a material impact on the valuation of its common stock.</w:t>
      </w:r>
    </w:p>
    <w:p>
      <w:pPr>
        <w:spacing w:after="0" w:line="15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 xml:space="preserve">Expected Term: </w:t>
      </w:r>
      <w:r>
        <w:rPr>
          <w:rFonts w:ascii="Arial" w:cs="Arial" w:eastAsia="Arial" w:hAnsi="Arial"/>
          <w:sz w:val="17"/>
          <w:szCs w:val="17"/>
          <w:color w:val="auto"/>
        </w:rPr>
        <w:t>The Company determines the expected term based on the average period the stock option is expected to remain outstanding,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Volatility: </w:t>
      </w:r>
      <w:r>
        <w:rPr>
          <w:rFonts w:ascii="Arial" w:cs="Arial" w:eastAsia="Arial" w:hAnsi="Arial"/>
          <w:sz w:val="18"/>
          <w:szCs w:val="18"/>
          <w:color w:val="auto"/>
        </w:rPr>
        <w:t>The Company believes historical volatility of its comparable companies to be the best estimate of future volatility. The Company estimates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for option grants by reference to the average historical volatility of its comparable companies for the period preceding the option grant for a term that is equal to the option’s expected term, if available.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tabs>
          <w:tab w:leader="none" w:pos="2060" w:val="left"/>
        </w:tabs>
        <w:rPr>
          <w:sz w:val="20"/>
          <w:szCs w:val="20"/>
          <w:color w:val="auto"/>
        </w:rPr>
      </w:pPr>
      <w:r>
        <w:rPr>
          <w:rFonts w:ascii="Arial" w:cs="Arial" w:eastAsia="Arial" w:hAnsi="Arial"/>
          <w:sz w:val="18"/>
          <w:szCs w:val="18"/>
          <w:b w:val="1"/>
          <w:bCs w:val="1"/>
          <w:i w:val="1"/>
          <w:iCs w:val="1"/>
          <w:color w:val="auto"/>
        </w:rPr>
        <w:t>Risk Free Interest Rate:</w:t>
      </w:r>
      <w:r>
        <w:rPr>
          <w:sz w:val="20"/>
          <w:szCs w:val="20"/>
          <w:color w:val="auto"/>
        </w:rPr>
        <w:tab/>
      </w:r>
      <w:r>
        <w:rPr>
          <w:rFonts w:ascii="Arial" w:cs="Arial" w:eastAsia="Arial" w:hAnsi="Arial"/>
          <w:sz w:val="16"/>
          <w:szCs w:val="16"/>
          <w:color w:val="auto"/>
        </w:rPr>
        <w:t>The Company uses the U.S. Treasury yield for its risk-free interest rate that corresponds with the expected term.</w:t>
      </w:r>
    </w:p>
    <w:p>
      <w:pPr>
        <w:spacing w:after="0" w:line="22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i w:val="1"/>
          <w:iCs w:val="1"/>
          <w:color w:val="auto"/>
        </w:rPr>
        <w:t>Dividends:</w:t>
      </w:r>
      <w:r>
        <w:rPr>
          <w:sz w:val="20"/>
          <w:szCs w:val="20"/>
          <w:color w:val="auto"/>
        </w:rPr>
        <w:tab/>
      </w:r>
      <w:r>
        <w:rPr>
          <w:rFonts w:ascii="Arial" w:cs="Arial" w:eastAsia="Arial" w:hAnsi="Arial"/>
          <w:sz w:val="16"/>
          <w:szCs w:val="16"/>
          <w:color w:val="auto"/>
        </w:rPr>
        <w:t>The Company does not anticipate paying any dividends in the foreseeable future and, therefore, uses an expected dividend yield of zero.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Early Exercise Liability</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Under the Plan, employees can exercise their stock options prior to the requisite vesting period. Shares purchased by employees pursuant to the early exercise of stock options are not deemed to be outstanding for accounting purposes until the underlying shares vest. Cash received in exchange for exercised but unvested shares is recorded as a liability in accrued expenses and other liabilities on the consolidated balance sheets and will be transferred into common stock and additional paid-in capital as the underlying shares vest.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there was $0.6 million included in accrued expenses and other liabilities related to 1,163,150 exercised but unvested options.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2020, there was $0.5 million included in accrued expenses and other liabilities related to 723,210 exercised but unvested options.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2021, there was $0.9 million included in accrued expenses and other liabilities related to 775,186 exercised but unvested options.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Secondary Sales of Common Stock</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During the years ended December 31, 2019 and 2020, and three months ended March 31, 2021,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$14.8 million, $17.3 million, and $5.9 million during the years ended December 31, 2019 and 2020, and three months ended March 31, 2021, respectively. The share-based compensation amount for the year ended December 31, 2019 includes the share-based compensation arising from the exchange of common stock for Series E redeemable convertible preferred stock discussed in Note 9. In connection with these stock transfers, the Company waived all transfer restrictions and assigned its rights of first refusal applicable to such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Stock Units</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Commencing in 2020, the Company granted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of the Company’s equity securities, as defined in such RSU agreements. As of December 31, 2020, and March 31, 2021, no share-based compensation expense had been recognized for RSUs because the liquidity condition had not occurred.</w:t>
      </w:r>
    </w:p>
    <w:p>
      <w:pPr>
        <w:spacing w:after="0" w:line="15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a qualifying liquidity condition had occurred on December 31, 2020, the Company would have recognized $9.8 million of cumulative share-based compensation expense on that date and would have $15.7 million of unrecognized compensation cost that represents the grants that have not met the service condition as of December 31,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If a qualifying liquidity condition had occurred on March 31, 2021, the Company would have recognized $19.2 million of cumulative share-based compensation expense on that date and would have $44.1 million of unrecognized compensation cost that represents the grants that have not met the service condition as of March 31,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RSUs activity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value per</w:t>
            </w:r>
          </w:p>
        </w:tc>
        <w:tc>
          <w:tcPr>
            <w:tcW w:w="0" w:type="dxa"/>
            <w:vAlign w:val="bottom"/>
          </w:tcPr>
          <w:p>
            <w:pPr>
              <w:spacing w:after="0"/>
              <w:rPr>
                <w:sz w:val="1"/>
                <w:szCs w:val="1"/>
                <w:color w:val="auto"/>
              </w:rPr>
            </w:pPr>
          </w:p>
        </w:tc>
      </w:tr>
      <w:tr>
        <w:trPr>
          <w:trHeight w:val="171"/>
        </w:trPr>
        <w:tc>
          <w:tcPr>
            <w:tcW w:w="87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09"/>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4,571,886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Canceled and forfeited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(141,550)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4,430,336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Granted (unaudited)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2,130,993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Vested (unaudited)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Canceled and forfeited (unaudited)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(58,126)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2021 (unaudited)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6,503,203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Warrants to Purchase Common and Redeemable Convertible Preferred Stock</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2013, the Company issued a warrant to DFS Services, LLC to purchase up to 3.0 million shares of common stock at an exercise price of $0.00067 per share. The vesting of the warrant shares is dependent on the number of active cards DFS Services, LLC deploys on the Company’s Platform through March 2020. The warrant expired in March 2020 and no warrant shares vested.</w:t>
      </w:r>
    </w:p>
    <w:p>
      <w:pPr>
        <w:spacing w:after="0" w:line="184"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 both 2013 and 2014, in connection with prior loan agreements, the Company issued two warrants to the lender to purchase 101,805 and 101,805 shares of Series B redeemable convertible preferred stock, both at an exercise price of $0.295 per share. As of December 31, 2019 and 2020, and March 31, 2021, both warrants are fully vested and exercisable and expire in 2023. The warrants are classified as a liability in the consolidated balance sheets. The Company remeasures the warrants at each balance sheet date using the Black-Scholes option pricing model and records any changes in fair value in other income (expense), net in the Company’s consolidated statements of operations. The Company will continue to adjust the liability for the changes in fair value until the earlier of the exercise or expiration of the warrant. Immediately prior to the completion of the Company’s planned initial public offering, the Company’s outstanding redeemable convertible preferred stock warrants will be converted to common stock warrants and the fair value of the liability at that time will also be reclassified into the Company’s common stock and additional paid-in capital.</w:t>
      </w:r>
    </w:p>
    <w:p>
      <w:pPr>
        <w:spacing w:after="0" w:line="16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2015 and 2016, in connection with prior loan agreements, the Company issued two warrants to the lender to purchase 231,348 and 621,066 shares of common stock, both at an exercise price of $0.053 per share. As of December 31, 2020 and March 31, 2021, 231,348 and 438,180 warrant shares were fully vested and exercisable. The warrants expire in 2025 and 2026, respectively. These warrants are classified as equity instruments.</w:t>
      </w:r>
    </w:p>
    <w:p>
      <w:pPr>
        <w:spacing w:after="0" w:line="14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In September 2020, the Company issued a warrant to a Customer to purchase up to 750,000 shares of the Company’s common stock over a period of five years, ending in September 2025, at an exercise price of $0.01 per share, for a total fair value of $5.7 million. The warrant becomes exercisable when the vesting conditions are met. The warrant vesting is contingent on certain performance conditions, which include the Customer reaching certain annual transaction count thresholds over the five-year contract term. This warrant is classified as an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equity instrument and expires in September 2025. It is treated as consideration payable to a Customer and recorded as a reduction to net revenue based on the probability of vesting conditions being met and the grant date fair value of the warrant. As of both December 31, 2020 and March 31, 2021, 22,500 warrants were vested and the Company recorded an immaterial amount as a reduction to net revenue during the year ended December 31, 2020, and the three months ended March 31, 2021,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fair value of the warrant was determined using the Black-Scholes option pricing model and the following assumptions as of the date of the grant:</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48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Contract term (in years)</w:t>
            </w:r>
          </w:p>
        </w:tc>
        <w:tc>
          <w:tcPr>
            <w:tcW w:w="4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$7.61</w:t>
            </w:r>
          </w:p>
        </w:tc>
      </w:tr>
    </w:tbl>
    <w:p>
      <w:pPr>
        <w:spacing w:after="0" w:line="20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March 2021, the Company issued warrants to two customers to purchase up to 1,100,000 and 50,000 shares of the Company’s common stock, respectively, over a period of four years, ending in April 2025, at an exercise price of $0.01 per share. The aggregate grant date fair value of these warrants was $26.4 million. The warrants’ vesting is contingent on certain performance conditions, which include issuing a specified percentage of new cards on the Marqeta Platform over a three-year measurement period. The warrants are treated as consideration payable to a customer and recorded as a reduction to net revenue based on the probability of vesting conditions being met and the grant date fair value of the warrants. As of March 31, 2021, no warrants had vested.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fair value of the warrants was determined using the Black-Scholes option pricing model and the following weighted average assumptions: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4980" w:type="dxa"/>
            <w:vAlign w:val="bottom"/>
          </w:tcPr>
          <w:p>
            <w:pPr>
              <w:jc w:val="right"/>
              <w:ind w:right="133"/>
              <w:spacing w:after="0"/>
              <w:rPr>
                <w:sz w:val="20"/>
                <w:szCs w:val="20"/>
                <w:color w:val="auto"/>
              </w:rPr>
            </w:pPr>
            <w:r>
              <w:rPr>
                <w:rFonts w:ascii="Arial" w:cs="Arial" w:eastAsia="Arial" w:hAnsi="Arial"/>
                <w:sz w:val="14"/>
                <w:szCs w:val="14"/>
                <w:b w:val="1"/>
                <w:bCs w:val="1"/>
                <w:color w:val="auto"/>
              </w:rPr>
              <w:t>(unaudited)</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Expected volatility</w:t>
            </w:r>
          </w:p>
        </w:tc>
        <w:tc>
          <w:tcPr>
            <w:tcW w:w="49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Contract term (in years)</w:t>
            </w:r>
          </w:p>
        </w:tc>
        <w:tc>
          <w:tcPr>
            <w:tcW w:w="4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   22.97</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Company presents net loss per share attributable to common stockholders in conformity with the two-class method required for participating securities, and considers all series of redeemable convertible preferred stock participating securities. The Company has not allocated net loss attributable to common stockholders to redeemable convertible preferred stock because the holders of its redeemable convertible preferred stock are not contractually obligated to share in losses.</w:t>
      </w:r>
    </w:p>
    <w:p>
      <w:pPr>
        <w:spacing w:after="0" w:line="18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and redeemable convertible preferred stock warrants, stock options, RSUs and common stock warrants to the extent these are dilutive.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calculated basic and diluted net loss per share attributable to common stockholders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6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4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2"/>
                <w:szCs w:val="12"/>
                <w:color w:val="auto"/>
              </w:rPr>
            </w:pPr>
          </w:p>
        </w:tc>
        <w:tc>
          <w:tcPr>
            <w:tcW w:w="16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31, 2020</w:t>
            </w: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March 31, 2021</w:t>
            </w:r>
          </w:p>
        </w:tc>
        <w:tc>
          <w:tcPr>
            <w:tcW w:w="12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521"/>
              <w:spacing w:after="0"/>
              <w:rPr>
                <w:sz w:val="20"/>
                <w:szCs w:val="20"/>
                <w:color w:val="auto"/>
              </w:rPr>
            </w:pPr>
            <w:r>
              <w:rPr>
                <w:rFonts w:ascii="Arial" w:cs="Arial" w:eastAsia="Arial" w:hAnsi="Arial"/>
                <w:sz w:val="18"/>
                <w:szCs w:val="18"/>
                <w:color w:val="auto"/>
              </w:rPr>
              <w:t>(58,200)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(47,695)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(14,530)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(12,838)</w:t>
            </w: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Deemed dividend to redeemable convertible preferred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(64,149)</w:t>
            </w: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(122,349</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(12,838)</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share attributable to common stockholders, basic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560" w:type="dxa"/>
            <w:vAlign w:val="bottom"/>
            <w:gridSpan w:val="2"/>
          </w:tcPr>
          <w:p>
            <w:pPr>
              <w:jc w:val="right"/>
              <w:ind w:right="581"/>
              <w:spacing w:after="0"/>
              <w:rPr>
                <w:sz w:val="20"/>
                <w:szCs w:val="20"/>
                <w:color w:val="auto"/>
              </w:rPr>
            </w:pPr>
            <w:r>
              <w:rPr>
                <w:rFonts w:ascii="Arial" w:cs="Arial" w:eastAsia="Arial" w:hAnsi="Arial"/>
                <w:sz w:val="18"/>
                <w:szCs w:val="18"/>
                <w:color w:val="auto"/>
                <w:w w:val="87"/>
              </w:rPr>
              <w:t>113,851,714</w:t>
            </w:r>
          </w:p>
        </w:tc>
        <w:tc>
          <w:tcPr>
            <w:tcW w:w="8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122,932,556</w:t>
            </w:r>
          </w:p>
        </w:tc>
        <w:tc>
          <w:tcPr>
            <w:tcW w:w="10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118,477,836</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130,841,306</w:t>
            </w: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Basic net loss per share is the same as diluted net loss per share because the Company reported a net loss for the years ended December 31, 2019 and 2020, and the three months ended March 31, 2020 and 2021.</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0" w:type="dxa"/>
            <w:vAlign w:val="bottom"/>
            <w:gridSpan w:val="4"/>
          </w:tcPr>
          <w:p>
            <w:pPr>
              <w:ind w:left="74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51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87,780,429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83,471,731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83,471,731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58,204,440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58,204,440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58,204,440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62,114,648</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60,434,352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60,434,352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28,734,078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28,734,078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28,734,078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D-1 redeemable convertible preferred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33,185,680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33,185,680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33,185,680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Series E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66,824,303</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66,824,303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66,824,303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Series E-1 redeemable convertible preferred stock</w:t>
            </w:r>
          </w:p>
        </w:tc>
        <w:tc>
          <w:tcPr>
            <w:tcW w:w="20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20,989,756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20,989,756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1"/>
              </w:rPr>
              <w:t>Warrants to purchase Series B redeemable convertible preferred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203,610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203,610</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203,610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3,669,528</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1,419,528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2,569,528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25,159,411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23,421,374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24,332,915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20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4,430,336</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6,503,203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9"/>
              </w:rPr>
              <w:t>Stock options and restricted stock units available for future grants</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3,844,639</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7,683,069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2,493,159</w:t>
            </w:r>
          </w:p>
        </w:tc>
      </w:tr>
      <w:tr>
        <w:trPr>
          <w:trHeight w:val="223"/>
        </w:trPr>
        <w:tc>
          <w:tcPr>
            <w:tcW w:w="5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369,720,766</w:t>
            </w: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389,002,257</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387,946,755</w:t>
            </w: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3380" w:type="dxa"/>
            <w:vAlign w:val="bottom"/>
            <w:gridSpan w:val="3"/>
          </w:tcPr>
          <w:p>
            <w:pPr>
              <w:jc w:val="right"/>
              <w:ind w:right="2880"/>
              <w:spacing w:after="0"/>
              <w:rPr>
                <w:sz w:val="20"/>
                <w:szCs w:val="20"/>
                <w:color w:val="auto"/>
              </w:rPr>
            </w:pPr>
            <w:r>
              <w:rPr>
                <w:rFonts w:ascii="Arial" w:cs="Arial" w:eastAsia="Arial" w:hAnsi="Arial"/>
                <w:sz w:val="18"/>
                <w:szCs w:val="18"/>
                <w:color w:val="auto"/>
              </w:rPr>
              <w:t>F-40</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loss before income taxes by tax jurisdiction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(58,985)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(47,911)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4"/>
          </w:tcPr>
          <w:p>
            <w:pPr>
              <w:jc w:val="right"/>
              <w:ind w:right="36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 (58,165)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(47,608)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components of income tax expense were as follows:</w:t>
            </w: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1160" w:type="dxa"/>
            <w:vAlign w:val="bottom"/>
            <w:gridSpan w:val="5"/>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5"/>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5"/>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reconciliation of the Company’s effective tax rate to the statutory federal rate is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at federal statutory rate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 taxes, net of federal effect</w:t>
            </w:r>
          </w:p>
        </w:tc>
        <w:tc>
          <w:tcPr>
            <w:tcW w:w="100" w:type="dxa"/>
            <w:vAlign w:val="bottom"/>
          </w:tcPr>
          <w:p>
            <w:pPr>
              <w:spacing w:after="0"/>
              <w:rPr>
                <w:sz w:val="18"/>
                <w:szCs w:val="18"/>
                <w:color w:val="auto"/>
              </w:rPr>
            </w:pPr>
          </w:p>
        </w:tc>
        <w:tc>
          <w:tcPr>
            <w:tcW w:w="600" w:type="dxa"/>
            <w:vAlign w:val="bottom"/>
            <w:gridSpan w:val="3"/>
          </w:tcPr>
          <w:p>
            <w:pPr>
              <w:jc w:val="right"/>
              <w:ind w:right="68"/>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permanent items</w:t>
            </w:r>
          </w:p>
        </w:tc>
        <w:tc>
          <w:tcPr>
            <w:tcW w:w="100" w:type="dxa"/>
            <w:vAlign w:val="bottom"/>
          </w:tcPr>
          <w:p>
            <w:pPr>
              <w:spacing w:after="0"/>
              <w:rPr>
                <w:sz w:val="18"/>
                <w:szCs w:val="18"/>
                <w:color w:val="auto"/>
              </w:rPr>
            </w:pPr>
          </w:p>
        </w:tc>
        <w:tc>
          <w:tcPr>
            <w:tcW w:w="600" w:type="dxa"/>
            <w:vAlign w:val="bottom"/>
            <w:gridSpan w:val="3"/>
          </w:tcPr>
          <w:p>
            <w:pPr>
              <w:jc w:val="right"/>
              <w:ind w:right="8"/>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net operating loss apportionment adjustment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600" w:type="dxa"/>
            <w:vAlign w:val="bottom"/>
            <w:gridSpan w:val="3"/>
          </w:tcPr>
          <w:p>
            <w:pPr>
              <w:jc w:val="right"/>
              <w:ind w:right="8"/>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rate</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500" w:type="dxa"/>
            <w:vAlign w:val="bottom"/>
            <w:gridSpan w:val="6"/>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80" w:type="dxa"/>
            <w:vAlign w:val="bottom"/>
          </w:tcPr>
          <w:p>
            <w:pPr>
              <w:ind w:left="5340"/>
              <w:spacing w:after="0"/>
              <w:rPr>
                <w:sz w:val="20"/>
                <w:szCs w:val="20"/>
                <w:color w:val="auto"/>
              </w:rPr>
            </w:pPr>
            <w:r>
              <w:rPr>
                <w:rFonts w:ascii="Arial" w:cs="Arial" w:eastAsia="Arial" w:hAnsi="Arial"/>
                <w:sz w:val="18"/>
                <w:szCs w:val="18"/>
                <w:color w:val="auto"/>
              </w:rPr>
              <w:t>F-41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Federal and state net operating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24,299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27,269</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Accruals and other</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5,210</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contract contingencies and processing errors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2,334</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695</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4,458</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40,043</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(28,618)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(36,327)</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(3,281)</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(3,590)</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believes that it is more likely than not that its U.S. deferred tax assets will not be utilized and has recorded a full valuation allowance against its net U.S. deferred tax assets. The available negative evidence as of December 31, 2019 and 2020 included historical and projected future operating losses.</w:t>
      </w:r>
    </w:p>
    <w:p>
      <w:pPr>
        <w:spacing w:after="0" w:line="184"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Prior to 2019, the Company only filed state income tax returns in California and Florida. During 2019 and 2020, the Company completed an evaluation of its state-by-state business activities and determined to file state income tax returns in an additional fifteen states to report inception to date historical apportioned net operating losses. As a result of this determination, the Company’s state specific apportionment methodologies were refined, which led to a reduction of the estimated total state net operating loss carryforward deferred tax asset by $2.6 million during the year ended December 31, 2019, and increase of $0.3 million during the year ended December 31, 2020. The Company recorded a corresponding adjustment in the valuation allowance associated with this determination. This change in estimates had no net effect on the Company’s consolidated balance sheets, consolidated statements of operations and statements of comprehensive loss, or consolidated statements of cash flows.</w:t>
      </w:r>
    </w:p>
    <w:p>
      <w:pPr>
        <w:spacing w:after="0" w:line="16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of December 31, 2020, the Company had net operating loss carryforwards of approximately $113.9 million and $54.4 million for federal and state tax purposes, respectively. If not utilized, these carryforwards will begin to expire in 2030. Of the Company’s federal net operating loss carryforwards as of December 31 2020, $66.3 million can be carried forward indefinitely. Under Section 382 of Internal Revenue Code of 1986, as amended, the Company’s ability to utilize net operating loss carryforwards or other tax attributes in any taxable year may be limited if the Company has experienced an ownership change. As of December 31, 2020, the Company has concluded that it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Company files federal and various state tax returns in the U.S., as well as tax returns in the U.K. As of December 31, 2020, the Company’ federal tax returns for 2016 and earlier, and the state tax returns for 2015 and earlier were no longer subject to examination by the taxing authorities. However, tax periods closed in a prior period may be subject to audit and re-examination by tax authorities for which tax carryforwards are utilized in subsequent years.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have any material unrecognized tax benefits in 2019 and 2020.</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did not incur any interest expenses or penalties or have outstanding liabilities on the balance sheets associated with unrecognized tax benefits for the year ended December 31, 2020. The Company does not expect any significant increases or decreases to its unrecognized benefits within the next twelve months.</w:t>
      </w:r>
    </w:p>
    <w:p>
      <w:pPr>
        <w:spacing w:after="0" w:line="18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provision for income taxes was not significant for the three months ended March 31, 2020 and 2021. The Company’s effective tax rate was approximately zero percent for the three months ended March 31, 2020 and 2021. For the three months ended March 31, 2020 and 2021, the effective tax rate was lower than the U.S. federal statutory rate primarily because of the domestic valuation allowances. For the three months ended March 31, 2020 and 2021, the Company recognized an insignificant provision related to foreign income taxes.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Concentration of Risks and Significant Customers</w:t>
      </w:r>
    </w:p>
    <w:p>
      <w:pPr>
        <w:spacing w:after="0" w:line="12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marketable securities, accounts receivable and unbilled customers’ receivable (collectively, customers’ receivables), and settlements receivable. Cash on deposit with financial institutions may, at times, exceed federally insured limits. Management believes that these financial institutions are financially sound and, accordingly, minimal credit risk exists. Cash and cash equivalents as of December 31, 2019 and 2020, and March 31, 2021, include $19.0 million, $203.6 million, and $212.5 million, respectively, of investments in three money market mutual funds which invest primarily in securities issued by the U.S. Government or U.S. Government agencies.</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2019, marketable securities were $95.2 million, and there was no concentration of securities of the same issuer with an aggregate fair value greater than 5% of the total balance, except for U.S. Treasuries, which amounted to $18.1 million, or 19%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marketable securities were $149.9 million, and there was no concentration of securities of the same issuer with an aggregate fair value greater than 5% of the total balance, except for U.S. Treasuries, which amounted to $125.9 million, or 84%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March 31, 2021, marketable securities were $140.1 million, and there was no concentration of securities of the same issuer with an aggregate fair value greater than 5% of the total balance, except for U.S. Treasuries, which amounted to $115.6 million, or 82%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 significant portion of the Company’s payment transactions are settled through one Issuing Bank, Sutton Bank. For the years ended December 31, 2019 and 2020, and the three months ended March 31, 2020 and 2021, approximately 97%, 96%, 95% and 94% of the Company’s TPV was settled through Sutton Bank,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Company’s customers’ receivables are derived primarily from Customers located in the United States. The Company does not require collateral on accounts receivable balances and maintains allowances for potential credit losses when deemed necessary.</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For each significant Customer, revenue as a percentage of total net revenue and customers’ receivables as a percentage of total customers’ receivables are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52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Percent of Net Revenue for</w:t>
            </w:r>
          </w:p>
        </w:tc>
        <w:tc>
          <w:tcPr>
            <w:tcW w:w="2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Percent of Net Revenue</w:t>
            </w:r>
          </w:p>
        </w:tc>
      </w:tr>
      <w:tr>
        <w:trPr>
          <w:trHeight w:val="171"/>
        </w:trPr>
        <w:tc>
          <w:tcPr>
            <w:tcW w:w="4880" w:type="dxa"/>
            <w:vAlign w:val="bottom"/>
          </w:tcPr>
          <w:p>
            <w:pPr>
              <w:spacing w:after="0"/>
              <w:rPr>
                <w:sz w:val="14"/>
                <w:szCs w:val="14"/>
                <w:color w:val="auto"/>
              </w:rPr>
            </w:pPr>
          </w:p>
        </w:tc>
        <w:tc>
          <w:tcPr>
            <w:tcW w:w="3520" w:type="dxa"/>
            <w:vAlign w:val="bottom"/>
            <w:gridSpan w:val="4"/>
          </w:tcPr>
          <w:p>
            <w:pPr>
              <w:jc w:val="right"/>
              <w:ind w:right="1740"/>
              <w:spacing w:after="0"/>
              <w:rPr>
                <w:sz w:val="20"/>
                <w:szCs w:val="20"/>
                <w:color w:val="auto"/>
              </w:rPr>
            </w:pPr>
            <w:r>
              <w:rPr>
                <w:rFonts w:ascii="Arial" w:cs="Arial" w:eastAsia="Arial" w:hAnsi="Arial"/>
                <w:sz w:val="14"/>
                <w:szCs w:val="14"/>
                <w:b w:val="1"/>
                <w:bCs w:val="1"/>
                <w:color w:val="auto"/>
              </w:rPr>
              <w:t>the Year Ended</w:t>
            </w:r>
          </w:p>
        </w:tc>
        <w:tc>
          <w:tcPr>
            <w:tcW w:w="2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w:t>
            </w:r>
          </w:p>
        </w:tc>
      </w:tr>
      <w:tr>
        <w:trPr>
          <w:trHeight w:val="119"/>
        </w:trPr>
        <w:tc>
          <w:tcPr>
            <w:tcW w:w="4880" w:type="dxa"/>
            <w:vAlign w:val="bottom"/>
          </w:tcPr>
          <w:p>
            <w:pPr>
              <w:spacing w:after="0"/>
              <w:rPr>
                <w:sz w:val="10"/>
                <w:szCs w:val="10"/>
                <w:color w:val="auto"/>
              </w:rPr>
            </w:pPr>
          </w:p>
        </w:tc>
        <w:tc>
          <w:tcPr>
            <w:tcW w:w="1760" w:type="dxa"/>
            <w:vAlign w:val="bottom"/>
            <w:tcBorders>
              <w:top w:val="single" w:sz="8" w:color="auto"/>
            </w:tcBorders>
            <w:gridSpan w:val="2"/>
          </w:tcPr>
          <w:p>
            <w:pPr>
              <w:jc w:val="center"/>
              <w:ind w:right="9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920" w:type="dxa"/>
            <w:vAlign w:val="bottom"/>
          </w:tcPr>
          <w:p>
            <w:pPr>
              <w:spacing w:after="0"/>
              <w:rPr>
                <w:sz w:val="10"/>
                <w:szCs w:val="10"/>
                <w:color w:val="auto"/>
              </w:rPr>
            </w:pPr>
          </w:p>
        </w:tc>
        <w:tc>
          <w:tcPr>
            <w:tcW w:w="1640" w:type="dxa"/>
            <w:vAlign w:val="bottom"/>
            <w:tcBorders>
              <w:top w:val="single" w:sz="8" w:color="auto"/>
            </w:tcBorders>
          </w:tcPr>
          <w:p>
            <w:pPr>
              <w:jc w:val="right"/>
              <w:ind w:right="904"/>
              <w:spacing w:after="0" w:line="119" w:lineRule="exact"/>
              <w:rPr>
                <w:sz w:val="20"/>
                <w:szCs w:val="20"/>
                <w:color w:val="auto"/>
              </w:rPr>
            </w:pPr>
            <w:r>
              <w:rPr>
                <w:rFonts w:ascii="Arial" w:cs="Arial" w:eastAsia="Arial" w:hAnsi="Arial"/>
                <w:sz w:val="13"/>
                <w:szCs w:val="13"/>
                <w:b w:val="1"/>
                <w:bCs w:val="1"/>
                <w:color w:val="auto"/>
              </w:rPr>
              <w:t>March 31,</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r>
      <w:tr>
        <w:trPr>
          <w:trHeight w:val="171"/>
        </w:trPr>
        <w:tc>
          <w:tcPr>
            <w:tcW w:w="4880" w:type="dxa"/>
            <w:vAlign w:val="bottom"/>
          </w:tcPr>
          <w:p>
            <w:pPr>
              <w:spacing w:after="0"/>
              <w:rPr>
                <w:sz w:val="14"/>
                <w:szCs w:val="14"/>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2019</w:t>
            </w:r>
          </w:p>
        </w:tc>
        <w:tc>
          <w:tcPr>
            <w:tcW w:w="920" w:type="dxa"/>
            <w:vAlign w:val="bottom"/>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spacing w:after="0"/>
              <w:rPr>
                <w:sz w:val="14"/>
                <w:szCs w:val="14"/>
                <w:color w:val="auto"/>
              </w:rPr>
            </w:pPr>
          </w:p>
        </w:tc>
        <w:tc>
          <w:tcPr>
            <w:tcW w:w="1640" w:type="dxa"/>
            <w:vAlign w:val="bottom"/>
            <w:tcBorders>
              <w:bottom w:val="single" w:sz="8" w:color="auto"/>
            </w:tcBorders>
          </w:tcPr>
          <w:p>
            <w:pPr>
              <w:jc w:val="right"/>
              <w:ind w:right="1064"/>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jc w:val="center"/>
              <w:ind w:left="684"/>
              <w:spacing w:after="0" w:line="142" w:lineRule="exact"/>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70%</w:t>
            </w:r>
          </w:p>
        </w:tc>
        <w:tc>
          <w:tcPr>
            <w:tcW w:w="1640" w:type="dxa"/>
            <w:vAlign w:val="bottom"/>
            <w:shd w:val="clear" w:color="auto" w:fill="CCEEFF"/>
          </w:tcPr>
          <w:p>
            <w:pPr>
              <w:jc w:val="right"/>
              <w:ind w:right="704"/>
              <w:spacing w:after="0"/>
              <w:rPr>
                <w:sz w:val="20"/>
                <w:szCs w:val="20"/>
                <w:color w:val="auto"/>
              </w:rPr>
            </w:pPr>
            <w:r>
              <w:rPr>
                <w:rFonts w:ascii="Arial" w:cs="Arial" w:eastAsia="Arial" w:hAnsi="Arial"/>
                <w:sz w:val="18"/>
                <w:szCs w:val="18"/>
                <w:color w:val="auto"/>
              </w:rPr>
              <w:t>66%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Customer B</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11%</w:t>
            </w: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864"/>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440" w:hanging="324"/>
        <w:spacing w:after="0"/>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Percent of Customers’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6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Receivables as of</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6380" w:type="dxa"/>
            <w:vAlign w:val="bottom"/>
          </w:tcPr>
          <w:p>
            <w:pPr>
              <w:spacing w:after="0"/>
              <w:rPr>
                <w:sz w:val="10"/>
                <w:szCs w:val="10"/>
                <w:color w:val="auto"/>
              </w:rPr>
            </w:pPr>
          </w:p>
        </w:tc>
        <w:tc>
          <w:tcPr>
            <w:tcW w:w="12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0" w:type="dxa"/>
            <w:vAlign w:val="bottom"/>
          </w:tcPr>
          <w:p>
            <w:pPr>
              <w:spacing w:after="0"/>
              <w:rPr>
                <w:sz w:val="10"/>
                <w:szCs w:val="10"/>
                <w:color w:val="auto"/>
              </w:rPr>
            </w:pPr>
          </w:p>
        </w:tc>
        <w:tc>
          <w:tcPr>
            <w:tcW w:w="1840" w:type="dxa"/>
            <w:vAlign w:val="bottom"/>
            <w:gridSpan w:val="2"/>
          </w:tcPr>
          <w:p>
            <w:pPr>
              <w:jc w:val="center"/>
              <w:ind w:right="10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r>
      <w:tr>
        <w:trPr>
          <w:trHeight w:val="171"/>
        </w:trPr>
        <w:tc>
          <w:tcPr>
            <w:tcW w:w="6380" w:type="dxa"/>
            <w:vAlign w:val="bottom"/>
          </w:tcPr>
          <w:p>
            <w:pPr>
              <w:spacing w:after="0"/>
              <w:rPr>
                <w:sz w:val="14"/>
                <w:szCs w:val="14"/>
                <w:color w:val="auto"/>
              </w:rPr>
            </w:pPr>
          </w:p>
        </w:tc>
        <w:tc>
          <w:tcPr>
            <w:tcW w:w="840" w:type="dxa"/>
            <w:vAlign w:val="bottom"/>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142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4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Customer C</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44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bl>
    <w:p>
      <w:pPr>
        <w:spacing w:after="0" w:line="229" w:lineRule="exact"/>
        <w:rPr>
          <w:sz w:val="20"/>
          <w:szCs w:val="20"/>
          <w:color w:val="auto"/>
        </w:rPr>
      </w:pPr>
    </w:p>
    <w:p>
      <w:pPr>
        <w:ind w:left="440" w:hanging="324"/>
        <w:spacing w:after="0"/>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may enter into transactions with related parties.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the 2019 Series E redeemable convertible preferred stock financing discussed in Note 9:</w:t>
      </w:r>
    </w:p>
    <w:p>
      <w:pPr>
        <w:spacing w:after="0" w:line="131" w:lineRule="exact"/>
        <w:rPr>
          <w:sz w:val="20"/>
          <w:szCs w:val="20"/>
          <w:color w:val="auto"/>
        </w:rPr>
      </w:pPr>
    </w:p>
    <w:p>
      <w:pPr>
        <w:jc w:val="both"/>
        <w:ind w:left="880" w:hanging="224"/>
        <w:spacing w:after="0" w:line="257"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issued 6,939,446 shares of Series E redeemable convertible preferred stock in exchange for the same number of shares of common stock that an entity affiliated with the Company’s Chief Executive Officer, Founder, Director and Chairperson, sold at a purchase price of $3.891 per share, for an aggregate purchase price of $27.0 million, to certain investors in the Series E redeemable convertible preferred stock financing, none of which were directors, executive officers or holders of more than 5% of the Company’s outstanding capital stock.</w:t>
      </w:r>
    </w:p>
    <w:p>
      <w:pPr>
        <w:spacing w:after="0" w:line="93" w:lineRule="exact"/>
        <w:rPr>
          <w:rFonts w:ascii="Arial" w:cs="Arial" w:eastAsia="Arial" w:hAnsi="Arial"/>
          <w:sz w:val="18"/>
          <w:szCs w:val="18"/>
          <w:color w:val="auto"/>
        </w:rPr>
      </w:pPr>
    </w:p>
    <w:p>
      <w:pPr>
        <w:jc w:val="both"/>
        <w:ind w:left="880" w:hanging="224"/>
        <w:spacing w:after="0" w:line="301" w:lineRule="auto"/>
        <w:tabs>
          <w:tab w:leader="none" w:pos="8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issued 3,855,248 shares of Series E redeemable convertible preferred stock in exchange for the same number of shares of common stock that an entity affiliated with the Company’s Chief Revenue Officer at the time of the transaction, sold at a purchase price of $3.891 per share, for an aggregate purchase price of $15.0 million, to certain investors in the Series E redeemable convertible preferred stock financing, none of which were directors, executive officers or holders of more than 5% of the Company’s outstanding capital stock.</w:t>
      </w:r>
    </w:p>
    <w:p>
      <w:pPr>
        <w:spacing w:after="0" w:line="62" w:lineRule="exact"/>
        <w:rPr>
          <w:rFonts w:ascii="Arial" w:cs="Arial" w:eastAsia="Arial" w:hAnsi="Arial"/>
          <w:sz w:val="16"/>
          <w:szCs w:val="16"/>
          <w:color w:val="auto"/>
        </w:rPr>
      </w:pPr>
    </w:p>
    <w:p>
      <w:pPr>
        <w:jc w:val="both"/>
        <w:ind w:left="880" w:right="20" w:hanging="224"/>
        <w:spacing w:after="0" w:line="263"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issued 10,771,746 shares of Series E redeemable convertible preferred stock in exchange for the same number of shares of Series A redeemable convertible preferred stock that 83North II Limited Partnership, a holder of more than 5% of outstanding capital stock, sold at a purchase price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880" w:right="20"/>
        <w:spacing w:after="0" w:line="263" w:lineRule="auto"/>
        <w:rPr>
          <w:sz w:val="20"/>
          <w:szCs w:val="20"/>
          <w:color w:val="auto"/>
        </w:rPr>
      </w:pPr>
      <w:r>
        <w:rPr>
          <w:rFonts w:ascii="Arial" w:cs="Arial" w:eastAsia="Arial" w:hAnsi="Arial"/>
          <w:sz w:val="18"/>
          <w:szCs w:val="18"/>
          <w:color w:val="auto"/>
        </w:rPr>
        <w:t>$3.891 per share, for an aggregate purchase price of $41.9 million, to certain investors in Series E redeemable convertible preferred stock financing, including entities affiliated with Vitruvian Partners, a holder of more than 5% of the Company’s outstanding capital stock, but none of which were directors or executive officers.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incurred $14.4 million, $30.4 million, $5.2 million, and $11.0 million in Card Network fees, net, recorded within costs of revenue, to PULSE Network LLC, an entity affiliated with DFS Services LLC, a holder of more than 5% of the Company’s outstanding capital stock, during the years ended December 31, 2019 and 2020, and the three months ended March 31, 2020 and 2021,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Company has evaluated events through April 1, 2021, the date the consolidated financial statements as of and for the years ending December 31, 2019 and 2020 were originally available to be issued, to assess the need for potential recognition or disclosure in the financial statements.</w:t>
      </w:r>
    </w:p>
    <w:p>
      <w:pPr>
        <w:spacing w:after="0" w:line="12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January 1, 2021 through the date the consolidated financial statements were available to be issued, the Company granted options for 4,056,994 shares of common stock with a weighted average exercise price of $10.48 per share to employees and directors, and which are subject to service-based vesting conditions. The aggregate fair value of these options is $49.6 million.</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From January 1, 2021 through the date financial statements were available to be issued, the Company also issued 2,130,993 RSUs to its employees, subject to both service and liquidity vesting conditions. The aggregate fair value of these RSUs is $38.2 million.</w:t>
      </w:r>
    </w:p>
    <w:p>
      <w:pPr>
        <w:spacing w:after="0" w:line="17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February and March 2021,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approximately $5.9 million.</w:t>
      </w:r>
    </w:p>
    <w:p>
      <w:pPr>
        <w:spacing w:after="0" w:line="14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In March 2021, the Company issued a warrant to a Customer to purchase up to 1,100,000 shares of the Company’s common stock over a period of four years, ending in April 2025, at an exercise price of $0.01 per share, for a total fair value of $25.2 million. The warrant becomes exercisable when the vesting conditions are met. Vesting is contingent on certain performance conditions, which include issuing a sufficient percentage of new cards on the Marqeta Platform over a three-year measurement period. The warrants are treated as consideration payable to a Customer and recorded as a reduction to net revenue based on the vesting milestones and the grant date fair value of the warrant shares.</w:t>
      </w:r>
    </w:p>
    <w:p>
      <w:pPr>
        <w:spacing w:after="0" w:line="176"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 March 2021, the Company issued a warrant to a Customer to purchase up to 50,000 shares of the Company’s common stock over a period of four years, ending in April 2025, at an exercise price of $0.01 per share. The aggregate grant date fair value of the warrant was $1.2 million. The warrant’s vesting is contingent on certain performance conditions, which include issuing a specified percentage of new cards on the Marqeta Platform over a three-year measurement period. The warrant is treated as consideration payable to a Customer and recorded as a reduction to net revenue based on the probability of vesting conditions being met and the grant date fair value of the warrant shares.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Subsequent Events (Unaudited)</w:t>
      </w:r>
    </w:p>
    <w:p>
      <w:pPr>
        <w:spacing w:after="0" w:line="121"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In preparing the unaudited interim consolidated financial statements for the three months ended March 31, 2020 and 2021, the Company has evaluated subsequent events through May 31, 2021, the date these unaudited interim consolidated financial statements were available for issuance.</w:t>
      </w:r>
    </w:p>
    <w:p>
      <w:pPr>
        <w:spacing w:after="0" w:line="124"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In April and May 2021, certain economic interest holders acquired outstanding shares of common stock from current or former employees for a purchase price greater than the Company’s estimated fair value at the time of the transactions. The estimated share-based compensation expense for the difference between the price paid and the estimated fair value on the date of the transaction is approximately $11.6 million.</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April 1, 2021 through the date financial statements were available to be issued, the Company granted options for 5,245,000 shares of common stock with a weighted average exercise price of $22.08 per share to employees, directors and consultants, and which are subject to service-based vesting conditions. The estimated aggregate fair value of these options is approximately $62.1 million.</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From April 1, 2021 through the date financial statements were available to be issued, the Company also issued 3,190,913 RSUs to its employees, subject to service-based vesting conditions. The estimated aggregate fair value of these RSUs is approximately $74.4 million.</w:t>
      </w:r>
    </w:p>
    <w:p>
      <w:pPr>
        <w:spacing w:after="0" w:line="170"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addition, in April and May 2021, the Company’s board of directors granted the Chief Executive Officer equity incentive awards in the form of performance-based stock options covering 19,740,923 and 47,267 shares of the Company’s Class B common stock with an exercise price of $21.49 and $23.40 per share, respectively. The awards vest only upon the satisfaction of certain service and performance conditions including the achievement of certain stock price targets. The awards will have a term ending on the seventh anniversary of the IPO date and are eligible to vest based on stock price performance over a performance period beginning upon the expiration of the lock-up period associated with an underwritten public offering of the Company’s Class A common stock.</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May 2021, the Company’s 2021 Stock Option and Incentive Plan and 2021 Employee Stock Purchase Plan were adopted by the board of directors and approved by the stockholders. Both plans will become effective immediately prior to the time that the registration statement of which this prospectus forms a part is declared effective by the SEC.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220345</wp:posOffset>
            </wp:positionV>
            <wp:extent cx="6978015" cy="90951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78015"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45,454,546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334010</wp:posOffset>
            </wp:positionV>
            <wp:extent cx="2691765" cy="3860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917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Class A Common Stock</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0" w:lineRule="exact"/>
        <w:rPr>
          <w:sz w:val="20"/>
          <w:szCs w:val="20"/>
          <w:color w:val="auto"/>
        </w:rPr>
      </w:pPr>
    </w:p>
    <w:p>
      <w:pPr>
        <w:sectPr>
          <w:pgSz w:w="11900" w:h="16838" w:orient="portrait"/>
          <w:cols w:equalWidth="0" w:num="2">
            <w:col w:w="9100" w:space="720"/>
            <w:col w:w="1320"/>
          </w:cols>
          <w:pgMar w:left="320" w:top="459" w:right="439" w:bottom="1440" w:gutter="0" w:footer="0" w:header="0"/>
          <w:type w:val="continuous"/>
        </w:sectPr>
      </w:pPr>
    </w:p>
    <w:p>
      <w:pPr>
        <w:spacing w:after="0" w:line="48" w:lineRule="exact"/>
        <w:rPr>
          <w:sz w:val="20"/>
          <w:szCs w:val="20"/>
          <w:color w:val="auto"/>
        </w:rPr>
      </w:pPr>
    </w:p>
    <w:p>
      <w:pPr>
        <w:ind w:left="1340"/>
        <w:spacing w:after="0"/>
        <w:rPr>
          <w:sz w:val="20"/>
          <w:szCs w:val="20"/>
          <w:color w:val="auto"/>
        </w:rPr>
      </w:pPr>
      <w:r>
        <w:rPr>
          <w:rFonts w:ascii="Arial" w:cs="Arial" w:eastAsia="Arial" w:hAnsi="Arial"/>
          <w:sz w:val="21"/>
          <w:szCs w:val="21"/>
          <w:b w:val="1"/>
          <w:bCs w:val="1"/>
          <w:color w:val="auto"/>
        </w:rPr>
        <w:t>Citigroup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Barclays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William Blair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KeyBanc Capital Markets</w:t>
      </w:r>
    </w:p>
    <w:p>
      <w:pPr>
        <w:spacing w:after="0" w:line="178" w:lineRule="exact"/>
        <w:rPr>
          <w:sz w:val="20"/>
          <w:szCs w:val="20"/>
          <w:color w:val="auto"/>
        </w:rPr>
      </w:pPr>
    </w:p>
    <w:p>
      <w:pPr>
        <w:sectPr>
          <w:pgSz w:w="11900" w:h="16838" w:orient="portrait"/>
          <w:cols w:equalWidth="0" w:num="4">
            <w:col w:w="2360" w:space="720"/>
            <w:col w:w="900" w:space="720"/>
            <w:col w:w="2100" w:space="720"/>
            <w:col w:w="3620"/>
          </w:cols>
          <w:pgMar w:left="320" w:top="459" w:right="439" w:bottom="1440" w:gutter="0" w:footer="0" w:header="0"/>
          <w:type w:val="continuous"/>
        </w:sectPr>
      </w:pPr>
    </w:p>
    <w:p>
      <w:pPr>
        <w:ind w:left="2460"/>
        <w:spacing w:after="0"/>
        <w:rPr>
          <w:sz w:val="20"/>
          <w:szCs w:val="20"/>
          <w:color w:val="auto"/>
        </w:rPr>
      </w:pPr>
      <w:r>
        <w:rPr>
          <w:rFonts w:ascii="Arial" w:cs="Arial" w:eastAsia="Arial" w:hAnsi="Arial"/>
          <w:sz w:val="19"/>
          <w:szCs w:val="19"/>
          <w:b w:val="1"/>
          <w:bCs w:val="1"/>
          <w:color w:val="auto"/>
        </w:rPr>
        <w:t>Nomura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HSBC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R. Seelaus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2566035</wp:posOffset>
            </wp:positionV>
            <wp:extent cx="69951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2617470</wp:posOffset>
            </wp:positionV>
            <wp:extent cx="699516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Siebert Williams Shank</w:t>
      </w:r>
    </w:p>
    <w:p>
      <w:pPr>
        <w:sectPr>
          <w:pgSz w:w="11900" w:h="16838" w:orient="portrait"/>
          <w:cols w:equalWidth="0" w:num="4">
            <w:col w:w="3180" w:space="440"/>
            <w:col w:w="540" w:space="400"/>
            <w:col w:w="1920" w:space="400"/>
            <w:col w:w="4260"/>
          </w:cols>
          <w:pgMar w:left="320" w:top="459" w:right="439" w:bottom="1440" w:gutter="0" w:footer="0" w:header="0"/>
          <w:type w:val="continuous"/>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1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following table sets forth all expenses to be paid by us, other than underwriting discounts and commissions, in connection with this offering. All amounts shown are estimates except for the SEC registration fee, the FINRA filing fee and the Nasdaq Global Select Market, or Nasdaq, listing fee.</w:t>
      </w:r>
    </w:p>
    <w:p>
      <w:pPr>
        <w:sectPr>
          <w:pgSz w:w="11900" w:h="16838" w:orient="portrait"/>
          <w:cols w:equalWidth="0" w:num="1">
            <w:col w:w="11140"/>
          </w:cols>
          <w:pgMar w:left="320" w:top="459" w:right="439" w:bottom="1440" w:gutter="0" w:footer="0" w:header="0"/>
        </w:sect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Printing and engraving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Transfer agent and registrar fees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67"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07"/>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347" w:hanging="347"/>
        <w:spacing w:after="0"/>
        <w:tabs>
          <w:tab w:leader="none" w:pos="3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136,871</w:t>
      </w:r>
    </w:p>
    <w:p>
      <w:pPr>
        <w:spacing w:after="0" w:line="30" w:lineRule="exact"/>
        <w:rPr>
          <w:rFonts w:ascii="Arial" w:cs="Arial" w:eastAsia="Arial" w:hAnsi="Arial"/>
          <w:sz w:val="16"/>
          <w:szCs w:val="16"/>
          <w:color w:val="auto"/>
        </w:rPr>
      </w:pPr>
    </w:p>
    <w:p>
      <w:pPr>
        <w:ind w:left="347"/>
        <w:spacing w:after="0"/>
        <w:rPr>
          <w:rFonts w:ascii="Arial" w:cs="Arial" w:eastAsia="Arial" w:hAnsi="Arial"/>
          <w:sz w:val="16"/>
          <w:szCs w:val="16"/>
          <w:color w:val="auto"/>
        </w:rPr>
      </w:pPr>
      <w:r>
        <w:rPr>
          <w:rFonts w:ascii="Arial" w:cs="Arial" w:eastAsia="Arial" w:hAnsi="Arial"/>
          <w:sz w:val="16"/>
          <w:szCs w:val="16"/>
          <w:color w:val="auto"/>
        </w:rPr>
        <w:t>188,682</w:t>
      </w:r>
    </w:p>
    <w:p>
      <w:pPr>
        <w:spacing w:after="0" w:line="32" w:lineRule="exact"/>
        <w:rPr>
          <w:rFonts w:ascii="Arial" w:cs="Arial" w:eastAsia="Arial" w:hAnsi="Arial"/>
          <w:sz w:val="16"/>
          <w:szCs w:val="16"/>
          <w:color w:val="auto"/>
        </w:rPr>
      </w:pPr>
    </w:p>
    <w:p>
      <w:pPr>
        <w:ind w:left="347"/>
        <w:spacing w:after="0"/>
        <w:rPr>
          <w:rFonts w:ascii="Arial" w:cs="Arial" w:eastAsia="Arial" w:hAnsi="Arial"/>
          <w:sz w:val="16"/>
          <w:szCs w:val="16"/>
          <w:color w:val="auto"/>
        </w:rPr>
      </w:pPr>
      <w:r>
        <w:rPr>
          <w:rFonts w:ascii="Arial" w:cs="Arial" w:eastAsia="Arial" w:hAnsi="Arial"/>
          <w:sz w:val="16"/>
          <w:szCs w:val="16"/>
          <w:color w:val="auto"/>
        </w:rPr>
        <w:t>210,000</w:t>
      </w:r>
    </w:p>
    <w:p>
      <w:pPr>
        <w:spacing w:after="0" w:line="32" w:lineRule="exact"/>
        <w:rPr>
          <w:rFonts w:ascii="Arial" w:cs="Arial" w:eastAsia="Arial" w:hAnsi="Arial"/>
          <w:sz w:val="16"/>
          <w:szCs w:val="16"/>
          <w:color w:val="auto"/>
        </w:rPr>
      </w:pPr>
    </w:p>
    <w:p>
      <w:pPr>
        <w:ind w:left="347"/>
        <w:spacing w:after="0"/>
        <w:rPr>
          <w:rFonts w:ascii="Arial" w:cs="Arial" w:eastAsia="Arial" w:hAnsi="Arial"/>
          <w:sz w:val="16"/>
          <w:szCs w:val="16"/>
          <w:color w:val="auto"/>
        </w:rPr>
      </w:pPr>
      <w:r>
        <w:rPr>
          <w:rFonts w:ascii="Arial" w:cs="Arial" w:eastAsia="Arial" w:hAnsi="Arial"/>
          <w:sz w:val="16"/>
          <w:szCs w:val="16"/>
          <w:color w:val="auto"/>
        </w:rPr>
        <w:t>600,000</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1,900,000</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3,400,000</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5,000</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911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  6,640,553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59118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9413" w:space="720"/>
            <w:col w:w="1007"/>
          </w:cols>
          <w:pgMar w:left="320" w:top="459" w:right="439" w:bottom="1440" w:gutter="0" w:footer="0" w:header="0"/>
          <w:type w:val="continuous"/>
        </w:sectPr>
      </w:pPr>
    </w:p>
    <w:p>
      <w:pPr>
        <w:jc w:val="both"/>
        <w:ind w:left="120" w:right="20"/>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have adopted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prior to the completion of this offering, we expect to adopt amended and restated bylaws which will provide that we will indemnify,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fullest extent permitted by law, any person who is or was a party or is threatened to be made a party to any action, suit or proceeding by reason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fact that he or she is or was one of our directors or officers or is or was serving at our request as a director or officer of another corporation,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partnership, joint venture, trust or other enterprise. Our amended and restated bylaws are expected to provide that we may indemnify to the fullest extent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permitted by law any person who is or was a party or is threatened to be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type w:val="continuous"/>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losses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underwriting agreement to be filed as Exhibit 1.1 to this registration statement provides for indemnification by the underwriters of the Registrant and its officers and directors for certain liabilities arising under the Securities Act and otherwise.</w:t>
      </w:r>
    </w:p>
    <w:p>
      <w:pPr>
        <w:spacing w:after="0" w:line="278"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January 1, 2018, we made sales of the following unregistered securities: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Issuances</w:t>
      </w:r>
    </w:p>
    <w:p>
      <w:pPr>
        <w:spacing w:after="0" w:line="11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In March 2018, we sold an aggregate of 33,185,680 shares of our Series D-1 redeemable convertible preferred stock to three accredited investors at a purchase price of $1.2053 per share, for an aggregate purchase price of $39,999,806.</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From March 2019 through May 2019, we sold an aggregate of 38,552,483 shares of our Series E redeemable convertible preferred stock to six accredited investors at a purchase price of $3.8908 per share, for an aggregate purchase price of $150,000,001.</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May 2020 and September 2020, we sold an aggregate of 20,989,756 shares of our Series E-1 redeemable convertible preferred stock to two accredited investors at a purchase price of $8.3374 per share, for an aggregate purchase price of $174,999,992.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Restricted Stock Unit and Common Issuances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Since January 1, 2018, we granted to our employees, consultants and other service providers options to purchase an aggregate of 60,026,456 shares of common stock under our Amended and Restated 2011 Equity Incentive Plan, or our 2011 Plan, at exercise prices ranging from $0.26 to $23.40 per share.</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Since January 1, 2018, we granted to our employees, consultants and other service providers restricted stock units representing an aggregate of 9,893,792 shares of common stock under our 2011 Plan. We began granting restricted stock units in 2020.</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Since January 1, 2018, we issued and sold to our employees, consultants and other service providers an aggregate of 19,569,516 shares of common stock upon the exercise of options under our 2011 Plan at exercise prices ranging from $0.01 to $10.48 per share, for a weighted-average exercise price of $0.399.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Issuances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September 15, 2020, we granted Uber Technologies, Inc., or Uber, a warrant to purchase up to 750,000 shares of common stock at an exercise price of $0.01 per share, 22,500 of which are currently exercisable and 727,500 of which are exercisable upon attaining certain milestones over a five-year period, including the launch of certain Uber card programs on our Platform, achievement of annual transaction count thresholds and completion of certain joint marketing activities.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March 13, 2021, we granted Square, Inc., or Square, a warrant to purchase up to 1,100,000 shares of common stock at an exercise price of $0.01 per share, none of which are currently exercisable and all of which are exercisable upon attaining certain milestones relating to Square’s creation of a specified percentage of new cardholders on our Platform each year over a three-year period.</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March 31, 2021, we granted Ramp Business Corporation, or Ramp, a warrant to purchase up to 50,000 shares of common stock at an exercise price of $0.01 per share, none of which are currently exercisable and all of which are exercisable upon attaining certain milestones relating to Ramp’s creation of a specified percentage of new cardholders on our Platform each year over a three-year period.</w:t>
      </w:r>
    </w:p>
    <w:p>
      <w:pPr>
        <w:spacing w:after="0" w:line="184"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believe these transactions were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Marqeta.</w:t>
      </w:r>
    </w:p>
    <w:p>
      <w:pPr>
        <w:spacing w:after="0" w:line="300"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31"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380" w:type="dxa"/>
            <w:vAlign w:val="bottom"/>
            <w:gridSpan w:val="6"/>
            <w:vMerge w:val="restart"/>
          </w:tcPr>
          <w:p>
            <w:pPr>
              <w:ind w:left="20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3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640" w:type="dxa"/>
            <w:vAlign w:val="bottom"/>
          </w:tcPr>
          <w:p>
            <w:pPr>
              <w:spacing w:after="0"/>
              <w:rPr>
                <w:sz w:val="24"/>
                <w:szCs w:val="24"/>
                <w:color w:val="auto"/>
              </w:rPr>
            </w:pPr>
          </w:p>
        </w:tc>
        <w:tc>
          <w:tcPr>
            <w:tcW w:w="2500" w:type="dxa"/>
            <w:vAlign w:val="bottom"/>
            <w:tcBorders>
              <w:bottom w:val="single" w:sz="8" w:color="0000EE"/>
            </w:tcBorders>
            <w:gridSpan w:val="2"/>
          </w:tcPr>
          <w:p>
            <w:pPr>
              <w:spacing w:after="0"/>
              <w:rPr>
                <w:rFonts w:ascii="Arial" w:cs="Arial" w:eastAsia="Arial" w:hAnsi="Arial"/>
                <w:sz w:val="18"/>
                <w:szCs w:val="18"/>
                <w:color w:val="0000EE"/>
                <w:w w:val="93"/>
              </w:rPr>
            </w:pPr>
            <w:hyperlink r:id="rId336">
              <w:r>
                <w:rPr>
                  <w:rFonts w:ascii="Arial" w:cs="Arial" w:eastAsia="Arial" w:hAnsi="Arial"/>
                  <w:sz w:val="18"/>
                  <w:szCs w:val="18"/>
                  <w:color w:val="0000EE"/>
                  <w:w w:val="93"/>
                </w:rPr>
                <w:t>Form of Underwriting Agreement.</w:t>
              </w:r>
            </w:hyperlink>
          </w:p>
        </w:tc>
        <w:tc>
          <w:tcPr>
            <w:tcW w:w="2060" w:type="dxa"/>
            <w:vAlign w:val="bottom"/>
          </w:tcPr>
          <w:p>
            <w:pPr>
              <w:spacing w:after="0"/>
              <w:rPr>
                <w:sz w:val="24"/>
                <w:szCs w:val="24"/>
                <w:color w:val="auto"/>
              </w:rPr>
            </w:pPr>
          </w:p>
        </w:tc>
        <w:tc>
          <w:tcPr>
            <w:tcW w:w="780" w:type="dxa"/>
            <w:vAlign w:val="bottom"/>
            <w:tcBorders>
              <w:top w:val="single" w:sz="8" w:color="auto"/>
            </w:tcBorders>
            <w:gridSpan w:val="2"/>
          </w:tcPr>
          <w:p>
            <w:pPr>
              <w:spacing w:after="0"/>
              <w:rPr>
                <w:sz w:val="24"/>
                <w:szCs w:val="24"/>
                <w:color w:val="auto"/>
              </w:rPr>
            </w:pPr>
          </w:p>
        </w:tc>
        <w:tc>
          <w:tcPr>
            <w:tcW w:w="45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640" w:type="dxa"/>
            <w:vAlign w:val="bottom"/>
          </w:tcPr>
          <w:p>
            <w:pPr>
              <w:spacing w:after="0"/>
              <w:rPr>
                <w:sz w:val="24"/>
                <w:szCs w:val="24"/>
                <w:color w:val="auto"/>
              </w:rPr>
            </w:pPr>
          </w:p>
        </w:tc>
        <w:tc>
          <w:tcPr>
            <w:tcW w:w="9880" w:type="dxa"/>
            <w:vAlign w:val="bottom"/>
            <w:gridSpan w:val="8"/>
          </w:tcPr>
          <w:p>
            <w:pPr>
              <w:spacing w:after="0"/>
              <w:rPr>
                <w:rFonts w:ascii="Arial" w:cs="Arial" w:eastAsia="Arial" w:hAnsi="Arial"/>
                <w:sz w:val="18"/>
                <w:szCs w:val="18"/>
                <w:color w:val="0000EE"/>
              </w:rPr>
            </w:pPr>
            <w:hyperlink r:id="rId337">
              <w:r>
                <w:rPr>
                  <w:rFonts w:ascii="Arial" w:cs="Arial" w:eastAsia="Arial" w:hAnsi="Arial"/>
                  <w:sz w:val="18"/>
                  <w:szCs w:val="18"/>
                  <w:color w:val="0000EE"/>
                </w:rPr>
                <w:t>Amended and Restated Certificate of Incorporation of the Registrant, as amended, as currently in effect.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640" w:type="dxa"/>
            <w:vAlign w:val="bottom"/>
          </w:tcPr>
          <w:p>
            <w:pPr>
              <w:spacing w:after="0"/>
              <w:rPr>
                <w:sz w:val="24"/>
                <w:szCs w:val="24"/>
                <w:color w:val="auto"/>
              </w:rPr>
            </w:pPr>
          </w:p>
        </w:tc>
        <w:tc>
          <w:tcPr>
            <w:tcW w:w="9880" w:type="dxa"/>
            <w:vAlign w:val="bottom"/>
            <w:gridSpan w:val="8"/>
          </w:tcPr>
          <w:p>
            <w:pPr>
              <w:spacing w:after="0"/>
              <w:rPr>
                <w:rFonts w:ascii="Arial" w:cs="Arial" w:eastAsia="Arial" w:hAnsi="Arial"/>
                <w:sz w:val="18"/>
                <w:szCs w:val="18"/>
                <w:color w:val="0000EE"/>
                <w:w w:val="93"/>
              </w:rPr>
            </w:pPr>
            <w:hyperlink r:id="rId338">
              <w:r>
                <w:rPr>
                  <w:rFonts w:ascii="Arial" w:cs="Arial" w:eastAsia="Arial" w:hAnsi="Arial"/>
                  <w:sz w:val="18"/>
                  <w:szCs w:val="18"/>
                  <w:color w:val="0000EE"/>
                  <w:w w:val="93"/>
                </w:rPr>
                <w:t>Form of Amended and Restated Certificate of Incorporation of the Registrant to be in effect immediately prior to the completion of this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338">
              <w:r>
                <w:rPr>
                  <w:rFonts w:ascii="Arial" w:cs="Arial" w:eastAsia="Arial" w:hAnsi="Arial"/>
                  <w:sz w:val="18"/>
                  <w:szCs w:val="18"/>
                  <w:color w:val="0000EE"/>
                </w:rPr>
                <w:t>offering.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center"/>
              <w:spacing w:after="0"/>
              <w:rPr>
                <w:sz w:val="20"/>
                <w:szCs w:val="20"/>
                <w:color w:val="auto"/>
              </w:rPr>
            </w:pPr>
            <w:r>
              <w:rPr>
                <w:rFonts w:ascii="Arial" w:cs="Arial" w:eastAsia="Arial" w:hAnsi="Arial"/>
                <w:sz w:val="18"/>
                <w:szCs w:val="18"/>
                <w:color w:val="auto"/>
                <w:w w:val="99"/>
              </w:rPr>
              <w:t>3.3*</w:t>
            </w:r>
          </w:p>
        </w:tc>
        <w:tc>
          <w:tcPr>
            <w:tcW w:w="640" w:type="dxa"/>
            <w:vAlign w:val="bottom"/>
          </w:tcPr>
          <w:p>
            <w:pPr>
              <w:spacing w:after="0"/>
              <w:rPr>
                <w:sz w:val="24"/>
                <w:szCs w:val="24"/>
                <w:color w:val="auto"/>
              </w:rPr>
            </w:pPr>
          </w:p>
        </w:tc>
        <w:tc>
          <w:tcPr>
            <w:tcW w:w="5120" w:type="dxa"/>
            <w:vAlign w:val="bottom"/>
            <w:tcBorders>
              <w:bottom w:val="single" w:sz="8" w:color="0000EE"/>
            </w:tcBorders>
            <w:gridSpan w:val="4"/>
          </w:tcPr>
          <w:p>
            <w:pPr>
              <w:spacing w:after="0"/>
              <w:rPr>
                <w:rFonts w:ascii="Arial" w:cs="Arial" w:eastAsia="Arial" w:hAnsi="Arial"/>
                <w:sz w:val="18"/>
                <w:szCs w:val="18"/>
                <w:color w:val="0000EE"/>
                <w:w w:val="90"/>
              </w:rPr>
            </w:pPr>
            <w:hyperlink r:id="rId339">
              <w:r>
                <w:rPr>
                  <w:rFonts w:ascii="Arial" w:cs="Arial" w:eastAsia="Arial" w:hAnsi="Arial"/>
                  <w:sz w:val="18"/>
                  <w:szCs w:val="18"/>
                  <w:color w:val="0000EE"/>
                  <w:w w:val="90"/>
                </w:rPr>
                <w:t>Amended and Restated Bylaws of the Registrant, as currently in effect.</w:t>
              </w:r>
            </w:hyperlink>
          </w:p>
        </w:tc>
        <w:tc>
          <w:tcPr>
            <w:tcW w:w="4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380" w:type="dxa"/>
            <w:vAlign w:val="bottom"/>
            <w:gridSpan w:val="6"/>
          </w:tcPr>
          <w:p>
            <w:pPr>
              <w:ind w:left="172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36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36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500" w:type="dxa"/>
            <w:vAlign w:val="bottom"/>
          </w:tcPr>
          <w:p>
            <w:pPr>
              <w:jc w:val="center"/>
              <w:ind w:right="96"/>
              <w:spacing w:after="0"/>
              <w:rPr>
                <w:sz w:val="20"/>
                <w:szCs w:val="20"/>
                <w:color w:val="auto"/>
              </w:rPr>
            </w:pPr>
            <w:r>
              <w:rPr>
                <w:rFonts w:ascii="Arial" w:cs="Arial" w:eastAsia="Arial" w:hAnsi="Arial"/>
                <w:sz w:val="18"/>
                <w:szCs w:val="18"/>
                <w:color w:val="auto"/>
                <w:w w:val="99"/>
              </w:rPr>
              <w:t>3.4*</w:t>
            </w:r>
          </w:p>
        </w:tc>
        <w:tc>
          <w:tcPr>
            <w:tcW w:w="520" w:type="dxa"/>
            <w:vAlign w:val="bottom"/>
          </w:tcPr>
          <w:p>
            <w:pPr>
              <w:spacing w:after="0"/>
              <w:rPr>
                <w:sz w:val="24"/>
                <w:szCs w:val="24"/>
                <w:color w:val="auto"/>
              </w:rPr>
            </w:pPr>
          </w:p>
        </w:tc>
        <w:tc>
          <w:tcPr>
            <w:tcW w:w="8980" w:type="dxa"/>
            <w:vAlign w:val="bottom"/>
            <w:tcBorders>
              <w:bottom w:val="single" w:sz="8" w:color="0000EE"/>
            </w:tcBorders>
            <w:gridSpan w:val="24"/>
          </w:tcPr>
          <w:p>
            <w:pPr>
              <w:spacing w:after="0"/>
              <w:rPr>
                <w:rFonts w:ascii="Arial" w:cs="Arial" w:eastAsia="Arial" w:hAnsi="Arial"/>
                <w:sz w:val="18"/>
                <w:szCs w:val="18"/>
                <w:color w:val="0000EE"/>
                <w:w w:val="91"/>
              </w:rPr>
            </w:pPr>
            <w:hyperlink r:id="rId341">
              <w:r>
                <w:rPr>
                  <w:rFonts w:ascii="Arial" w:cs="Arial" w:eastAsia="Arial" w:hAnsi="Arial"/>
                  <w:sz w:val="18"/>
                  <w:szCs w:val="18"/>
                  <w:color w:val="0000EE"/>
                  <w:w w:val="91"/>
                </w:rPr>
                <w:t>Form of Amended and Restated Bylaws of the Registrant to be in effect immediately prior to the completion of this offering.</w:t>
              </w:r>
            </w:hyperlink>
          </w:p>
        </w:tc>
        <w:tc>
          <w:tcPr>
            <w:tcW w:w="9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center"/>
              <w:ind w:right="16"/>
              <w:spacing w:after="0"/>
              <w:rPr>
                <w:sz w:val="20"/>
                <w:szCs w:val="20"/>
                <w:color w:val="auto"/>
              </w:rPr>
            </w:pPr>
            <w:r>
              <w:rPr>
                <w:rFonts w:ascii="Arial" w:cs="Arial" w:eastAsia="Arial" w:hAnsi="Arial"/>
                <w:sz w:val="18"/>
                <w:szCs w:val="18"/>
                <w:color w:val="auto"/>
                <w:w w:val="99"/>
              </w:rPr>
              <w:t>4.1*</w:t>
            </w:r>
          </w:p>
        </w:tc>
        <w:tc>
          <w:tcPr>
            <w:tcW w:w="520" w:type="dxa"/>
            <w:vAlign w:val="bottom"/>
          </w:tcPr>
          <w:p>
            <w:pPr>
              <w:spacing w:after="0"/>
              <w:rPr>
                <w:sz w:val="24"/>
                <w:szCs w:val="24"/>
                <w:color w:val="auto"/>
              </w:rPr>
            </w:pPr>
          </w:p>
        </w:tc>
        <w:tc>
          <w:tcPr>
            <w:tcW w:w="9920" w:type="dxa"/>
            <w:vAlign w:val="bottom"/>
            <w:gridSpan w:val="27"/>
          </w:tcPr>
          <w:p>
            <w:pPr>
              <w:spacing w:after="0"/>
              <w:rPr>
                <w:rFonts w:ascii="Arial" w:cs="Arial" w:eastAsia="Arial" w:hAnsi="Arial"/>
                <w:sz w:val="18"/>
                <w:szCs w:val="18"/>
                <w:color w:val="0000EE"/>
              </w:rPr>
            </w:pPr>
            <w:hyperlink r:id="rId342">
              <w:r>
                <w:rPr>
                  <w:rFonts w:ascii="Arial" w:cs="Arial" w:eastAsia="Arial" w:hAnsi="Arial"/>
                  <w:sz w:val="18"/>
                  <w:szCs w:val="18"/>
                  <w:color w:val="0000EE"/>
                </w:rPr>
                <w:t>Form of Class A common stock certificate of the Registrant.</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center"/>
              <w:ind w:right="16"/>
              <w:spacing w:after="0"/>
              <w:rPr>
                <w:sz w:val="20"/>
                <w:szCs w:val="20"/>
                <w:color w:val="auto"/>
              </w:rPr>
            </w:pPr>
            <w:r>
              <w:rPr>
                <w:rFonts w:ascii="Arial" w:cs="Arial" w:eastAsia="Arial" w:hAnsi="Arial"/>
                <w:sz w:val="18"/>
                <w:szCs w:val="18"/>
                <w:color w:val="auto"/>
                <w:w w:val="99"/>
              </w:rPr>
              <w:t>4.2*</w:t>
            </w:r>
          </w:p>
        </w:tc>
        <w:tc>
          <w:tcPr>
            <w:tcW w:w="520" w:type="dxa"/>
            <w:vAlign w:val="bottom"/>
          </w:tcPr>
          <w:p>
            <w:pPr>
              <w:spacing w:after="0"/>
              <w:rPr>
                <w:sz w:val="24"/>
                <w:szCs w:val="24"/>
                <w:color w:val="auto"/>
              </w:rPr>
            </w:pPr>
          </w:p>
        </w:tc>
        <w:tc>
          <w:tcPr>
            <w:tcW w:w="9680" w:type="dxa"/>
            <w:vAlign w:val="bottom"/>
            <w:tcBorders>
              <w:bottom w:val="single" w:sz="8" w:color="0000EE"/>
            </w:tcBorders>
            <w:gridSpan w:val="25"/>
          </w:tcPr>
          <w:p>
            <w:pPr>
              <w:spacing w:after="0"/>
              <w:rPr>
                <w:rFonts w:ascii="Arial" w:cs="Arial" w:eastAsia="Arial" w:hAnsi="Arial"/>
                <w:sz w:val="18"/>
                <w:szCs w:val="18"/>
                <w:color w:val="0000EE"/>
                <w:w w:val="89"/>
              </w:rPr>
            </w:pPr>
            <w:hyperlink r:id="rId343">
              <w:r>
                <w:rPr>
                  <w:rFonts w:ascii="Arial" w:cs="Arial" w:eastAsia="Arial" w:hAnsi="Arial"/>
                  <w:sz w:val="18"/>
                  <w:szCs w:val="18"/>
                  <w:color w:val="0000EE"/>
                  <w:w w:val="89"/>
                </w:rPr>
                <w:t>Amended and Restated Investors Rights Agreement, dated May 27, 2020, by and among the Registrant and certain of its stockholders.</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center"/>
              <w:ind w:right="16"/>
              <w:spacing w:after="0"/>
              <w:rPr>
                <w:sz w:val="20"/>
                <w:szCs w:val="20"/>
                <w:color w:val="auto"/>
              </w:rPr>
            </w:pPr>
            <w:r>
              <w:rPr>
                <w:rFonts w:ascii="Arial" w:cs="Arial" w:eastAsia="Arial" w:hAnsi="Arial"/>
                <w:sz w:val="18"/>
                <w:szCs w:val="18"/>
                <w:color w:val="auto"/>
                <w:w w:val="99"/>
              </w:rPr>
              <w:t>4.3*</w:t>
            </w:r>
          </w:p>
        </w:tc>
        <w:tc>
          <w:tcPr>
            <w:tcW w:w="520" w:type="dxa"/>
            <w:vAlign w:val="bottom"/>
          </w:tcPr>
          <w:p>
            <w:pPr>
              <w:spacing w:after="0"/>
              <w:rPr>
                <w:sz w:val="24"/>
                <w:szCs w:val="24"/>
                <w:color w:val="auto"/>
              </w:rPr>
            </w:pPr>
          </w:p>
        </w:tc>
        <w:tc>
          <w:tcPr>
            <w:tcW w:w="8080" w:type="dxa"/>
            <w:vAlign w:val="bottom"/>
            <w:tcBorders>
              <w:bottom w:val="single" w:sz="8" w:color="0000EE"/>
            </w:tcBorders>
            <w:gridSpan w:val="22"/>
          </w:tcPr>
          <w:p>
            <w:pPr>
              <w:spacing w:after="0"/>
              <w:rPr>
                <w:rFonts w:ascii="Arial" w:cs="Arial" w:eastAsia="Arial" w:hAnsi="Arial"/>
                <w:sz w:val="18"/>
                <w:szCs w:val="18"/>
                <w:color w:val="0000EE"/>
                <w:w w:val="89"/>
              </w:rPr>
            </w:pPr>
            <w:hyperlink r:id="rId344">
              <w:r>
                <w:rPr>
                  <w:rFonts w:ascii="Arial" w:cs="Arial" w:eastAsia="Arial" w:hAnsi="Arial"/>
                  <w:sz w:val="18"/>
                  <w:szCs w:val="18"/>
                  <w:color w:val="0000EE"/>
                  <w:w w:val="89"/>
                </w:rPr>
                <w:t>Warrant to Purchase Stock issued to Comerica Ventures Incorporated by the Registrant, dated October 11, 2013.</w:t>
              </w:r>
            </w:hyperlink>
          </w:p>
        </w:tc>
        <w:tc>
          <w:tcPr>
            <w:tcW w:w="18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center"/>
              <w:ind w:right="16"/>
              <w:spacing w:after="0"/>
              <w:rPr>
                <w:sz w:val="20"/>
                <w:szCs w:val="20"/>
                <w:color w:val="auto"/>
              </w:rPr>
            </w:pPr>
            <w:r>
              <w:rPr>
                <w:rFonts w:ascii="Arial" w:cs="Arial" w:eastAsia="Arial" w:hAnsi="Arial"/>
                <w:sz w:val="18"/>
                <w:szCs w:val="18"/>
                <w:color w:val="auto"/>
                <w:w w:val="99"/>
              </w:rPr>
              <w:t>4.4*</w:t>
            </w:r>
          </w:p>
        </w:tc>
        <w:tc>
          <w:tcPr>
            <w:tcW w:w="520" w:type="dxa"/>
            <w:vAlign w:val="bottom"/>
          </w:tcPr>
          <w:p>
            <w:pPr>
              <w:spacing w:after="0"/>
              <w:rPr>
                <w:sz w:val="24"/>
                <w:szCs w:val="24"/>
                <w:color w:val="auto"/>
              </w:rPr>
            </w:pPr>
          </w:p>
        </w:tc>
        <w:tc>
          <w:tcPr>
            <w:tcW w:w="9920" w:type="dxa"/>
            <w:vAlign w:val="bottom"/>
            <w:gridSpan w:val="27"/>
          </w:tcPr>
          <w:p>
            <w:pPr>
              <w:spacing w:after="0"/>
              <w:rPr>
                <w:rFonts w:ascii="Arial" w:cs="Arial" w:eastAsia="Arial" w:hAnsi="Arial"/>
                <w:sz w:val="18"/>
                <w:szCs w:val="18"/>
                <w:color w:val="0000EE"/>
              </w:rPr>
            </w:pPr>
            <w:hyperlink r:id="rId345">
              <w:r>
                <w:rPr>
                  <w:rFonts w:ascii="Arial" w:cs="Arial" w:eastAsia="Arial" w:hAnsi="Arial"/>
                  <w:sz w:val="18"/>
                  <w:szCs w:val="18"/>
                  <w:color w:val="0000EE"/>
                </w:rPr>
                <w:t>Warrant to Purchase Stock issued to Comerica Ventures Incorporated by the Registrant, dated October 11, 2013.</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jc w:val="center"/>
              <w:ind w:right="16"/>
              <w:spacing w:after="0"/>
              <w:rPr>
                <w:sz w:val="20"/>
                <w:szCs w:val="20"/>
                <w:color w:val="auto"/>
              </w:rPr>
            </w:pPr>
            <w:r>
              <w:rPr>
                <w:rFonts w:ascii="Arial" w:cs="Arial" w:eastAsia="Arial" w:hAnsi="Arial"/>
                <w:sz w:val="18"/>
                <w:szCs w:val="18"/>
                <w:color w:val="auto"/>
                <w:w w:val="99"/>
              </w:rPr>
              <w:t>4.5*</w:t>
            </w:r>
          </w:p>
        </w:tc>
        <w:tc>
          <w:tcPr>
            <w:tcW w:w="520" w:type="dxa"/>
            <w:vAlign w:val="bottom"/>
          </w:tcPr>
          <w:p>
            <w:pPr>
              <w:spacing w:after="0"/>
              <w:rPr>
                <w:sz w:val="24"/>
                <w:szCs w:val="24"/>
                <w:color w:val="auto"/>
              </w:rPr>
            </w:pPr>
          </w:p>
        </w:tc>
        <w:tc>
          <w:tcPr>
            <w:tcW w:w="8060" w:type="dxa"/>
            <w:vAlign w:val="bottom"/>
            <w:tcBorders>
              <w:top w:val="single" w:sz="8" w:color="0000EE"/>
            </w:tcBorders>
            <w:gridSpan w:val="21"/>
          </w:tcPr>
          <w:p>
            <w:pPr>
              <w:spacing w:after="0"/>
              <w:rPr>
                <w:rFonts w:ascii="Arial" w:cs="Arial" w:eastAsia="Arial" w:hAnsi="Arial"/>
                <w:sz w:val="18"/>
                <w:szCs w:val="18"/>
                <w:color w:val="0000EE"/>
                <w:w w:val="92"/>
              </w:rPr>
            </w:pPr>
            <w:hyperlink r:id="rId346">
              <w:r>
                <w:rPr>
                  <w:rFonts w:ascii="Arial" w:cs="Arial" w:eastAsia="Arial" w:hAnsi="Arial"/>
                  <w:sz w:val="18"/>
                  <w:szCs w:val="18"/>
                  <w:color w:val="0000EE"/>
                  <w:w w:val="92"/>
                </w:rPr>
                <w:t>Warrant to Purchase Common Stock issued to Silicon Valley Bank by the Registrant, dated October 22, 2015.</w:t>
              </w:r>
            </w:hyperlink>
          </w:p>
        </w:tc>
        <w:tc>
          <w:tcPr>
            <w:tcW w:w="18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center"/>
              <w:ind w:right="16"/>
              <w:spacing w:after="0"/>
              <w:rPr>
                <w:sz w:val="20"/>
                <w:szCs w:val="20"/>
                <w:color w:val="auto"/>
              </w:rPr>
            </w:pPr>
            <w:r>
              <w:rPr>
                <w:rFonts w:ascii="Arial" w:cs="Arial" w:eastAsia="Arial" w:hAnsi="Arial"/>
                <w:sz w:val="18"/>
                <w:szCs w:val="18"/>
                <w:color w:val="auto"/>
                <w:w w:val="99"/>
              </w:rPr>
              <w:t>4.6*</w:t>
            </w:r>
          </w:p>
        </w:tc>
        <w:tc>
          <w:tcPr>
            <w:tcW w:w="520" w:type="dxa"/>
            <w:vAlign w:val="bottom"/>
          </w:tcPr>
          <w:p>
            <w:pPr>
              <w:spacing w:after="0"/>
              <w:rPr>
                <w:sz w:val="24"/>
                <w:szCs w:val="24"/>
                <w:color w:val="auto"/>
              </w:rPr>
            </w:pPr>
          </w:p>
        </w:tc>
        <w:tc>
          <w:tcPr>
            <w:tcW w:w="7880" w:type="dxa"/>
            <w:vAlign w:val="bottom"/>
            <w:tcBorders>
              <w:top w:val="single" w:sz="8" w:color="0000EE"/>
            </w:tcBorders>
            <w:gridSpan w:val="20"/>
          </w:tcPr>
          <w:p>
            <w:pPr>
              <w:spacing w:after="0"/>
              <w:rPr>
                <w:rFonts w:ascii="Arial" w:cs="Arial" w:eastAsia="Arial" w:hAnsi="Arial"/>
                <w:sz w:val="18"/>
                <w:szCs w:val="18"/>
                <w:color w:val="0000EE"/>
                <w:w w:val="95"/>
              </w:rPr>
            </w:pPr>
            <w:hyperlink r:id="rId347">
              <w:r>
                <w:rPr>
                  <w:rFonts w:ascii="Arial" w:cs="Arial" w:eastAsia="Arial" w:hAnsi="Arial"/>
                  <w:sz w:val="18"/>
                  <w:szCs w:val="18"/>
                  <w:color w:val="0000EE"/>
                  <w:w w:val="95"/>
                </w:rPr>
                <w:t>Warrant to Purchase Stock issued to Silicon Valley Bank by the Registrant, dated September 26, 2016.</w:t>
              </w:r>
            </w:hyperlink>
          </w:p>
        </w:tc>
        <w:tc>
          <w:tcPr>
            <w:tcW w:w="20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500" w:type="dxa"/>
            <w:vAlign w:val="bottom"/>
          </w:tcPr>
          <w:p>
            <w:pPr>
              <w:jc w:val="center"/>
              <w:ind w:right="96"/>
              <w:spacing w:after="0"/>
              <w:rPr>
                <w:sz w:val="20"/>
                <w:szCs w:val="20"/>
                <w:color w:val="auto"/>
              </w:rPr>
            </w:pPr>
            <w:r>
              <w:rPr>
                <w:rFonts w:ascii="Arial" w:cs="Arial" w:eastAsia="Arial" w:hAnsi="Arial"/>
                <w:sz w:val="18"/>
                <w:szCs w:val="18"/>
                <w:color w:val="auto"/>
                <w:w w:val="91"/>
              </w:rPr>
              <w:t>4.7†</w:t>
            </w:r>
          </w:p>
        </w:tc>
        <w:tc>
          <w:tcPr>
            <w:tcW w:w="520" w:type="dxa"/>
            <w:vAlign w:val="bottom"/>
          </w:tcPr>
          <w:p>
            <w:pPr>
              <w:spacing w:after="0"/>
              <w:rPr>
                <w:sz w:val="24"/>
                <w:szCs w:val="24"/>
                <w:color w:val="auto"/>
              </w:rPr>
            </w:pPr>
          </w:p>
        </w:tc>
        <w:tc>
          <w:tcPr>
            <w:tcW w:w="992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244">
              <w:r>
                <w:rPr>
                  <w:rFonts w:ascii="Arial" w:cs="Arial" w:eastAsia="Arial" w:hAnsi="Arial"/>
                  <w:sz w:val="18"/>
                  <w:szCs w:val="18"/>
                  <w:color w:val="0000EE"/>
                  <w:w w:val="93"/>
                </w:rPr>
                <w:t>Warrant to Purchase Common Stock issued to Uber Technologies, Inc. by the Registrant, dated September 15, 2020, as amended 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44">
              <w:r>
                <w:rPr>
                  <w:rFonts w:ascii="Arial" w:cs="Arial" w:eastAsia="Arial" w:hAnsi="Arial"/>
                  <w:sz w:val="18"/>
                  <w:szCs w:val="18"/>
                  <w:color w:val="0000EE"/>
                  <w:w w:val="89"/>
                </w:rPr>
                <w:t>January 7, 2021, and May 22, 2021.</w:t>
              </w:r>
            </w:hyperlink>
          </w:p>
        </w:tc>
        <w:tc>
          <w:tcPr>
            <w:tcW w:w="73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24"/>
                <w:szCs w:val="24"/>
                <w:color w:val="auto"/>
              </w:rPr>
            </w:pPr>
          </w:p>
        </w:tc>
        <w:tc>
          <w:tcPr>
            <w:tcW w:w="9920" w:type="dxa"/>
            <w:vAlign w:val="bottom"/>
            <w:gridSpan w:val="27"/>
          </w:tcPr>
          <w:p>
            <w:pPr>
              <w:spacing w:after="0"/>
              <w:rPr>
                <w:rFonts w:ascii="Arial" w:cs="Arial" w:eastAsia="Arial" w:hAnsi="Arial"/>
                <w:sz w:val="18"/>
                <w:szCs w:val="18"/>
                <w:color w:val="0000EE"/>
              </w:rPr>
            </w:pPr>
            <w:hyperlink r:id="rId348">
              <w:r>
                <w:rPr>
                  <w:rFonts w:ascii="Arial" w:cs="Arial" w:eastAsia="Arial" w:hAnsi="Arial"/>
                  <w:sz w:val="18"/>
                  <w:szCs w:val="18"/>
                  <w:color w:val="0000EE"/>
                </w:rPr>
                <w:t>Warrant to Purchase Common Stock issued to Square, Inc. by the Registrant, dated March 13, 2021.</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24"/>
                <w:szCs w:val="24"/>
                <w:color w:val="auto"/>
              </w:rPr>
            </w:pPr>
          </w:p>
        </w:tc>
        <w:tc>
          <w:tcPr>
            <w:tcW w:w="9920" w:type="dxa"/>
            <w:vAlign w:val="bottom"/>
            <w:gridSpan w:val="27"/>
          </w:tcPr>
          <w:p>
            <w:pPr>
              <w:spacing w:after="0"/>
              <w:rPr>
                <w:rFonts w:ascii="Arial" w:cs="Arial" w:eastAsia="Arial" w:hAnsi="Arial"/>
                <w:sz w:val="18"/>
                <w:szCs w:val="18"/>
                <w:color w:val="0000EE"/>
              </w:rPr>
            </w:pPr>
            <w:hyperlink r:id="rId349">
              <w:r>
                <w:rPr>
                  <w:rFonts w:ascii="Arial" w:cs="Arial" w:eastAsia="Arial" w:hAnsi="Arial"/>
                  <w:sz w:val="18"/>
                  <w:szCs w:val="18"/>
                  <w:color w:val="0000EE"/>
                </w:rPr>
                <w:t>Warrant to Purchase Common Stock issued to Ramp Business Corporation by the Registrant, dated March 31, 2021.</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67">
              <w:r>
                <w:rPr>
                  <w:rFonts w:ascii="Arial" w:cs="Arial" w:eastAsia="Arial" w:hAnsi="Arial"/>
                  <w:sz w:val="18"/>
                  <w:szCs w:val="18"/>
                  <w:color w:val="0000EE"/>
                  <w:w w:val="92"/>
                </w:rPr>
                <w:t>Opinion of Goodwin Procter LLP.</w:t>
              </w:r>
            </w:hyperlink>
          </w:p>
        </w:tc>
        <w:tc>
          <w:tcPr>
            <w:tcW w:w="5900" w:type="dxa"/>
            <w:vAlign w:val="bottom"/>
            <w:tcBorders>
              <w:top w:val="single" w:sz="8" w:color="0000EE"/>
            </w:tcBorders>
            <w:gridSpan w:val="19"/>
          </w:tcPr>
          <w:p>
            <w:pPr>
              <w:spacing w:after="0"/>
              <w:rPr>
                <w:sz w:val="24"/>
                <w:szCs w:val="24"/>
                <w:color w:val="auto"/>
              </w:rPr>
            </w:pPr>
          </w:p>
        </w:tc>
        <w:tc>
          <w:tcPr>
            <w:tcW w:w="1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7760" w:type="dxa"/>
            <w:vAlign w:val="bottom"/>
            <w:tcBorders>
              <w:bottom w:val="single" w:sz="8" w:color="0000EE"/>
            </w:tcBorders>
            <w:gridSpan w:val="19"/>
          </w:tcPr>
          <w:p>
            <w:pPr>
              <w:spacing w:after="0"/>
              <w:rPr>
                <w:rFonts w:ascii="Arial" w:cs="Arial" w:eastAsia="Arial" w:hAnsi="Arial"/>
                <w:sz w:val="18"/>
                <w:szCs w:val="18"/>
                <w:color w:val="0000EE"/>
                <w:w w:val="90"/>
              </w:rPr>
            </w:pPr>
            <w:hyperlink r:id="rId350">
              <w:r>
                <w:rPr>
                  <w:rFonts w:ascii="Arial" w:cs="Arial" w:eastAsia="Arial" w:hAnsi="Arial"/>
                  <w:sz w:val="18"/>
                  <w:szCs w:val="18"/>
                  <w:color w:val="0000EE"/>
                  <w:w w:val="90"/>
                </w:rPr>
                <w:t>Form of Indemnification Agreement between the Registrant and each of its directors and executive officers.</w:t>
              </w:r>
            </w:hyperlink>
          </w:p>
        </w:tc>
        <w:tc>
          <w:tcPr>
            <w:tcW w:w="21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10.2#*</w:t>
            </w:r>
          </w:p>
        </w:tc>
        <w:tc>
          <w:tcPr>
            <w:tcW w:w="520" w:type="dxa"/>
            <w:vAlign w:val="bottom"/>
          </w:tcPr>
          <w:p>
            <w:pPr>
              <w:spacing w:after="0"/>
              <w:rPr>
                <w:sz w:val="24"/>
                <w:szCs w:val="24"/>
                <w:color w:val="auto"/>
              </w:rPr>
            </w:pPr>
          </w:p>
        </w:tc>
        <w:tc>
          <w:tcPr>
            <w:tcW w:w="7360" w:type="dxa"/>
            <w:vAlign w:val="bottom"/>
            <w:tcBorders>
              <w:bottom w:val="single" w:sz="8" w:color="0000EE"/>
            </w:tcBorders>
            <w:gridSpan w:val="17"/>
          </w:tcPr>
          <w:p>
            <w:pPr>
              <w:spacing w:after="0"/>
              <w:rPr>
                <w:rFonts w:ascii="Arial" w:cs="Arial" w:eastAsia="Arial" w:hAnsi="Arial"/>
                <w:sz w:val="18"/>
                <w:szCs w:val="18"/>
                <w:color w:val="0000EE"/>
                <w:w w:val="88"/>
              </w:rPr>
            </w:pPr>
            <w:hyperlink r:id="rId351">
              <w:r>
                <w:rPr>
                  <w:rFonts w:ascii="Arial" w:cs="Arial" w:eastAsia="Arial" w:hAnsi="Arial"/>
                  <w:sz w:val="18"/>
                  <w:szCs w:val="18"/>
                  <w:color w:val="0000EE"/>
                  <w:w w:val="88"/>
                </w:rPr>
                <w:t>Amended and Restated 2011 Equity Incentive Plan, as amended, and forms of agreements thereunder.</w:t>
              </w:r>
            </w:hyperlink>
          </w:p>
        </w:tc>
        <w:tc>
          <w:tcPr>
            <w:tcW w:w="2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9920" w:type="dxa"/>
            <w:vAlign w:val="bottom"/>
            <w:gridSpan w:val="27"/>
          </w:tcPr>
          <w:p>
            <w:pPr>
              <w:spacing w:after="0"/>
              <w:rPr>
                <w:rFonts w:ascii="Arial" w:cs="Arial" w:eastAsia="Arial" w:hAnsi="Arial"/>
                <w:sz w:val="18"/>
                <w:szCs w:val="18"/>
                <w:color w:val="0000EE"/>
              </w:rPr>
            </w:pPr>
            <w:hyperlink w:anchor="page268">
              <w:r>
                <w:rPr>
                  <w:rFonts w:ascii="Arial" w:cs="Arial" w:eastAsia="Arial" w:hAnsi="Arial"/>
                  <w:sz w:val="18"/>
                  <w:szCs w:val="18"/>
                  <w:color w:val="0000EE"/>
                </w:rPr>
                <w:t>2021 Stock Option and Incentive Plan, and forms of agreements thereunder.</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27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42">
              <w:r>
                <w:rPr>
                  <w:rFonts w:ascii="Arial" w:cs="Arial" w:eastAsia="Arial" w:hAnsi="Arial"/>
                  <w:sz w:val="18"/>
                  <w:szCs w:val="18"/>
                  <w:color w:val="0000EE"/>
                  <w:w w:val="88"/>
                </w:rPr>
                <w:t>2021 Employee Stock Purchase Plan.</w:t>
              </w:r>
            </w:hyperlink>
          </w:p>
        </w:tc>
        <w:tc>
          <w:tcPr>
            <w:tcW w:w="2760" w:type="dxa"/>
            <w:vAlign w:val="bottom"/>
            <w:tcBorders>
              <w:top w:val="single" w:sz="8" w:color="0000EE"/>
            </w:tcBorders>
            <w:gridSpan w:val="8"/>
          </w:tcPr>
          <w:p>
            <w:pPr>
              <w:spacing w:after="0"/>
              <w:rPr>
                <w:sz w:val="24"/>
                <w:szCs w:val="24"/>
                <w:color w:val="auto"/>
              </w:rPr>
            </w:pPr>
          </w:p>
        </w:tc>
        <w:tc>
          <w:tcPr>
            <w:tcW w:w="4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10.5#*</w:t>
            </w:r>
          </w:p>
        </w:tc>
        <w:tc>
          <w:tcPr>
            <w:tcW w:w="520" w:type="dxa"/>
            <w:vAlign w:val="bottom"/>
          </w:tcPr>
          <w:p>
            <w:pPr>
              <w:spacing w:after="0"/>
              <w:rPr>
                <w:sz w:val="24"/>
                <w:szCs w:val="24"/>
                <w:color w:val="auto"/>
              </w:rPr>
            </w:pPr>
          </w:p>
        </w:tc>
        <w:tc>
          <w:tcPr>
            <w:tcW w:w="3280" w:type="dxa"/>
            <w:vAlign w:val="bottom"/>
            <w:tcBorders>
              <w:bottom w:val="single" w:sz="8" w:color="0000EE"/>
            </w:tcBorders>
            <w:gridSpan w:val="7"/>
          </w:tcPr>
          <w:p>
            <w:pPr>
              <w:spacing w:after="0"/>
              <w:rPr>
                <w:rFonts w:ascii="Arial" w:cs="Arial" w:eastAsia="Arial" w:hAnsi="Arial"/>
                <w:sz w:val="18"/>
                <w:szCs w:val="18"/>
                <w:color w:val="0000EE"/>
                <w:w w:val="90"/>
              </w:rPr>
            </w:pPr>
            <w:hyperlink r:id="rId352">
              <w:r>
                <w:rPr>
                  <w:rFonts w:ascii="Arial" w:cs="Arial" w:eastAsia="Arial" w:hAnsi="Arial"/>
                  <w:sz w:val="18"/>
                  <w:szCs w:val="18"/>
                  <w:color w:val="0000EE"/>
                  <w:w w:val="90"/>
                </w:rPr>
                <w:t>Senior Executive Cash Incentive Bonus Plan.</w:t>
              </w:r>
            </w:hyperlink>
          </w:p>
        </w:tc>
        <w:tc>
          <w:tcPr>
            <w:tcW w:w="66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10.6#*</w:t>
            </w:r>
          </w:p>
        </w:tc>
        <w:tc>
          <w:tcPr>
            <w:tcW w:w="520" w:type="dxa"/>
            <w:vAlign w:val="bottom"/>
          </w:tcPr>
          <w:p>
            <w:pPr>
              <w:spacing w:after="0"/>
              <w:rPr>
                <w:sz w:val="24"/>
                <w:szCs w:val="24"/>
                <w:color w:val="auto"/>
              </w:rPr>
            </w:pPr>
          </w:p>
        </w:tc>
        <w:tc>
          <w:tcPr>
            <w:tcW w:w="1920" w:type="dxa"/>
            <w:vAlign w:val="bottom"/>
            <w:tcBorders>
              <w:bottom w:val="single" w:sz="8" w:color="0000EE"/>
            </w:tcBorders>
            <w:gridSpan w:val="2"/>
          </w:tcPr>
          <w:p>
            <w:pPr>
              <w:spacing w:after="0"/>
              <w:rPr>
                <w:rFonts w:ascii="Arial" w:cs="Arial" w:eastAsia="Arial" w:hAnsi="Arial"/>
                <w:sz w:val="18"/>
                <w:szCs w:val="18"/>
                <w:color w:val="0000EE"/>
                <w:w w:val="88"/>
              </w:rPr>
            </w:pPr>
            <w:hyperlink r:id="rId353">
              <w:r>
                <w:rPr>
                  <w:rFonts w:ascii="Arial" w:cs="Arial" w:eastAsia="Arial" w:hAnsi="Arial"/>
                  <w:sz w:val="18"/>
                  <w:szCs w:val="18"/>
                  <w:color w:val="0000EE"/>
                  <w:w w:val="88"/>
                </w:rPr>
                <w:t>Executive Severance Plan.</w:t>
              </w:r>
            </w:hyperlink>
          </w:p>
        </w:tc>
        <w:tc>
          <w:tcPr>
            <w:tcW w:w="800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10.7#*</w:t>
            </w:r>
          </w:p>
        </w:tc>
        <w:tc>
          <w:tcPr>
            <w:tcW w:w="520" w:type="dxa"/>
            <w:vAlign w:val="bottom"/>
          </w:tcPr>
          <w:p>
            <w:pPr>
              <w:spacing w:after="0"/>
              <w:rPr>
                <w:sz w:val="24"/>
                <w:szCs w:val="24"/>
                <w:color w:val="auto"/>
              </w:rPr>
            </w:pPr>
          </w:p>
        </w:tc>
        <w:tc>
          <w:tcPr>
            <w:tcW w:w="9920" w:type="dxa"/>
            <w:vAlign w:val="bottom"/>
            <w:gridSpan w:val="27"/>
          </w:tcPr>
          <w:p>
            <w:pPr>
              <w:spacing w:after="0"/>
              <w:rPr>
                <w:rFonts w:ascii="Arial" w:cs="Arial" w:eastAsia="Arial" w:hAnsi="Arial"/>
                <w:sz w:val="18"/>
                <w:szCs w:val="18"/>
                <w:color w:val="0000EE"/>
              </w:rPr>
            </w:pPr>
            <w:hyperlink r:id="rId354">
              <w:r>
                <w:rPr>
                  <w:rFonts w:ascii="Arial" w:cs="Arial" w:eastAsia="Arial" w:hAnsi="Arial"/>
                  <w:sz w:val="18"/>
                  <w:szCs w:val="18"/>
                  <w:color w:val="0000EE"/>
                </w:rPr>
                <w:t>Non-Employee Director Compensation Policy.</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10.8#*</w:t>
            </w:r>
          </w:p>
        </w:tc>
        <w:tc>
          <w:tcPr>
            <w:tcW w:w="520" w:type="dxa"/>
            <w:vAlign w:val="bottom"/>
          </w:tcPr>
          <w:p>
            <w:pPr>
              <w:spacing w:after="0"/>
              <w:rPr>
                <w:sz w:val="24"/>
                <w:szCs w:val="24"/>
                <w:color w:val="auto"/>
              </w:rPr>
            </w:pPr>
          </w:p>
        </w:tc>
        <w:tc>
          <w:tcPr>
            <w:tcW w:w="5380" w:type="dxa"/>
            <w:vAlign w:val="bottom"/>
            <w:tcBorders>
              <w:bottom w:val="single" w:sz="8" w:color="0000EE"/>
            </w:tcBorders>
            <w:gridSpan w:val="13"/>
          </w:tcPr>
          <w:p>
            <w:pPr>
              <w:spacing w:after="0"/>
              <w:rPr>
                <w:rFonts w:ascii="Arial" w:cs="Arial" w:eastAsia="Arial" w:hAnsi="Arial"/>
                <w:sz w:val="18"/>
                <w:szCs w:val="18"/>
                <w:color w:val="0000EE"/>
                <w:w w:val="88"/>
              </w:rPr>
            </w:pPr>
            <w:hyperlink r:id="rId355">
              <w:r>
                <w:rPr>
                  <w:rFonts w:ascii="Arial" w:cs="Arial" w:eastAsia="Arial" w:hAnsi="Arial"/>
                  <w:sz w:val="18"/>
                  <w:szCs w:val="18"/>
                  <w:color w:val="0000EE"/>
                  <w:w w:val="88"/>
                </w:rPr>
                <w:t>Offer Letter between the Registrant and Jason Gardner dated June 6, 2011.</w:t>
              </w:r>
            </w:hyperlink>
          </w:p>
        </w:tc>
        <w:tc>
          <w:tcPr>
            <w:tcW w:w="45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10.9#*</w:t>
            </w:r>
          </w:p>
        </w:tc>
        <w:tc>
          <w:tcPr>
            <w:tcW w:w="520" w:type="dxa"/>
            <w:vAlign w:val="bottom"/>
          </w:tcPr>
          <w:p>
            <w:pPr>
              <w:spacing w:after="0"/>
              <w:rPr>
                <w:sz w:val="24"/>
                <w:szCs w:val="24"/>
                <w:color w:val="auto"/>
              </w:rPr>
            </w:pPr>
          </w:p>
        </w:tc>
        <w:tc>
          <w:tcPr>
            <w:tcW w:w="5240" w:type="dxa"/>
            <w:vAlign w:val="bottom"/>
            <w:tcBorders>
              <w:bottom w:val="single" w:sz="8" w:color="0000EE"/>
            </w:tcBorders>
            <w:gridSpan w:val="11"/>
          </w:tcPr>
          <w:p>
            <w:pPr>
              <w:spacing w:after="0"/>
              <w:rPr>
                <w:rFonts w:ascii="Arial" w:cs="Arial" w:eastAsia="Arial" w:hAnsi="Arial"/>
                <w:sz w:val="18"/>
                <w:szCs w:val="18"/>
                <w:color w:val="0000EE"/>
                <w:w w:val="89"/>
              </w:rPr>
            </w:pPr>
            <w:hyperlink r:id="rId356">
              <w:r>
                <w:rPr>
                  <w:rFonts w:ascii="Arial" w:cs="Arial" w:eastAsia="Arial" w:hAnsi="Arial"/>
                  <w:sz w:val="18"/>
                  <w:szCs w:val="18"/>
                  <w:color w:val="0000EE"/>
                  <w:w w:val="89"/>
                </w:rPr>
                <w:t>Offer Letter between the Registrant and Omri Dahan dated June 9, 2011.</w:t>
              </w:r>
            </w:hyperlink>
          </w:p>
        </w:tc>
        <w:tc>
          <w:tcPr>
            <w:tcW w:w="46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10.10#*</w:t>
            </w:r>
          </w:p>
        </w:tc>
        <w:tc>
          <w:tcPr>
            <w:tcW w:w="520" w:type="dxa"/>
            <w:vAlign w:val="bottom"/>
          </w:tcPr>
          <w:p>
            <w:pPr>
              <w:spacing w:after="0"/>
              <w:rPr>
                <w:sz w:val="24"/>
                <w:szCs w:val="24"/>
                <w:color w:val="auto"/>
              </w:rPr>
            </w:pPr>
          </w:p>
        </w:tc>
        <w:tc>
          <w:tcPr>
            <w:tcW w:w="9920" w:type="dxa"/>
            <w:vAlign w:val="bottom"/>
            <w:gridSpan w:val="27"/>
          </w:tcPr>
          <w:p>
            <w:pPr>
              <w:spacing w:after="0"/>
              <w:rPr>
                <w:rFonts w:ascii="Arial" w:cs="Arial" w:eastAsia="Arial" w:hAnsi="Arial"/>
                <w:sz w:val="18"/>
                <w:szCs w:val="18"/>
                <w:color w:val="0000EE"/>
              </w:rPr>
            </w:pPr>
            <w:hyperlink r:id="rId357">
              <w:r>
                <w:rPr>
                  <w:rFonts w:ascii="Arial" w:cs="Arial" w:eastAsia="Arial" w:hAnsi="Arial"/>
                  <w:sz w:val="18"/>
                  <w:szCs w:val="18"/>
                  <w:color w:val="0000EE"/>
                </w:rPr>
                <w:t>Offer Letter between the Registrant and Kevin Doerr dated February 25, 2020.</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80" w:type="dxa"/>
            <w:vAlign w:val="bottom"/>
            <w:gridSpan w:val="1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10.11#*</w:t>
            </w:r>
          </w:p>
        </w:tc>
        <w:tc>
          <w:tcPr>
            <w:tcW w:w="520" w:type="dxa"/>
            <w:vAlign w:val="bottom"/>
          </w:tcPr>
          <w:p>
            <w:pPr>
              <w:spacing w:after="0"/>
              <w:rPr>
                <w:sz w:val="24"/>
                <w:szCs w:val="24"/>
                <w:color w:val="auto"/>
              </w:rPr>
            </w:pPr>
          </w:p>
        </w:tc>
        <w:tc>
          <w:tcPr>
            <w:tcW w:w="7200" w:type="dxa"/>
            <w:vAlign w:val="bottom"/>
            <w:tcBorders>
              <w:bottom w:val="single" w:sz="8" w:color="0000EE"/>
            </w:tcBorders>
            <w:gridSpan w:val="16"/>
          </w:tcPr>
          <w:p>
            <w:pPr>
              <w:spacing w:after="0"/>
              <w:rPr>
                <w:rFonts w:ascii="Arial" w:cs="Arial" w:eastAsia="Arial" w:hAnsi="Arial"/>
                <w:sz w:val="18"/>
                <w:szCs w:val="18"/>
                <w:color w:val="0000EE"/>
                <w:w w:val="89"/>
              </w:rPr>
            </w:pPr>
            <w:hyperlink r:id="rId358">
              <w:r>
                <w:rPr>
                  <w:rFonts w:ascii="Arial" w:cs="Arial" w:eastAsia="Arial" w:hAnsi="Arial"/>
                  <w:sz w:val="18"/>
                  <w:szCs w:val="18"/>
                  <w:color w:val="0000EE"/>
                  <w:w w:val="89"/>
                </w:rPr>
                <w:t>Separation Agreement and Release between the Registrant and Omri Dahan dated March 17, 2021.</w:t>
              </w:r>
            </w:hyperlink>
          </w:p>
        </w:tc>
        <w:tc>
          <w:tcPr>
            <w:tcW w:w="27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10.12#*</w:t>
            </w:r>
          </w:p>
        </w:tc>
        <w:tc>
          <w:tcPr>
            <w:tcW w:w="520" w:type="dxa"/>
            <w:vAlign w:val="bottom"/>
          </w:tcPr>
          <w:p>
            <w:pPr>
              <w:spacing w:after="0"/>
              <w:rPr>
                <w:sz w:val="24"/>
                <w:szCs w:val="24"/>
                <w:color w:val="auto"/>
              </w:rPr>
            </w:pPr>
          </w:p>
        </w:tc>
        <w:tc>
          <w:tcPr>
            <w:tcW w:w="2180" w:type="dxa"/>
            <w:vAlign w:val="bottom"/>
            <w:tcBorders>
              <w:bottom w:val="single" w:sz="8" w:color="0000EE"/>
            </w:tcBorders>
            <w:gridSpan w:val="3"/>
          </w:tcPr>
          <w:p>
            <w:pPr>
              <w:spacing w:after="0"/>
              <w:rPr>
                <w:rFonts w:ascii="Arial" w:cs="Arial" w:eastAsia="Arial" w:hAnsi="Arial"/>
                <w:sz w:val="18"/>
                <w:szCs w:val="18"/>
                <w:color w:val="0000EE"/>
                <w:w w:val="93"/>
              </w:rPr>
            </w:pPr>
            <w:hyperlink r:id="rId359">
              <w:r>
                <w:rPr>
                  <w:rFonts w:ascii="Arial" w:cs="Arial" w:eastAsia="Arial" w:hAnsi="Arial"/>
                  <w:sz w:val="18"/>
                  <w:szCs w:val="18"/>
                  <w:color w:val="0000EE"/>
                  <w:w w:val="93"/>
                </w:rPr>
                <w:t>Form of Director Offer Letter.</w:t>
              </w:r>
            </w:hyperlink>
          </w:p>
        </w:tc>
        <w:tc>
          <w:tcPr>
            <w:tcW w:w="774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10.13*</w:t>
            </w:r>
          </w:p>
        </w:tc>
        <w:tc>
          <w:tcPr>
            <w:tcW w:w="52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Arial" w:cs="Arial" w:eastAsia="Arial" w:hAnsi="Arial"/>
                <w:sz w:val="18"/>
                <w:szCs w:val="18"/>
                <w:color w:val="0000EE"/>
                <w:w w:val="91"/>
              </w:rPr>
            </w:pPr>
            <w:hyperlink r:id="rId360">
              <w:r>
                <w:rPr>
                  <w:rFonts w:ascii="Arial" w:cs="Arial" w:eastAsia="Arial" w:hAnsi="Arial"/>
                  <w:sz w:val="18"/>
                  <w:szCs w:val="18"/>
                  <w:color w:val="0000EE"/>
                  <w:w w:val="91"/>
                </w:rPr>
                <w:t>Lease Agreement by and between the Registrant and MACH II 180 LLC, dated on or about March 1, 2016, as amended on November 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27"/>
          </w:tcPr>
          <w:p>
            <w:pPr>
              <w:spacing w:after="0" w:line="196" w:lineRule="exact"/>
              <w:rPr>
                <w:rFonts w:ascii="Arial" w:cs="Arial" w:eastAsia="Arial" w:hAnsi="Arial"/>
                <w:sz w:val="18"/>
                <w:szCs w:val="18"/>
                <w:color w:val="0000EE"/>
              </w:rPr>
            </w:pPr>
            <w:hyperlink r:id="rId360">
              <w:r>
                <w:rPr>
                  <w:rFonts w:ascii="Arial" w:cs="Arial" w:eastAsia="Arial" w:hAnsi="Arial"/>
                  <w:sz w:val="18"/>
                  <w:szCs w:val="18"/>
                  <w:color w:val="0000EE"/>
                </w:rPr>
                <w:t>2017 and March 14, 2019.</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5560" w:type="dxa"/>
            <w:vAlign w:val="bottom"/>
            <w:gridSpan w:val="17"/>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0"/>
              </w:rPr>
              <w:t>10.14†</w:t>
            </w:r>
          </w:p>
        </w:tc>
        <w:tc>
          <w:tcPr>
            <w:tcW w:w="520" w:type="dxa"/>
            <w:vAlign w:val="bottom"/>
          </w:tcPr>
          <w:p>
            <w:pPr>
              <w:spacing w:after="0"/>
              <w:rPr>
                <w:sz w:val="24"/>
                <w:szCs w:val="24"/>
                <w:color w:val="auto"/>
              </w:rPr>
            </w:pPr>
          </w:p>
        </w:tc>
        <w:tc>
          <w:tcPr>
            <w:tcW w:w="9920" w:type="dxa"/>
            <w:vAlign w:val="bottom"/>
            <w:gridSpan w:val="27"/>
          </w:tcPr>
          <w:p>
            <w:pPr>
              <w:spacing w:after="0"/>
              <w:rPr>
                <w:rFonts w:ascii="Arial" w:cs="Arial" w:eastAsia="Arial" w:hAnsi="Arial"/>
                <w:sz w:val="18"/>
                <w:szCs w:val="18"/>
                <w:color w:val="0000EE"/>
                <w:w w:val="91"/>
              </w:rPr>
            </w:pPr>
            <w:hyperlink w:anchor="page356">
              <w:r>
                <w:rPr>
                  <w:rFonts w:ascii="Arial" w:cs="Arial" w:eastAsia="Arial" w:hAnsi="Arial"/>
                  <w:sz w:val="18"/>
                  <w:szCs w:val="18"/>
                  <w:color w:val="0000EE"/>
                  <w:w w:val="91"/>
                </w:rPr>
                <w:t>Master Services Agreement by and between the Registrant and Square, Inc., dated April  19, 2016, as amended on September 1, 2016,</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60" w:type="dxa"/>
            <w:vAlign w:val="bottom"/>
            <w:gridSpan w:val="18"/>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356">
              <w:r>
                <w:rPr>
                  <w:rFonts w:ascii="Arial" w:cs="Arial" w:eastAsia="Arial" w:hAnsi="Arial"/>
                  <w:sz w:val="18"/>
                  <w:szCs w:val="18"/>
                  <w:color w:val="0000EE"/>
                  <w:w w:val="93"/>
                </w:rPr>
                <w:t>October 18, 2016, December 24, 2016, June 30, 2017, August 2, 2017, October 1, 2017, April 1, 2018, June 6, 2019, September 20,</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356">
              <w:r>
                <w:rPr>
                  <w:rFonts w:ascii="Arial" w:cs="Arial" w:eastAsia="Arial" w:hAnsi="Arial"/>
                  <w:sz w:val="18"/>
                  <w:szCs w:val="18"/>
                  <w:color w:val="0000EE"/>
                  <w:w w:val="91"/>
                </w:rPr>
                <w:t>2019, February 7, 2020, November 18, 2020, November 18, 2020, March 13, 2021, and May 21, 2021.</w:t>
              </w:r>
            </w:hyperlink>
          </w:p>
        </w:tc>
        <w:tc>
          <w:tcPr>
            <w:tcW w:w="2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10.15†*</w:t>
            </w:r>
          </w:p>
        </w:tc>
        <w:tc>
          <w:tcPr>
            <w:tcW w:w="520" w:type="dxa"/>
            <w:vAlign w:val="bottom"/>
          </w:tcPr>
          <w:p>
            <w:pPr>
              <w:spacing w:after="0"/>
              <w:rPr>
                <w:sz w:val="24"/>
                <w:szCs w:val="24"/>
                <w:color w:val="auto"/>
              </w:rPr>
            </w:pPr>
          </w:p>
        </w:tc>
        <w:tc>
          <w:tcPr>
            <w:tcW w:w="9920" w:type="dxa"/>
            <w:vAlign w:val="bottom"/>
            <w:tcBorders>
              <w:bottom w:val="single" w:sz="8" w:color="0000EE"/>
            </w:tcBorders>
            <w:gridSpan w:val="8"/>
          </w:tcPr>
          <w:p>
            <w:pPr>
              <w:spacing w:after="0"/>
              <w:rPr>
                <w:rFonts w:ascii="Arial" w:cs="Arial" w:eastAsia="Arial" w:hAnsi="Arial"/>
                <w:sz w:val="18"/>
                <w:szCs w:val="18"/>
                <w:color w:val="0000EE"/>
                <w:w w:val="90"/>
              </w:rPr>
            </w:pPr>
            <w:hyperlink r:id="rId362">
              <w:r>
                <w:rPr>
                  <w:rFonts w:ascii="Arial" w:cs="Arial" w:eastAsia="Arial" w:hAnsi="Arial"/>
                  <w:sz w:val="18"/>
                  <w:szCs w:val="18"/>
                  <w:color w:val="0000EE"/>
                  <w:w w:val="90"/>
                </w:rPr>
                <w:t>Amended and Restated Prepaid Card Program Manager Agreement by and between the Registrant and Sutton Bank, dated April 1, 2016,</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362">
              <w:r>
                <w:rPr>
                  <w:rFonts w:ascii="Arial" w:cs="Arial" w:eastAsia="Arial" w:hAnsi="Arial"/>
                  <w:sz w:val="18"/>
                  <w:szCs w:val="18"/>
                  <w:color w:val="0000EE"/>
                  <w:w w:val="88"/>
                </w:rPr>
                <w:t>as amended on December 21, 2017, September 1, 2018, and August 1, 2020.</w:t>
              </w:r>
            </w:hyperlink>
          </w:p>
        </w:tc>
        <w:tc>
          <w:tcPr>
            <w:tcW w:w="4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520" w:type="dxa"/>
            <w:vAlign w:val="bottom"/>
          </w:tcPr>
          <w:p>
            <w:pPr>
              <w:spacing w:after="0"/>
              <w:rPr>
                <w:sz w:val="24"/>
                <w:szCs w:val="24"/>
                <w:color w:val="auto"/>
              </w:rPr>
            </w:pPr>
          </w:p>
        </w:tc>
        <w:tc>
          <w:tcPr>
            <w:tcW w:w="2180" w:type="dxa"/>
            <w:vAlign w:val="bottom"/>
            <w:tcBorders>
              <w:bottom w:val="single" w:sz="8" w:color="0000EE"/>
            </w:tcBorders>
          </w:tcPr>
          <w:p>
            <w:pPr>
              <w:spacing w:after="0"/>
              <w:rPr>
                <w:rFonts w:ascii="Arial" w:cs="Arial" w:eastAsia="Arial" w:hAnsi="Arial"/>
                <w:sz w:val="18"/>
                <w:szCs w:val="18"/>
                <w:color w:val="0000EE"/>
                <w:w w:val="89"/>
              </w:rPr>
            </w:pPr>
            <w:hyperlink r:id="rId363">
              <w:r>
                <w:rPr>
                  <w:rFonts w:ascii="Arial" w:cs="Arial" w:eastAsia="Arial" w:hAnsi="Arial"/>
                  <w:sz w:val="18"/>
                  <w:szCs w:val="18"/>
                  <w:color w:val="0000EE"/>
                  <w:w w:val="89"/>
                </w:rPr>
                <w:t>Subsidiaries of the Registrant.</w:t>
              </w:r>
            </w:hyperlink>
          </w:p>
        </w:tc>
        <w:tc>
          <w:tcPr>
            <w:tcW w:w="77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57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35">
              <w:r>
                <w:rPr>
                  <w:rFonts w:ascii="Arial" w:cs="Arial" w:eastAsia="Arial" w:hAnsi="Arial"/>
                  <w:sz w:val="18"/>
                  <w:szCs w:val="18"/>
                  <w:color w:val="0000EE"/>
                  <w:w w:val="91"/>
                </w:rPr>
                <w:t>Consent of Ernst &amp; Young LLP, independent registered public accounting firm.</w:t>
              </w:r>
            </w:hyperlink>
          </w:p>
        </w:tc>
        <w:tc>
          <w:tcPr>
            <w:tcW w:w="4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43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67">
              <w:r>
                <w:rPr>
                  <w:rFonts w:ascii="Arial" w:cs="Arial" w:eastAsia="Arial" w:hAnsi="Arial"/>
                  <w:sz w:val="18"/>
                  <w:szCs w:val="18"/>
                  <w:color w:val="0000EE"/>
                  <w:w w:val="92"/>
                </w:rPr>
                <w:t>Consent of Goodwin Procter LLP (included in Exhibit 5.1).</w:t>
              </w:r>
            </w:hyperlink>
          </w:p>
        </w:tc>
        <w:tc>
          <w:tcPr>
            <w:tcW w:w="56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rPr>
            </w:pPr>
            <w:hyperlink r:id="rId364">
              <w:r>
                <w:rPr>
                  <w:rFonts w:ascii="Arial" w:cs="Arial" w:eastAsia="Arial" w:hAnsi="Arial"/>
                  <w:sz w:val="18"/>
                  <w:szCs w:val="18"/>
                  <w:color w:val="0000EE"/>
                </w:rPr>
                <w:t>Power of Attorney (see page II-6 of the original filing of this Registration Statement on Form S-1).</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6" w:lineRule="exact"/>
        <w:rPr>
          <w:sz w:val="20"/>
          <w:szCs w:val="20"/>
          <w:color w:val="auto"/>
        </w:rPr>
      </w:pPr>
    </w:p>
    <w:p>
      <w:pPr>
        <w:ind w:left="660" w:hanging="544"/>
        <w:spacing w:after="0"/>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22" w:lineRule="exact"/>
        <w:rPr>
          <w:sz w:val="20"/>
          <w:szCs w:val="20"/>
          <w:color w:val="auto"/>
        </w:rPr>
      </w:pPr>
    </w:p>
    <w:p>
      <w:pPr>
        <w:ind w:left="660" w:hanging="544"/>
        <w:spacing w:after="0"/>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agreement.</w:t>
      </w:r>
    </w:p>
    <w:p>
      <w:pPr>
        <w:spacing w:after="0" w:line="19" w:lineRule="exact"/>
        <w:rPr>
          <w:sz w:val="20"/>
          <w:szCs w:val="20"/>
          <w:color w:val="auto"/>
        </w:rPr>
      </w:pPr>
    </w:p>
    <w:p>
      <w:pPr>
        <w:ind w:left="660" w:right="20" w:hanging="544"/>
        <w:spacing w:after="0" w:line="288"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Certain confidential information contained in this exhibit has been omitted because it is both (i) not material and (ii) is the type that the Registrant treats as private or confidential.</w:t>
      </w:r>
    </w:p>
    <w:p>
      <w:pPr>
        <w:spacing w:after="0" w:line="320"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schedules are omitted because the required information is either not present, not present in material amounts or is presented within the consolidated financial statements included in the prospectus that is part of this registration statement.</w:t>
      </w:r>
    </w:p>
    <w:p>
      <w:pPr>
        <w:spacing w:after="0" w:line="278"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Insofar as indemnification by the Registrant for liabilities arising under the Securities Act of 1933, as amended, or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300" w:right="20" w:hanging="644"/>
        <w:spacing w:after="0" w:line="259"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Oakland, California, on June 1, 2021.</w:t>
      </w:r>
    </w:p>
    <w:p>
      <w:pPr>
        <w:spacing w:after="0" w:line="193"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MARQETA, INC.</w:t>
            </w:r>
          </w:p>
        </w:tc>
        <w:tc>
          <w:tcPr>
            <w:tcW w:w="2860" w:type="dxa"/>
            <w:vAlign w:val="bottom"/>
          </w:tcPr>
          <w:p>
            <w:pPr>
              <w:spacing w:after="0"/>
              <w:rPr>
                <w:sz w:val="20"/>
                <w:szCs w:val="20"/>
                <w:color w:val="auto"/>
              </w:rPr>
            </w:pPr>
          </w:p>
        </w:tc>
      </w:tr>
      <w:tr>
        <w:trPr>
          <w:trHeight w:val="432"/>
        </w:trPr>
        <w:tc>
          <w:tcPr>
            <w:tcW w:w="1540" w:type="dxa"/>
            <w:vAlign w:val="bottom"/>
            <w:gridSpan w:val="2"/>
          </w:tcPr>
          <w:p>
            <w:pPr>
              <w:spacing w:after="0"/>
              <w:rPr>
                <w:sz w:val="20"/>
                <w:szCs w:val="20"/>
                <w:color w:val="auto"/>
              </w:rPr>
            </w:pPr>
            <w:r>
              <w:rPr>
                <w:rFonts w:ascii="Arial" w:cs="Arial" w:eastAsia="Arial" w:hAnsi="Arial"/>
                <w:sz w:val="18"/>
                <w:szCs w:val="18"/>
                <w:color w:val="auto"/>
              </w:rPr>
              <w:t>By:</w:t>
            </w:r>
          </w:p>
        </w:tc>
        <w:tc>
          <w:tcPr>
            <w:tcW w:w="2860" w:type="dxa"/>
            <w:vAlign w:val="bottom"/>
          </w:tcPr>
          <w:p>
            <w:pPr>
              <w:jc w:val="center"/>
              <w:ind w:right="1116"/>
              <w:spacing w:after="0"/>
              <w:rPr>
                <w:sz w:val="20"/>
                <w:szCs w:val="20"/>
                <w:color w:val="auto"/>
              </w:rPr>
            </w:pPr>
            <w:r>
              <w:rPr>
                <w:rFonts w:ascii="Arial" w:cs="Arial" w:eastAsia="Arial" w:hAnsi="Arial"/>
                <w:sz w:val="18"/>
                <w:szCs w:val="18"/>
                <w:color w:val="auto"/>
                <w:w w:val="88"/>
              </w:rPr>
              <w:t>/s/ Jason Gardner</w:t>
            </w:r>
          </w:p>
        </w:tc>
      </w:tr>
      <w:tr>
        <w:trPr>
          <w:trHeight w:val="191"/>
        </w:trPr>
        <w:tc>
          <w:tcPr>
            <w:tcW w:w="3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jc w:val="center"/>
              <w:ind w:right="1096"/>
              <w:spacing w:after="0" w:line="191" w:lineRule="exact"/>
              <w:rPr>
                <w:sz w:val="20"/>
                <w:szCs w:val="20"/>
                <w:color w:val="auto"/>
              </w:rPr>
            </w:pPr>
            <w:r>
              <w:rPr>
                <w:rFonts w:ascii="Arial" w:cs="Arial" w:eastAsia="Arial" w:hAnsi="Arial"/>
                <w:sz w:val="18"/>
                <w:szCs w:val="18"/>
                <w:color w:val="auto"/>
                <w:w w:val="87"/>
              </w:rPr>
              <w:t>Jason Gardner</w:t>
            </w:r>
          </w:p>
        </w:tc>
      </w:tr>
      <w:tr>
        <w:trPr>
          <w:trHeight w:val="182"/>
        </w:trPr>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60" w:type="dxa"/>
            <w:vAlign w:val="bottom"/>
          </w:tcPr>
          <w:p>
            <w:pPr>
              <w:jc w:val="center"/>
              <w:ind w:right="1116"/>
              <w:spacing w:after="0"/>
              <w:rPr>
                <w:sz w:val="20"/>
                <w:szCs w:val="20"/>
                <w:color w:val="auto"/>
              </w:rPr>
            </w:pPr>
            <w:r>
              <w:rPr>
                <w:rFonts w:ascii="Arial" w:cs="Arial" w:eastAsia="Arial" w:hAnsi="Arial"/>
                <w:sz w:val="14"/>
                <w:szCs w:val="14"/>
                <w:i w:val="1"/>
                <w:iCs w:val="1"/>
                <w:color w:val="auto"/>
                <w:w w:val="94"/>
              </w:rPr>
              <w:t>Chief Executive Officer</w:t>
            </w:r>
          </w:p>
        </w:tc>
      </w:tr>
    </w:tbl>
    <w:p>
      <w:pPr>
        <w:spacing w:after="0" w:line="20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ectPr>
          <w:pgSz w:w="11900" w:h="16838" w:orient="portrait"/>
          <w:cols w:equalWidth="0" w:num="1">
            <w:col w:w="11140"/>
          </w:cols>
          <w:pgMar w:left="320" w:top="459" w:right="439" w:bottom="1440" w:gutter="0" w:footer="0" w:header="0"/>
        </w:sectPr>
      </w:pPr>
    </w:p>
    <w:p>
      <w:pPr>
        <w:spacing w:after="0" w:line="189"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5"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142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Jason Gardner</w:t>
      </w:r>
    </w:p>
    <w:p>
      <w:pPr>
        <w:spacing w:after="0" w:line="238"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/s/ Philip Faix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142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Philip Faix</w:t>
      </w:r>
    </w:p>
    <w:p>
      <w:pPr>
        <w:spacing w:after="0" w:line="238"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142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Amy Chang</w:t>
      </w:r>
    </w:p>
    <w:p>
      <w:pPr>
        <w:spacing w:after="0" w:line="238"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1429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jc w:val="center"/>
        <w:ind w:left="60"/>
        <w:spacing w:after="0"/>
        <w:rPr>
          <w:sz w:val="20"/>
          <w:szCs w:val="20"/>
          <w:color w:val="auto"/>
        </w:rPr>
      </w:pPr>
      <w:r>
        <w:rPr>
          <w:rFonts w:ascii="Arial" w:cs="Arial" w:eastAsia="Arial" w:hAnsi="Arial"/>
          <w:sz w:val="17"/>
          <w:szCs w:val="17"/>
          <w:color w:val="auto"/>
        </w:rPr>
        <w:t>Martha Cummings</w:t>
      </w:r>
    </w:p>
    <w:p>
      <w:pPr>
        <w:spacing w:after="0" w:line="249"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1429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Gerri Elliott</w:t>
      </w:r>
    </w:p>
    <w:p>
      <w:pPr>
        <w:spacing w:after="0" w:line="238"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1429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Helen Riley</w:t>
      </w:r>
    </w:p>
    <w:p>
      <w:pPr>
        <w:spacing w:after="0" w:line="238"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1429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Arnon Dinur</w:t>
      </w:r>
    </w:p>
    <w:p>
      <w:pPr>
        <w:spacing w:after="0" w:line="238"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1429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Judson Linville</w:t>
      </w:r>
    </w:p>
    <w:p>
      <w:pPr>
        <w:spacing w:after="0" w:line="238"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142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jc w:val="center"/>
        <w:ind w:left="60"/>
        <w:spacing w:after="0"/>
        <w:rPr>
          <w:sz w:val="20"/>
          <w:szCs w:val="20"/>
          <w:color w:val="auto"/>
        </w:rPr>
      </w:pPr>
      <w:r>
        <w:rPr>
          <w:rFonts w:ascii="Arial" w:cs="Arial" w:eastAsia="Arial" w:hAnsi="Arial"/>
          <w:sz w:val="16"/>
          <w:szCs w:val="16"/>
          <w:color w:val="auto"/>
        </w:rPr>
        <w:t>Christopher McKay</w:t>
      </w:r>
    </w:p>
    <w:p>
      <w:pPr>
        <w:spacing w:after="0" w:line="261"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142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Godfrey Sullivan</w:t>
      </w:r>
    </w:p>
    <w:p>
      <w:pPr>
        <w:spacing w:after="0" w:line="265"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4860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Jason Gardner</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460"/>
        <w:spacing w:after="0"/>
        <w:rPr>
          <w:sz w:val="20"/>
          <w:szCs w:val="20"/>
          <w:color w:val="auto"/>
        </w:rPr>
      </w:pPr>
      <w:r>
        <w:rPr>
          <w:rFonts w:ascii="Arial" w:cs="Arial" w:eastAsia="Arial" w:hAnsi="Arial"/>
          <w:sz w:val="14"/>
          <w:szCs w:val="14"/>
          <w:b w:val="1"/>
          <w:bCs w:val="1"/>
          <w:u w:val="single" w:color="auto"/>
          <w:color w:val="auto"/>
        </w:rPr>
        <w:t>Title</w:t>
      </w:r>
    </w:p>
    <w:p>
      <w:pPr>
        <w:spacing w:after="0" w:line="22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(Principal Financial and Accounting Officer)</w:t>
      </w:r>
    </w:p>
    <w:p>
      <w:pPr>
        <w:spacing w:after="0" w:line="3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4"/>
          <w:szCs w:val="14"/>
          <w:b w:val="1"/>
          <w:bCs w:val="1"/>
          <w:u w:val="single" w:color="auto"/>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June 1,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 2021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 2021</w:t>
      </w:r>
    </w:p>
    <w:p>
      <w:pPr>
        <w:sectPr>
          <w:pgSz w:w="11900" w:h="16838" w:orient="portrait"/>
          <w:cols w:equalWidth="0" w:num="3">
            <w:col w:w="4300" w:space="720"/>
            <w:col w:w="3920" w:space="720"/>
            <w:col w:w="1480"/>
          </w:cols>
          <w:pgMar w:left="320" w:top="459" w:right="439" w:bottom="1440" w:gutter="0" w:footer="0" w:header="0"/>
          <w:type w:val="continuous"/>
        </w:sectPr>
      </w:pPr>
    </w:p>
    <w:bookmarkStart w:id="243" w:name="page244"/>
    <w:bookmarkEnd w:id="243"/>
    <w:p>
      <w:pPr>
        <w:ind w:left="10180"/>
        <w:spacing w:after="0"/>
        <w:rPr>
          <w:sz w:val="20"/>
          <w:szCs w:val="20"/>
          <w:color w:val="auto"/>
        </w:rPr>
      </w:pPr>
      <w:r>
        <w:rPr>
          <w:rFonts w:ascii="Arial" w:cs="Arial" w:eastAsia="Arial" w:hAnsi="Arial"/>
          <w:sz w:val="16"/>
          <w:szCs w:val="16"/>
          <w:b w:val="1"/>
          <w:bCs w:val="1"/>
          <w:color w:val="auto"/>
        </w:rPr>
        <w:t>Exhibit 4.7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CONFIDENTIAL INFORMATION, MARKED BY [***], HAS BEEN EXCLUDED FROM THIS EXHIBIT BECAUSE (I) IT</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color w:val="auto"/>
        </w:rPr>
        <w:t>IS NOT MATERIAL AND (II) THE REGISTRANT CUSTOMARILY AND ACTUALLY TREATS THE INFORMATION AS PRIVATE AND CONFIDENTIAL.</w:t>
      </w:r>
    </w:p>
    <w:p>
      <w:pPr>
        <w:spacing w:after="0" w:line="1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PURSUANT TO RULE 144 UNDER SUCH ACT.</w:t>
      </w:r>
    </w:p>
    <w:p>
      <w:pPr>
        <w:sectPr>
          <w:pgSz w:w="11900" w:h="16838" w:orient="portrait"/>
          <w:cols w:equalWidth="0" w:num="1">
            <w:col w:w="11020"/>
          </w:cols>
          <w:pgMar w:left="440" w:top="121" w:right="4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September 15, 2020</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Void after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September 14, 2025</w:t>
      </w:r>
    </w:p>
    <w:p>
      <w:pPr>
        <w:spacing w:after="0" w:line="200" w:lineRule="exact"/>
        <w:rPr>
          <w:sz w:val="20"/>
          <w:szCs w:val="20"/>
          <w:color w:val="auto"/>
        </w:rPr>
      </w:pPr>
    </w:p>
    <w:p>
      <w:pPr>
        <w:sectPr>
          <w:pgSz w:w="11900" w:h="16838" w:orient="portrait"/>
          <w:cols w:equalWidth="0" w:num="2">
            <w:col w:w="8840" w:space="720"/>
            <w:col w:w="1460"/>
          </w:cols>
          <w:pgMar w:left="440" w:top="121" w:right="439" w:bottom="1440" w:gutter="0" w:footer="0" w:header="0"/>
          <w:type w:val="continuous"/>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SHARES OF COMMON STOCK</w:t>
      </w:r>
    </w:p>
    <w:p>
      <w:pPr>
        <w:spacing w:after="0" w:line="22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In connection with that certain Global Strategic Partnership Agreement, by and between Marqeta, Inc., a Delaware corporation (the “Company”), and Uber Technologies, Inc. (the “Holder”), of even date herewith (the “Partnership Agreement”), and in consideration for the promises and agreements received thereto, the receipt and sufficiency of which is hereby acknowledged, this Warrant is issued to the Holder by the Company as of the date set forth above (the “Effective Date”).</w:t>
      </w:r>
    </w:p>
    <w:p>
      <w:pPr>
        <w:spacing w:after="0" w:line="187" w:lineRule="exact"/>
        <w:rPr>
          <w:sz w:val="20"/>
          <w:szCs w:val="20"/>
          <w:color w:val="auto"/>
        </w:rPr>
      </w:pPr>
    </w:p>
    <w:p>
      <w:pPr>
        <w:ind w:left="760" w:hanging="324"/>
        <w:spacing w:after="0"/>
        <w:tabs>
          <w:tab w:leader="none" w:pos="7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57" w:lineRule="auto"/>
        <w:tabs>
          <w:tab w:leader="none" w:pos="1371"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the terms and conditions set forth herein, including the Vesting Schedule (as defined below), the Holder is entitled, upon surrender of this Warrant at the principal office of the Company (or at such other place as the Company shall notify the Holder in writing), to purchase from the Company up to 750,000 fully paid and nonassessable shares of the Company’s Common Stock, par value $0.0001 per share (the “Common Stock”), subject to appropriate adjustment for future stock splits, dividends, combinations, recapitalizations and the like with respect to the Common Stock.</w:t>
      </w:r>
    </w:p>
    <w:p>
      <w:pPr>
        <w:spacing w:after="0" w:line="187" w:lineRule="exact"/>
        <w:rPr>
          <w:rFonts w:ascii="Arial" w:cs="Arial" w:eastAsia="Arial" w:hAnsi="Arial"/>
          <w:sz w:val="18"/>
          <w:szCs w:val="18"/>
          <w:color w:val="auto"/>
        </w:rPr>
      </w:pPr>
    </w:p>
    <w:p>
      <w:pPr>
        <w:ind w:right="200" w:firstLine="987"/>
        <w:spacing w:after="0" w:line="308" w:lineRule="auto"/>
        <w:tabs>
          <w:tab w:leader="none" w:pos="1381"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for the shares of Common Stock issuable pursuant to this Section 1 (the “Shares”) shall be $0.01 per share (the “Exercise Price”). The Shares and the Exercise Price shall be subject to adjustment pursuant to Section 10 hereof.</w:t>
      </w:r>
    </w:p>
    <w:p>
      <w:pPr>
        <w:spacing w:after="0" w:line="146" w:lineRule="exact"/>
        <w:rPr>
          <w:sz w:val="20"/>
          <w:szCs w:val="20"/>
          <w:color w:val="auto"/>
        </w:rPr>
      </w:pPr>
    </w:p>
    <w:p>
      <w:pPr>
        <w:ind w:left="760" w:hanging="324"/>
        <w:spacing w:after="0"/>
        <w:tabs>
          <w:tab w:leader="none" w:pos="7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60" w:firstLine="987"/>
        <w:spacing w:after="0" w:line="277" w:lineRule="auto"/>
        <w:tabs>
          <w:tab w:leader="none" w:pos="136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The Shares shall vest and become exercisable under this Warrant in accordance with the vesting schedule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(“Vesting Schedule”) upon achievement of the milestones (“Milestones”) as set forth therein.</w:t>
      </w:r>
    </w:p>
    <w:p>
      <w:pPr>
        <w:sectPr>
          <w:pgSz w:w="11900" w:h="16838" w:orient="portrait"/>
          <w:cols w:equalWidth="0" w:num="1">
            <w:col w:w="11020"/>
          </w:cols>
          <w:pgMar w:left="440" w:top="121" w:right="439" w:bottom="1440" w:gutter="0" w:footer="0" w:header="0"/>
          <w:type w:val="continuous"/>
        </w:sectPr>
      </w:pPr>
    </w:p>
    <w:bookmarkStart w:id="244" w:name="page245"/>
    <w:bookmarkEnd w:id="244"/>
    <w:p>
      <w:pPr>
        <w:ind w:left="4" w:firstLine="987"/>
        <w:spacing w:after="0" w:line="259" w:lineRule="auto"/>
        <w:tabs>
          <w:tab w:leader="none" w:pos="1385" w:val="left"/>
        </w:tabs>
        <w:numPr>
          <w:ilvl w:val="2"/>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satisfaction by Holder (or an affiliate thereof) of each Milestone, the Company shall deliver to the Holder a written notice stating that such Milestone has been achieved. The Company shall deliver such notice promptly following its determination that the Milestone has been achieved, and this Warrant shall be immediately exercisable with respect to the Shares corresponding to the applicable Milestone, and such exercisable Shares shall be considered “Vested” for all purposes hereunder.</w:t>
      </w:r>
    </w:p>
    <w:p>
      <w:pPr>
        <w:spacing w:after="0" w:line="186" w:lineRule="exact"/>
        <w:rPr>
          <w:rFonts w:ascii="Arial" w:cs="Arial" w:eastAsia="Arial" w:hAnsi="Arial"/>
          <w:sz w:val="18"/>
          <w:szCs w:val="18"/>
          <w:color w:val="auto"/>
        </w:rPr>
      </w:pPr>
    </w:p>
    <w:p>
      <w:pPr>
        <w:ind w:left="764" w:hanging="324"/>
        <w:spacing w:after="0"/>
        <w:tabs>
          <w:tab w:leader="none" w:pos="764"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4" w:hanging="373"/>
        <w:spacing w:after="0"/>
        <w:tabs>
          <w:tab w:leader="none" w:pos="1364" w:val="left"/>
        </w:tabs>
        <w:numPr>
          <w:ilvl w:val="2"/>
          <w:numId w:val="112"/>
        </w:numPr>
        <w:rPr>
          <w:rFonts w:ascii="Arial" w:cs="Arial" w:eastAsia="Arial" w:hAnsi="Arial"/>
          <w:sz w:val="18"/>
          <w:szCs w:val="18"/>
          <w:color w:val="auto"/>
        </w:rPr>
      </w:pPr>
      <w:r>
        <w:rPr>
          <w:rFonts w:ascii="Arial" w:cs="Arial" w:eastAsia="Arial" w:hAnsi="Arial"/>
          <w:sz w:val="18"/>
          <w:szCs w:val="18"/>
          <w:color w:val="auto"/>
        </w:rPr>
        <w:t>Certain Definitions.</w:t>
      </w:r>
    </w:p>
    <w:p>
      <w:pPr>
        <w:spacing w:after="0" w:line="225" w:lineRule="exact"/>
        <w:rPr>
          <w:rFonts w:ascii="Arial" w:cs="Arial" w:eastAsia="Arial" w:hAnsi="Arial"/>
          <w:sz w:val="18"/>
          <w:szCs w:val="18"/>
          <w:color w:val="auto"/>
        </w:rPr>
      </w:pPr>
    </w:p>
    <w:p>
      <w:pPr>
        <w:ind w:left="1764" w:hanging="332"/>
        <w:spacing w:after="0"/>
        <w:tabs>
          <w:tab w:leader="none" w:pos="1764" w:val="left"/>
        </w:tabs>
        <w:numPr>
          <w:ilvl w:val="3"/>
          <w:numId w:val="112"/>
        </w:numPr>
        <w:rPr>
          <w:rFonts w:ascii="Arial" w:cs="Arial" w:eastAsia="Arial" w:hAnsi="Arial"/>
          <w:sz w:val="17"/>
          <w:szCs w:val="17"/>
          <w:color w:val="auto"/>
        </w:rPr>
      </w:pPr>
      <w:r>
        <w:rPr>
          <w:rFonts w:ascii="Arial" w:cs="Arial" w:eastAsia="Arial" w:hAnsi="Arial"/>
          <w:sz w:val="17"/>
          <w:szCs w:val="17"/>
          <w:color w:val="auto"/>
        </w:rPr>
        <w:t>An “Acquirer” shall mean the person or entity acquiring the assets, liabilities, business, or voting securities in the Corporate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Transaction.</w:t>
      </w:r>
    </w:p>
    <w:p>
      <w:pPr>
        <w:spacing w:after="0" w:line="210" w:lineRule="exact"/>
        <w:rPr>
          <w:rFonts w:ascii="Arial" w:cs="Arial" w:eastAsia="Arial" w:hAnsi="Arial"/>
          <w:sz w:val="17"/>
          <w:szCs w:val="17"/>
          <w:color w:val="auto"/>
        </w:rPr>
      </w:pPr>
    </w:p>
    <w:p>
      <w:pPr>
        <w:ind w:left="4" w:right="300" w:firstLine="1428"/>
        <w:spacing w:after="0" w:line="291" w:lineRule="auto"/>
        <w:tabs>
          <w:tab w:leader="none" w:pos="1826" w:val="left"/>
        </w:tabs>
        <w:numPr>
          <w:ilvl w:val="3"/>
          <w:numId w:val="112"/>
        </w:numPr>
        <w:rPr>
          <w:rFonts w:ascii="Arial" w:cs="Arial" w:eastAsia="Arial" w:hAnsi="Arial"/>
          <w:sz w:val="16"/>
          <w:szCs w:val="16"/>
          <w:color w:val="auto"/>
        </w:rPr>
      </w:pPr>
      <w:r>
        <w:rPr>
          <w:rFonts w:ascii="Arial" w:cs="Arial" w:eastAsia="Arial" w:hAnsi="Arial"/>
          <w:sz w:val="16"/>
          <w:szCs w:val="16"/>
          <w:color w:val="auto"/>
        </w:rPr>
        <w:t>A “Corporate Transaction” shall mean the consummation of (x) an Asset Sale, as such term is defined in the Company’s current Amended and Restated Certificate of Incorporation on file with the Secretary of State of the State of Delaware (the “Restated Certificate”) or</w:t>
      </w:r>
    </w:p>
    <w:p>
      <w:pPr>
        <w:ind w:left="4" w:right="440" w:hanging="4"/>
        <w:spacing w:after="0" w:line="260" w:lineRule="auto"/>
        <w:tabs>
          <w:tab w:leader="none" w:pos="25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Acquisition (as defined in the Restated Certificate); provided that the issuance of shares in the Company’s Initial Public Offering (as defined herein) shall not be deemed to be a Corporate Transaction.</w:t>
      </w:r>
    </w:p>
    <w:p>
      <w:pPr>
        <w:spacing w:after="0" w:line="185" w:lineRule="exact"/>
        <w:rPr>
          <w:rFonts w:ascii="Arial" w:cs="Arial" w:eastAsia="Arial" w:hAnsi="Arial"/>
          <w:sz w:val="18"/>
          <w:szCs w:val="18"/>
          <w:color w:val="auto"/>
        </w:rPr>
      </w:pPr>
    </w:p>
    <w:p>
      <w:pPr>
        <w:ind w:left="4" w:right="140" w:firstLine="1428"/>
        <w:spacing w:after="0" w:line="259" w:lineRule="auto"/>
        <w:tabs>
          <w:tab w:leader="none" w:pos="1876" w:val="left"/>
        </w:tabs>
        <w:numPr>
          <w:ilvl w:val="3"/>
          <w:numId w:val="113"/>
        </w:numPr>
        <w:rPr>
          <w:rFonts w:ascii="Arial" w:cs="Arial" w:eastAsia="Arial" w:hAnsi="Arial"/>
          <w:sz w:val="18"/>
          <w:szCs w:val="18"/>
          <w:color w:val="auto"/>
        </w:rPr>
      </w:pPr>
      <w:r>
        <w:rPr>
          <w:rFonts w:ascii="Arial" w:cs="Arial" w:eastAsia="Arial" w:hAnsi="Arial"/>
          <w:sz w:val="18"/>
          <w:szCs w:val="18"/>
          <w:color w:val="auto"/>
        </w:rPr>
        <w:t>An “Initial Public Offering” shall mean (x) the consummation of the first firm commitment underwritten public offering pursuant to an effective registration statement under the Securities Act of 1933, as amended, covering the offer and sale by the Company of its equity securities, or (y) the direct listing or direct placement of equity securities in a publicly traded exchange, in either case, as a result of or following which the equity securities of the Company shall be publicly held.</w:t>
      </w:r>
    </w:p>
    <w:p>
      <w:pPr>
        <w:spacing w:after="0" w:line="186" w:lineRule="exact"/>
        <w:rPr>
          <w:rFonts w:ascii="Arial" w:cs="Arial" w:eastAsia="Arial" w:hAnsi="Arial"/>
          <w:sz w:val="18"/>
          <w:szCs w:val="18"/>
          <w:color w:val="auto"/>
        </w:rPr>
      </w:pPr>
    </w:p>
    <w:p>
      <w:pPr>
        <w:ind w:left="1864" w:hanging="432"/>
        <w:spacing w:after="0"/>
        <w:tabs>
          <w:tab w:leader="none" w:pos="1864" w:val="left"/>
        </w:tabs>
        <w:numPr>
          <w:ilvl w:val="3"/>
          <w:numId w:val="113"/>
        </w:numPr>
        <w:rPr>
          <w:rFonts w:ascii="Arial" w:cs="Arial" w:eastAsia="Arial" w:hAnsi="Arial"/>
          <w:sz w:val="18"/>
          <w:szCs w:val="18"/>
          <w:color w:val="auto"/>
        </w:rPr>
      </w:pPr>
      <w:r>
        <w:rPr>
          <w:rFonts w:ascii="Arial" w:cs="Arial" w:eastAsia="Arial" w:hAnsi="Arial"/>
          <w:sz w:val="18"/>
          <w:szCs w:val="18"/>
          <w:color w:val="auto"/>
        </w:rPr>
        <w:t>A “Liquidation Event” shall have the meaning set forth in the Restated Certificate.</w:t>
      </w:r>
    </w:p>
    <w:p>
      <w:pPr>
        <w:spacing w:after="0" w:line="225" w:lineRule="exact"/>
        <w:rPr>
          <w:rFonts w:ascii="Arial" w:cs="Arial" w:eastAsia="Arial" w:hAnsi="Arial"/>
          <w:sz w:val="18"/>
          <w:szCs w:val="18"/>
          <w:color w:val="auto"/>
        </w:rPr>
      </w:pPr>
    </w:p>
    <w:p>
      <w:pPr>
        <w:ind w:left="4" w:right="340" w:firstLine="987"/>
        <w:spacing w:after="0" w:line="263" w:lineRule="auto"/>
        <w:tabs>
          <w:tab w:leader="none" w:pos="1385" w:val="left"/>
        </w:tabs>
        <w:numPr>
          <w:ilvl w:val="2"/>
          <w:numId w:val="113"/>
        </w:numPr>
        <w:rPr>
          <w:rFonts w:ascii="Arial" w:cs="Arial" w:eastAsia="Arial" w:hAnsi="Arial"/>
          <w:sz w:val="18"/>
          <w:szCs w:val="18"/>
          <w:color w:val="auto"/>
        </w:rPr>
      </w:pPr>
      <w:r>
        <w:rPr>
          <w:rFonts w:ascii="Arial" w:cs="Arial" w:eastAsia="Arial" w:hAnsi="Arial"/>
          <w:sz w:val="18"/>
          <w:szCs w:val="18"/>
          <w:color w:val="auto"/>
        </w:rPr>
        <w:t>Subject to the provisions of this Section 3 and Section 2, this Warrant shall be exercisable, in whole or in part, during the term commencing on the effective date hereof and ending at 5:00 p.m. Pacific time on the fifth (5</w:t>
      </w:r>
      <w:r>
        <w:rPr>
          <w:rFonts w:ascii="Arial" w:cs="Arial" w:eastAsia="Arial" w:hAnsi="Arial"/>
          <w:sz w:val="15"/>
          <w:szCs w:val="15"/>
          <w:color w:val="auto"/>
        </w:rPr>
        <w:t>th</w:t>
      </w:r>
      <w:r>
        <w:rPr>
          <w:rFonts w:ascii="Arial" w:cs="Arial" w:eastAsia="Arial" w:hAnsi="Arial"/>
          <w:sz w:val="18"/>
          <w:szCs w:val="18"/>
          <w:color w:val="auto"/>
        </w:rPr>
        <w:t>) anniversary of the date hereof, unless sooner deemed exercised pursuant to the terms of this Warrant (the “Exercise Period”).</w:t>
      </w:r>
    </w:p>
    <w:p>
      <w:pPr>
        <w:spacing w:after="0" w:line="183" w:lineRule="exact"/>
        <w:rPr>
          <w:rFonts w:ascii="Arial" w:cs="Arial" w:eastAsia="Arial" w:hAnsi="Arial"/>
          <w:sz w:val="18"/>
          <w:szCs w:val="18"/>
          <w:color w:val="auto"/>
        </w:rPr>
      </w:pPr>
    </w:p>
    <w:p>
      <w:pPr>
        <w:ind w:left="4" w:firstLine="987"/>
        <w:spacing w:after="0" w:line="271" w:lineRule="auto"/>
        <w:tabs>
          <w:tab w:leader="none" w:pos="1375" w:val="left"/>
        </w:tabs>
        <w:numPr>
          <w:ilvl w:val="2"/>
          <w:numId w:val="113"/>
        </w:numPr>
        <w:rPr>
          <w:rFonts w:ascii="Arial" w:cs="Arial" w:eastAsia="Arial" w:hAnsi="Arial"/>
          <w:sz w:val="17"/>
          <w:szCs w:val="17"/>
          <w:color w:val="auto"/>
        </w:rPr>
      </w:pPr>
      <w:r>
        <w:rPr>
          <w:rFonts w:ascii="Arial" w:cs="Arial" w:eastAsia="Arial" w:hAnsi="Arial"/>
          <w:sz w:val="17"/>
          <w:szCs w:val="17"/>
          <w:color w:val="auto"/>
        </w:rPr>
        <w:t>In the event of a Corporate Transaction in which the Acquirer assumes all of the Company’s rights and obligations under the Partnership Agreement pursuant to the terms and conditions set forth therein, then, as part of such transaction, lawful provision shall be made so that the Holder shall thereafter be entitled to receive upon exercise of this Warrant, during the period specified herein and upon payment of the Exercise Price then in effect, the number of shares of stock or other securities or property of the successor corporation resulting from the Corporate Transaction which a holder of the Shares deliverable upon exercise of this Warrant would have been entitled to receive in such Corporate Transaction if this Warrant had been exercised immediately before such Corporate Transaction with respect to such Shares, all subject to further adjustment as provided in this Section 3; and, in any such case, appropriate adjustment (as determined by the Company’s Board of Directors) shall be made in the application of the provisions herein set forth with respect to the rights and interests thereafter of the Holder to the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45" w:name="page246"/>
    <w:bookmarkEnd w:id="245"/>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 that the provisions set forth herein (including provisions with respect to changes in and other adjustments of the number of Shares of the Holder is entitled to purchase) shall thereafter by applicable, as nearly as possible, in relation to any shares of Common Stock or other securities or other property thereafter deliverable upon the exercise of this Warrant.</w:t>
      </w:r>
    </w:p>
    <w:p>
      <w:pPr>
        <w:spacing w:after="0" w:line="184" w:lineRule="exact"/>
        <w:rPr>
          <w:sz w:val="20"/>
          <w:szCs w:val="20"/>
          <w:color w:val="auto"/>
        </w:rPr>
      </w:pPr>
    </w:p>
    <w:p>
      <w:pPr>
        <w:ind w:left="4" w:right="380" w:firstLine="987"/>
        <w:spacing w:after="0" w:line="291" w:lineRule="auto"/>
        <w:tabs>
          <w:tab w:leader="none" w:pos="1385" w:val="left"/>
        </w:tabs>
        <w:numPr>
          <w:ilvl w:val="2"/>
          <w:numId w:val="114"/>
        </w:numPr>
        <w:rPr>
          <w:rFonts w:ascii="Arial" w:cs="Arial" w:eastAsia="Arial" w:hAnsi="Arial"/>
          <w:sz w:val="16"/>
          <w:szCs w:val="16"/>
          <w:color w:val="auto"/>
        </w:rPr>
      </w:pPr>
      <w:r>
        <w:rPr>
          <w:rFonts w:ascii="Arial" w:cs="Arial" w:eastAsia="Arial" w:hAnsi="Arial"/>
          <w:sz w:val="16"/>
          <w:szCs w:val="16"/>
          <w:color w:val="auto"/>
        </w:rPr>
        <w:t>In the event of (i) a termination of the Partnership Agreement for any reason pursuant to the terms and conditions thereof, (ii) a Corporate Transaction in which the Acquirer does not assume all of the rights and obligations of the Company under the Partnership Agreement, or</w:t>
      </w:r>
    </w:p>
    <w:p>
      <w:pPr>
        <w:ind w:left="4" w:hanging="4"/>
        <w:spacing w:after="0" w:line="253" w:lineRule="auto"/>
        <w:tabs>
          <w:tab w:leader="none" w:pos="31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Liquidation Event (each of (i) through (iii), a “Termination Event”), then the Shares that have Vested as of immediately prior to the consummation of such Termination Event shall be deemed to be automatically exercised pursuant to the provisions set forth in Section 4(d) immediately prior to the consummation of such Termination Event without any further action on behalf of the Holder. Upon the consummation of such Termination Event and after giving effect to such exercise, any remaining Shares that have not yet Vested shall no longer be exercisable and the Warrant shall automatically become null and void.</w:t>
      </w:r>
    </w:p>
    <w:p>
      <w:pPr>
        <w:spacing w:after="0" w:line="190" w:lineRule="exact"/>
        <w:rPr>
          <w:rFonts w:ascii="Arial" w:cs="Arial" w:eastAsia="Arial" w:hAnsi="Arial"/>
          <w:sz w:val="18"/>
          <w:szCs w:val="18"/>
          <w:color w:val="auto"/>
        </w:rPr>
      </w:pPr>
    </w:p>
    <w:p>
      <w:pPr>
        <w:ind w:left="1364" w:hanging="373"/>
        <w:spacing w:after="0"/>
        <w:tabs>
          <w:tab w:leader="none" w:pos="1364" w:val="left"/>
        </w:tabs>
        <w:numPr>
          <w:ilvl w:val="2"/>
          <w:numId w:val="115"/>
        </w:numPr>
        <w:rPr>
          <w:rFonts w:ascii="Arial" w:cs="Arial" w:eastAsia="Arial" w:hAnsi="Arial"/>
          <w:sz w:val="16"/>
          <w:szCs w:val="16"/>
          <w:color w:val="auto"/>
        </w:rPr>
      </w:pPr>
      <w:r>
        <w:rPr>
          <w:rFonts w:ascii="Arial" w:cs="Arial" w:eastAsia="Arial" w:hAnsi="Arial"/>
          <w:sz w:val="16"/>
          <w:szCs w:val="16"/>
          <w:color w:val="auto"/>
        </w:rPr>
        <w:t>In the event of an Initial Public Offering, any Shares that have not yet been exercised and the Warrant shall continue in accordance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with its terms.</w:t>
      </w:r>
    </w:p>
    <w:p>
      <w:pPr>
        <w:spacing w:after="0" w:line="210" w:lineRule="exact"/>
        <w:rPr>
          <w:rFonts w:ascii="Arial" w:cs="Arial" w:eastAsia="Arial" w:hAnsi="Arial"/>
          <w:sz w:val="16"/>
          <w:szCs w:val="16"/>
          <w:color w:val="auto"/>
        </w:rPr>
      </w:pPr>
    </w:p>
    <w:p>
      <w:pPr>
        <w:ind w:left="764" w:hanging="324"/>
        <w:spacing w:after="0"/>
        <w:tabs>
          <w:tab w:leader="none" w:pos="764"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60" w:firstLine="987"/>
        <w:spacing w:after="0" w:line="277" w:lineRule="auto"/>
        <w:tabs>
          <w:tab w:leader="none" w:pos="137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While this Warrant remains outstanding and exercisable in accordance with Section 3 above, the Holder may exercise, in whole or in part, the purchase rights for vested Shares evidenced hereby. Such exercise shall be effected by:</w:t>
      </w:r>
    </w:p>
    <w:p>
      <w:pPr>
        <w:spacing w:after="0" w:line="170" w:lineRule="exact"/>
        <w:rPr>
          <w:rFonts w:ascii="Arial" w:cs="Arial" w:eastAsia="Arial" w:hAnsi="Arial"/>
          <w:sz w:val="18"/>
          <w:szCs w:val="18"/>
          <w:color w:val="auto"/>
        </w:rPr>
      </w:pPr>
    </w:p>
    <w:p>
      <w:pPr>
        <w:ind w:left="4" w:right="160" w:firstLine="1428"/>
        <w:spacing w:after="0" w:line="277" w:lineRule="auto"/>
        <w:tabs>
          <w:tab w:leader="none" w:pos="1786" w:val="left"/>
        </w:tabs>
        <w:numPr>
          <w:ilvl w:val="3"/>
          <w:numId w:val="116"/>
        </w:numPr>
        <w:rPr>
          <w:rFonts w:ascii="Arial" w:cs="Arial" w:eastAsia="Arial" w:hAnsi="Arial"/>
          <w:sz w:val="18"/>
          <w:szCs w:val="18"/>
          <w:color w:val="auto"/>
        </w:rPr>
      </w:pPr>
      <w:r>
        <w:rPr>
          <w:rFonts w:ascii="Arial" w:cs="Arial" w:eastAsia="Arial" w:hAnsi="Arial"/>
          <w:sz w:val="18"/>
          <w:szCs w:val="18"/>
          <w:color w:val="auto"/>
        </w:rPr>
        <w:t>the surrender of the Warrant, together with a duly executed copy of the Notice of Exercise attached hereto, to the Secretary of the Company at its principal office (or at such other place as the Company shall notify the Holder in writing); and</w:t>
      </w:r>
    </w:p>
    <w:p>
      <w:pPr>
        <w:spacing w:after="0" w:line="170" w:lineRule="exact"/>
        <w:rPr>
          <w:rFonts w:ascii="Arial" w:cs="Arial" w:eastAsia="Arial" w:hAnsi="Arial"/>
          <w:sz w:val="18"/>
          <w:szCs w:val="18"/>
          <w:color w:val="auto"/>
        </w:rPr>
      </w:pPr>
    </w:p>
    <w:p>
      <w:pPr>
        <w:ind w:left="1824" w:hanging="392"/>
        <w:spacing w:after="0"/>
        <w:tabs>
          <w:tab w:leader="none" w:pos="1824" w:val="left"/>
        </w:tabs>
        <w:numPr>
          <w:ilvl w:val="3"/>
          <w:numId w:val="116"/>
        </w:numPr>
        <w:rPr>
          <w:rFonts w:ascii="Arial" w:cs="Arial" w:eastAsia="Arial" w:hAnsi="Arial"/>
          <w:sz w:val="16"/>
          <w:szCs w:val="16"/>
          <w:color w:val="auto"/>
        </w:rPr>
      </w:pPr>
      <w:r>
        <w:rPr>
          <w:rFonts w:ascii="Arial" w:cs="Arial" w:eastAsia="Arial" w:hAnsi="Arial"/>
          <w:sz w:val="16"/>
          <w:szCs w:val="16"/>
          <w:color w:val="auto"/>
        </w:rPr>
        <w:t>the payment to the Company of an amount equal to the aggregate Exercise Price for the number of Shares being purchased.</w:t>
      </w:r>
    </w:p>
    <w:p>
      <w:pPr>
        <w:spacing w:after="0" w:line="248" w:lineRule="exact"/>
        <w:rPr>
          <w:rFonts w:ascii="Arial" w:cs="Arial" w:eastAsia="Arial" w:hAnsi="Arial"/>
          <w:sz w:val="16"/>
          <w:szCs w:val="16"/>
          <w:color w:val="auto"/>
        </w:rPr>
      </w:pPr>
    </w:p>
    <w:p>
      <w:pPr>
        <w:ind w:left="4" w:firstLine="987"/>
        <w:spacing w:after="0" w:line="259" w:lineRule="auto"/>
        <w:tabs>
          <w:tab w:leader="none" w:pos="1385" w:val="left"/>
        </w:tabs>
        <w:numPr>
          <w:ilvl w:val="2"/>
          <w:numId w:val="116"/>
        </w:numPr>
        <w:rPr>
          <w:rFonts w:ascii="Arial" w:cs="Arial" w:eastAsia="Arial" w:hAnsi="Arial"/>
          <w:sz w:val="18"/>
          <w:szCs w:val="18"/>
          <w:color w:val="auto"/>
        </w:rPr>
      </w:pPr>
      <w:r>
        <w:rPr>
          <w:rFonts w:ascii="Arial" w:cs="Arial" w:eastAsia="Arial" w:hAnsi="Arial"/>
          <w:sz w:val="18"/>
          <w:szCs w:val="18"/>
          <w:color w:val="auto"/>
        </w:rPr>
        <w:t>Each exercise of this Warrant shall be deemed to have been effected immediately prior to the close of business on the day on which this Warrant is surrendered to the Company as provided in Section 4(a) above. At such time, the person or persons in whose name or names any certificate for the Shares shall be issuable upon such exercise as provided in Section 4(c) below shall be deemed to have become the holder or holders of record of the Shares represented by such certificate.</w:t>
      </w:r>
    </w:p>
    <w:p>
      <w:pPr>
        <w:spacing w:after="0" w:line="186" w:lineRule="exact"/>
        <w:rPr>
          <w:rFonts w:ascii="Arial" w:cs="Arial" w:eastAsia="Arial" w:hAnsi="Arial"/>
          <w:sz w:val="18"/>
          <w:szCs w:val="18"/>
          <w:color w:val="auto"/>
        </w:rPr>
      </w:pPr>
    </w:p>
    <w:p>
      <w:pPr>
        <w:ind w:left="4" w:right="140" w:firstLine="987"/>
        <w:spacing w:after="0" w:line="342" w:lineRule="auto"/>
        <w:tabs>
          <w:tab w:leader="none" w:pos="1372" w:val="left"/>
        </w:tabs>
        <w:numPr>
          <w:ilvl w:val="2"/>
          <w:numId w:val="116"/>
        </w:numPr>
        <w:rPr>
          <w:rFonts w:ascii="Arial" w:cs="Arial" w:eastAsia="Arial" w:hAnsi="Arial"/>
          <w:sz w:val="16"/>
          <w:szCs w:val="16"/>
          <w:color w:val="auto"/>
        </w:rPr>
      </w:pPr>
      <w:r>
        <w:rPr>
          <w:rFonts w:ascii="Arial" w:cs="Arial" w:eastAsia="Arial" w:hAnsi="Arial"/>
          <w:sz w:val="16"/>
          <w:szCs w:val="16"/>
          <w:color w:val="auto"/>
        </w:rPr>
        <w:t>Within a reasonable time after the exercise of this Warrant in whole or in part, the Company at its expense will cause to be issued in the name of, and delivered to, the Holder, or as such Holder (upon payment by such Holder of any applicable transfer taxes) may direct:</w:t>
      </w:r>
    </w:p>
    <w:p>
      <w:pPr>
        <w:spacing w:after="0" w:line="123" w:lineRule="exact"/>
        <w:rPr>
          <w:rFonts w:ascii="Arial" w:cs="Arial" w:eastAsia="Arial" w:hAnsi="Arial"/>
          <w:sz w:val="16"/>
          <w:szCs w:val="16"/>
          <w:color w:val="auto"/>
        </w:rPr>
      </w:pPr>
    </w:p>
    <w:p>
      <w:pPr>
        <w:ind w:left="1784" w:hanging="352"/>
        <w:spacing w:after="0"/>
        <w:tabs>
          <w:tab w:leader="none" w:pos="1784" w:val="left"/>
        </w:tabs>
        <w:numPr>
          <w:ilvl w:val="3"/>
          <w:numId w:val="116"/>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to which such Holder shall be entitled, and</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246" w:name="page247"/>
    <w:bookmarkEnd w:id="246"/>
    <w:p>
      <w:pPr>
        <w:ind w:right="80" w:firstLine="1428"/>
        <w:spacing w:after="0" w:line="263" w:lineRule="auto"/>
        <w:tabs>
          <w:tab w:leader="none" w:pos="1832" w:val="left"/>
        </w:tabs>
        <w:numPr>
          <w:ilvl w:val="2"/>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such exercise is in part only, a new warrant or warrants (dated the date hereof) of like tenor, calling in the aggregate on the face or faces thereof for the number of Shares equal to the number of such Shares described in this Warrant minus the number of such Shares purchased by the Holder upon all exercises made in accordance with Section 4(a) above.</w:t>
      </w:r>
    </w:p>
    <w:p>
      <w:pPr>
        <w:spacing w:after="0" w:line="183" w:lineRule="exact"/>
        <w:rPr>
          <w:rFonts w:ascii="Arial" w:cs="Arial" w:eastAsia="Arial" w:hAnsi="Arial"/>
          <w:sz w:val="18"/>
          <w:szCs w:val="18"/>
          <w:color w:val="auto"/>
        </w:rPr>
      </w:pPr>
    </w:p>
    <w:p>
      <w:pPr>
        <w:ind w:right="160" w:firstLine="987"/>
        <w:spacing w:after="0" w:line="342" w:lineRule="auto"/>
        <w:tabs>
          <w:tab w:leader="none" w:pos="138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If the Holder has not exercised this Warrant prior to the expiration of the Exercise Period, all of the Shares subject to this Warrant (including any Shares that are Vested Shares) shall automatically be cancelled, and Holder shall have no further rights with respect to any such Shares.</w:t>
      </w:r>
    </w:p>
    <w:p>
      <w:pPr>
        <w:spacing w:after="0" w:line="123" w:lineRule="exact"/>
        <w:rPr>
          <w:rFonts w:ascii="Arial" w:cs="Arial" w:eastAsia="Arial" w:hAnsi="Arial"/>
          <w:sz w:val="16"/>
          <w:szCs w:val="16"/>
          <w:color w:val="auto"/>
        </w:rPr>
      </w:pPr>
    </w:p>
    <w:p>
      <w:pPr>
        <w:ind w:firstLine="436"/>
        <w:spacing w:after="0" w:line="286" w:lineRule="auto"/>
        <w:tabs>
          <w:tab w:leader="none" w:pos="75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Pro Rata Right in Future Financings</w:t>
      </w:r>
      <w:r>
        <w:rPr>
          <w:rFonts w:ascii="Arial" w:cs="Arial" w:eastAsia="Arial" w:hAnsi="Arial"/>
          <w:sz w:val="16"/>
          <w:szCs w:val="16"/>
          <w:color w:val="auto"/>
        </w:rPr>
        <w:t>. In connection with any transaction or series of transactions in which New Securities (as defined below) are issued or sold for bona fide capital raising purposes (a “Financing”) that occurs after the conversion of the Warrant into shares of the Company’s capital stock, the Company shall provide the Holder with written notice of such Financing, including the price and terms thereof. The Holder shall have fifteen (15) days from the giving of such notice to agree to purchase its pro rata share of the New Securities offered in such Financing for the price and upon the terms and conditions specified in the notice, by giving written notice to the Company and stating therein the quantity of New Securities to be purchased. The Holder’s pro rata share is equal to the ratio of (i) the number of shares of the Company’s Common Stock held by the Holder immediately prior to the issuance of such New Securities to (ii) the total number of shares of the Company’s outstanding Common Stock (including all shares of Common Stock issued or issuable upon conversion of the Preferred Stock or upon the exercise of any outstanding warrants or options, including this Warrant) immediately prior to the issuance of the New Securities. The term “New Securities” shall mean (a) any Common Stock, Preferred Stock or other security of the Company, (b) any security convertible into or exercisable or exchangeable for, with or without consideration, any Common Stock, Preferred Stock or other security (including any option to purchase such a convertible security), (c) any security carrying any warrant or right to subscribe to or purchase any Common Stock, Preferred Stock or other security or (d) any such warrant or right. Notwithstanding the foregoing, the Company shall not be required to offer or sell such New Securities to the Holder if such offer or sale would cause the Company to be in violation of applicable federal securities laws by virtue of such offer or sale; provided that in no event shall the foregoing rights apply to any New Securities excepted from the definition of “Additional Shares of Common Stock” as defined in the Restated Certificate.</w:t>
      </w:r>
    </w:p>
    <w:p>
      <w:pPr>
        <w:spacing w:after="0" w:line="167" w:lineRule="exact"/>
        <w:rPr>
          <w:rFonts w:ascii="Arial" w:cs="Arial" w:eastAsia="Arial" w:hAnsi="Arial"/>
          <w:sz w:val="16"/>
          <w:szCs w:val="16"/>
          <w:color w:val="auto"/>
        </w:rPr>
      </w:pPr>
    </w:p>
    <w:p>
      <w:pPr>
        <w:ind w:right="60" w:firstLine="436"/>
        <w:spacing w:after="0" w:line="277" w:lineRule="auto"/>
        <w:tabs>
          <w:tab w:leader="none" w:pos="75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In connection with the transactions provided for herein, the Company hereby represents and warrants to the Holder that:</w:t>
      </w:r>
    </w:p>
    <w:p>
      <w:pPr>
        <w:spacing w:after="0" w:line="170" w:lineRule="exact"/>
        <w:rPr>
          <w:rFonts w:ascii="Arial" w:cs="Arial" w:eastAsia="Arial" w:hAnsi="Arial"/>
          <w:sz w:val="18"/>
          <w:szCs w:val="18"/>
          <w:color w:val="auto"/>
        </w:rPr>
      </w:pPr>
    </w:p>
    <w:p>
      <w:pPr>
        <w:ind w:right="420" w:firstLine="987"/>
        <w:spacing w:after="0" w:line="259" w:lineRule="auto"/>
        <w:tabs>
          <w:tab w:leader="none" w:pos="1371"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Organization, Good Standing, and Qualification</w:t>
      </w:r>
      <w:r>
        <w:rPr>
          <w:rFonts w:ascii="Arial" w:cs="Arial" w:eastAsia="Arial" w:hAnsi="Arial"/>
          <w:sz w:val="18"/>
          <w:szCs w:val="18"/>
          <w:color w:val="auto"/>
        </w:rPr>
        <w:t>. The Company is a corporation duly organized, validly existing, and in good standing under the laws of the State of Delaware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86" w:lineRule="exact"/>
        <w:rPr>
          <w:rFonts w:ascii="Arial" w:cs="Arial" w:eastAsia="Arial" w:hAnsi="Arial"/>
          <w:sz w:val="18"/>
          <w:szCs w:val="18"/>
          <w:color w:val="auto"/>
        </w:rPr>
      </w:pPr>
    </w:p>
    <w:p>
      <w:pPr>
        <w:ind w:right="100" w:firstLine="987"/>
        <w:spacing w:after="0" w:line="277" w:lineRule="auto"/>
        <w:tabs>
          <w:tab w:leader="none" w:pos="1381"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Except as may be limited by applicable bankruptcy, insolvency, reorganization or similar laws relating to or affecting the enforcement of creditors’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47" w:name="page248"/>
    <w:bookmarkEnd w:id="247"/>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will not be subject to preemptive rights of any stockholders of the Company. The Company has authorized sufficient shares of Common Stock to allow for the exercise of this Warrant.</w:t>
      </w:r>
    </w:p>
    <w:p>
      <w:pPr>
        <w:spacing w:after="0" w:line="157" w:lineRule="exact"/>
        <w:rPr>
          <w:sz w:val="20"/>
          <w:szCs w:val="20"/>
          <w:color w:val="auto"/>
        </w:rPr>
      </w:pPr>
    </w:p>
    <w:p>
      <w:pPr>
        <w:ind w:right="120" w:firstLine="987"/>
        <w:spacing w:after="0" w:line="311" w:lineRule="auto"/>
        <w:tabs>
          <w:tab w:leader="none" w:pos="1371"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The authorization, execution and delivery of the Warrant will not constitute or result in a material default or violation of any law or regulation applicable to the Company or any material term or provision of the Company’s current Certificate of Incorporation or bylaws, or any material agreement or instrument by which it is bound or to which its properties or assets are subject.</w:t>
      </w:r>
    </w:p>
    <w:p>
      <w:pPr>
        <w:spacing w:after="0" w:line="148" w:lineRule="exact"/>
        <w:rPr>
          <w:rFonts w:ascii="Arial" w:cs="Arial" w:eastAsia="Arial" w:hAnsi="Arial"/>
          <w:sz w:val="16"/>
          <w:szCs w:val="16"/>
          <w:color w:val="auto"/>
        </w:rPr>
      </w:pPr>
    </w:p>
    <w:p>
      <w:pPr>
        <w:ind w:right="80" w:firstLine="987"/>
        <w:spacing w:after="0" w:line="286" w:lineRule="auto"/>
        <w:tabs>
          <w:tab w:leader="none" w:pos="1381"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Valid Issuance of Common Stock</w:t>
      </w:r>
      <w:r>
        <w:rPr>
          <w:rFonts w:ascii="Arial" w:cs="Arial" w:eastAsia="Arial" w:hAnsi="Arial"/>
          <w:sz w:val="17"/>
          <w:szCs w:val="17"/>
          <w:color w:val="auto"/>
        </w:rPr>
        <w:t>. The Shares, when issued, sold, and delivered in accordance with the terms of the Warrant for the consideration expressed therein, will be duly and validly issued, fully paid and nonassessable and, based in part upon the representations and warranties of the Holders in this Warrant, will be issued in compliance with all applicable federal and state securities laws.</w:t>
      </w:r>
    </w:p>
    <w:p>
      <w:pPr>
        <w:spacing w:after="0" w:line="165" w:lineRule="exact"/>
        <w:rPr>
          <w:rFonts w:ascii="Arial" w:cs="Arial" w:eastAsia="Arial" w:hAnsi="Arial"/>
          <w:sz w:val="17"/>
          <w:szCs w:val="17"/>
          <w:color w:val="auto"/>
        </w:rPr>
      </w:pPr>
    </w:p>
    <w:p>
      <w:pPr>
        <w:ind w:right="460" w:firstLine="436"/>
        <w:spacing w:after="0" w:line="277" w:lineRule="auto"/>
        <w:tabs>
          <w:tab w:leader="none" w:pos="75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Holder</w:t>
      </w:r>
      <w:r>
        <w:rPr>
          <w:rFonts w:ascii="Arial" w:cs="Arial" w:eastAsia="Arial" w:hAnsi="Arial"/>
          <w:sz w:val="18"/>
          <w:szCs w:val="18"/>
          <w:color w:val="auto"/>
        </w:rPr>
        <w:t>. In connection with the transactions provided for herein, the Holder hereby represents and warrants to the Company that:</w:t>
      </w:r>
    </w:p>
    <w:p>
      <w:pPr>
        <w:spacing w:after="0" w:line="170" w:lineRule="exact"/>
        <w:rPr>
          <w:rFonts w:ascii="Arial" w:cs="Arial" w:eastAsia="Arial" w:hAnsi="Arial"/>
          <w:sz w:val="18"/>
          <w:szCs w:val="18"/>
          <w:color w:val="auto"/>
        </w:rPr>
      </w:pPr>
    </w:p>
    <w:p>
      <w:pPr>
        <w:ind w:right="120" w:firstLine="987"/>
        <w:spacing w:after="0" w:line="259" w:lineRule="auto"/>
        <w:tabs>
          <w:tab w:leader="none" w:pos="1371"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Holder represents that it has full power and authority to enter into this Warrant. This Warrant constitutes the Holder’s valid and legally binding obligation, enforceable in accordance with its terms, except as may be limited by (i) applicable bankruptcy, insolvency, reorganization, or similar laws relating to or affecting the enforcement of creditors’ rights and (ii) laws relating to the availability of specific performance, injunctive relief or other equitable remedies.</w:t>
      </w:r>
    </w:p>
    <w:p>
      <w:pPr>
        <w:spacing w:after="0" w:line="186" w:lineRule="exact"/>
        <w:rPr>
          <w:rFonts w:ascii="Arial" w:cs="Arial" w:eastAsia="Arial" w:hAnsi="Arial"/>
          <w:sz w:val="18"/>
          <w:szCs w:val="18"/>
          <w:color w:val="auto"/>
        </w:rPr>
      </w:pPr>
    </w:p>
    <w:p>
      <w:pPr>
        <w:jc w:val="both"/>
        <w:ind w:right="20" w:firstLine="987"/>
        <w:spacing w:after="0" w:line="255" w:lineRule="auto"/>
        <w:tabs>
          <w:tab w:leader="none" w:pos="1381"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The Holder acknowledges that this Warrant is entered into by the Holder in reliance upon such Holder’s representation to the Company that the Warrant and the Shares (collectively, the “Securities”) will be acquired for investment for the Holder’s own account, not as a nominee or agent, and not with a view to the resale or distribution of any part thereof, and that the Holder has no present intention of selling, granting any participation in or otherwise distributing the same. By acknowledging this Warrant, the Holder further represents that the Holder does not have any contract, undertaking, agreement, or arrangement with any person to sell, transfer or grant participations to such person or to any third person, with respect to the Securities.</w:t>
      </w:r>
    </w:p>
    <w:p>
      <w:pPr>
        <w:spacing w:after="0" w:line="192" w:lineRule="exact"/>
        <w:rPr>
          <w:rFonts w:ascii="Arial" w:cs="Arial" w:eastAsia="Arial" w:hAnsi="Arial"/>
          <w:sz w:val="18"/>
          <w:szCs w:val="18"/>
          <w:color w:val="auto"/>
        </w:rPr>
      </w:pPr>
    </w:p>
    <w:p>
      <w:pPr>
        <w:ind w:right="80" w:firstLine="987"/>
        <w:spacing w:after="0" w:line="263" w:lineRule="auto"/>
        <w:tabs>
          <w:tab w:leader="none" w:pos="1371"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Holder acknowledges that it has received all the information it considers necessary or appropriate for deciding whether to acquire the Securities. The Holder further represents that it has had an opportunity to ask questions and receive answers from the Company regarding the terms and conditions of the offering of the Securities.</w:t>
      </w:r>
    </w:p>
    <w:p>
      <w:pPr>
        <w:spacing w:after="0" w:line="183" w:lineRule="exact"/>
        <w:rPr>
          <w:rFonts w:ascii="Arial" w:cs="Arial" w:eastAsia="Arial" w:hAnsi="Arial"/>
          <w:sz w:val="18"/>
          <w:szCs w:val="18"/>
          <w:color w:val="auto"/>
        </w:rPr>
      </w:pPr>
    </w:p>
    <w:p>
      <w:pPr>
        <w:ind w:right="300" w:firstLine="987"/>
        <w:spacing w:after="0" w:line="277" w:lineRule="auto"/>
        <w:tabs>
          <w:tab w:leader="none" w:pos="1381"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Investment Experience</w:t>
      </w:r>
      <w:r>
        <w:rPr>
          <w:rFonts w:ascii="Arial" w:cs="Arial" w:eastAsia="Arial" w:hAnsi="Arial"/>
          <w:sz w:val="18"/>
          <w:szCs w:val="18"/>
          <w:color w:val="auto"/>
        </w:rPr>
        <w:t>. The Holder is an investor in securities of companies in the development stage and acknowledges that it is able to fend for itself, can bear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48" w:name="page249"/>
    <w:bookmarkEnd w:id="248"/>
    <w:p>
      <w:pPr>
        <w:jc w:val="both"/>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economic risk of its investment, and has such knowledge and experience in financial or business matters that it is capable of evaluating the merits and risks of the investment in the Securities. If other than an individual, the Holder also represents it has not been organized solely for the purpose of acquiring the Securities.</w:t>
      </w:r>
    </w:p>
    <w:p>
      <w:pPr>
        <w:spacing w:after="0" w:line="184" w:lineRule="exact"/>
        <w:rPr>
          <w:sz w:val="20"/>
          <w:szCs w:val="20"/>
          <w:color w:val="auto"/>
        </w:rPr>
      </w:pPr>
    </w:p>
    <w:p>
      <w:pPr>
        <w:ind w:firstLine="987"/>
        <w:spacing w:after="0" w:line="308" w:lineRule="auto"/>
        <w:tabs>
          <w:tab w:leader="none" w:pos="1371"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Accredited Investor</w:t>
      </w:r>
      <w:r>
        <w:rPr>
          <w:rFonts w:ascii="Arial" w:cs="Arial" w:eastAsia="Arial" w:hAnsi="Arial"/>
          <w:sz w:val="17"/>
          <w:szCs w:val="17"/>
          <w:color w:val="auto"/>
        </w:rPr>
        <w:t>. The Holder is an “accredited investor” within the meaning of Rule 501 of Regulation D, as presently in effect, as promulgated by the Securities and Exchange Commission (the “SEC”) under the Securities Act of 1933, as amended (the “Act”).</w:t>
      </w:r>
    </w:p>
    <w:p>
      <w:pPr>
        <w:spacing w:after="0" w:line="146" w:lineRule="exact"/>
        <w:rPr>
          <w:rFonts w:ascii="Arial" w:cs="Arial" w:eastAsia="Arial" w:hAnsi="Arial"/>
          <w:sz w:val="17"/>
          <w:szCs w:val="17"/>
          <w:color w:val="auto"/>
        </w:rPr>
      </w:pPr>
    </w:p>
    <w:p>
      <w:pPr>
        <w:ind w:right="240" w:firstLine="987"/>
        <w:spacing w:after="0" w:line="257" w:lineRule="auto"/>
        <w:tabs>
          <w:tab w:leader="none" w:pos="135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The Holder understands that the Securities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Act, only in certain limited circumstances. In this connection, each Holder represents that it is familiar with Rule 144, as presently in effect, as promulgated by the SEC under the Act (“Rule 144”), and understands the resale limitations imposed thereby and by the Act.</w:t>
      </w:r>
    </w:p>
    <w:p>
      <w:pPr>
        <w:spacing w:after="0" w:line="187" w:lineRule="exact"/>
        <w:rPr>
          <w:rFonts w:ascii="Arial" w:cs="Arial" w:eastAsia="Arial" w:hAnsi="Arial"/>
          <w:sz w:val="18"/>
          <w:szCs w:val="18"/>
          <w:color w:val="auto"/>
        </w:rPr>
      </w:pPr>
    </w:p>
    <w:p>
      <w:pPr>
        <w:jc w:val="both"/>
        <w:ind w:right="100" w:firstLine="987"/>
        <w:spacing w:after="0" w:line="263" w:lineRule="auto"/>
        <w:tabs>
          <w:tab w:leader="none" w:pos="138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Further Limitations on Disposition</w:t>
      </w:r>
      <w:r>
        <w:rPr>
          <w:rFonts w:ascii="Arial" w:cs="Arial" w:eastAsia="Arial" w:hAnsi="Arial"/>
          <w:sz w:val="18"/>
          <w:szCs w:val="18"/>
          <w:color w:val="auto"/>
        </w:rPr>
        <w:t>. Without in any way limiting the representations set forth above, the Holder further agrees not to make any disposition of all or any portion of the Shares unless and until the transferee has agreed in writing for the benefit of the Company to be bound by the terms of this Warrant, including, without limitation, this Section 7, Section 23, and:</w:t>
      </w:r>
    </w:p>
    <w:p>
      <w:pPr>
        <w:spacing w:after="0" w:line="183" w:lineRule="exact"/>
        <w:rPr>
          <w:rFonts w:ascii="Arial" w:cs="Arial" w:eastAsia="Arial" w:hAnsi="Arial"/>
          <w:sz w:val="18"/>
          <w:szCs w:val="18"/>
          <w:color w:val="auto"/>
        </w:rPr>
      </w:pPr>
    </w:p>
    <w:p>
      <w:pPr>
        <w:ind w:right="80" w:firstLine="1428"/>
        <w:spacing w:after="0" w:line="277" w:lineRule="auto"/>
        <w:tabs>
          <w:tab w:leader="none" w:pos="178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Act covering such proposed disposition and such disposition is made in accordance with such registration statement; or</w:t>
      </w:r>
    </w:p>
    <w:p>
      <w:pPr>
        <w:spacing w:after="0" w:line="170" w:lineRule="exact"/>
        <w:rPr>
          <w:rFonts w:ascii="Arial" w:cs="Arial" w:eastAsia="Arial" w:hAnsi="Arial"/>
          <w:sz w:val="18"/>
          <w:szCs w:val="18"/>
          <w:color w:val="auto"/>
        </w:rPr>
      </w:pPr>
    </w:p>
    <w:p>
      <w:pPr>
        <w:ind w:right="40" w:firstLine="1428"/>
        <w:spacing w:after="0" w:line="257" w:lineRule="auto"/>
        <w:tabs>
          <w:tab w:leader="none" w:pos="183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Holder shall have notified the Company of the proposed disposition and shall have furnished the Company with a detailed statement of the circumstances surrounding the proposed disposition, and if reasonably requested by the Company, the Holder shall have furnished the Company with an opinion of counsel, reasonably satisfactory to the Company, that such disposition will not require registration of such shares under the Act. It is agreed that the Company will not require opinions of counsel for transactions made pursuant to Rule 144 except in extraordinary circumstances.</w:t>
      </w:r>
    </w:p>
    <w:p>
      <w:pPr>
        <w:spacing w:after="0" w:line="187" w:lineRule="exact"/>
        <w:rPr>
          <w:rFonts w:ascii="Arial" w:cs="Arial" w:eastAsia="Arial" w:hAnsi="Arial"/>
          <w:sz w:val="18"/>
          <w:szCs w:val="18"/>
          <w:color w:val="auto"/>
        </w:rPr>
      </w:pPr>
    </w:p>
    <w:p>
      <w:pPr>
        <w:ind w:left="1380" w:hanging="393"/>
        <w:spacing w:after="0"/>
        <w:tabs>
          <w:tab w:leader="none" w:pos="13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It is understood that the Securities may bear the following legend:</w:t>
      </w:r>
    </w:p>
    <w:p>
      <w:pPr>
        <w:spacing w:after="0" w:line="117" w:lineRule="exact"/>
        <w:rPr>
          <w:sz w:val="20"/>
          <w:szCs w:val="20"/>
          <w:color w:val="auto"/>
        </w:rPr>
      </w:pPr>
    </w:p>
    <w:p>
      <w:pPr>
        <w:ind w:left="440" w:right="220"/>
        <w:spacing w:after="0" w:line="257"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 AS AMENDED.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49" w:name="page250"/>
    <w:bookmarkEnd w:id="249"/>
    <w:p>
      <w:pPr>
        <w:ind w:left="42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REPRESENTED BY THIS CERTIFICATE MAY BE TRANSFERRED ONLY IN ACCORDANCE WITH THE TERMS OF AN AGREEMENT BETWEEN THE COMPANY AND THE STOCKHOLDER, A COPY OF WHICH IS ON FILE WITH AND MAY BE OBTAINED FROM THE SECRETARY OF THE COMPANY AT NO CHARGE.</w:t>
      </w:r>
    </w:p>
    <w:p>
      <w:pPr>
        <w:spacing w:after="0" w:line="76" w:lineRule="exact"/>
        <w:rPr>
          <w:sz w:val="20"/>
          <w:szCs w:val="20"/>
          <w:color w:val="auto"/>
        </w:rPr>
      </w:pPr>
    </w:p>
    <w:p>
      <w:pPr>
        <w:ind w:left="420" w:right="14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OPTION IN FAVOR OF THE COMPANY AND/OR ITS ASSIGNEE(S), AS PROVIDED IN THE BYLAWS OF THE COMPANY.”</w:t>
      </w:r>
    </w:p>
    <w:p>
      <w:pPr>
        <w:spacing w:after="0" w:line="170" w:lineRule="exact"/>
        <w:rPr>
          <w:sz w:val="20"/>
          <w:szCs w:val="20"/>
          <w:color w:val="auto"/>
        </w:rPr>
      </w:pPr>
    </w:p>
    <w:p>
      <w:pPr>
        <w:ind w:left="-20" w:firstLine="436"/>
        <w:spacing w:after="0" w:line="273" w:lineRule="auto"/>
        <w:tabs>
          <w:tab w:leader="none" w:pos="735"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State Commissioners of Corporations</w:t>
      </w:r>
      <w:r>
        <w:rPr>
          <w:rFonts w:ascii="Arial" w:cs="Arial" w:eastAsia="Arial" w:hAnsi="Arial"/>
          <w:sz w:val="17"/>
          <w:szCs w:val="17"/>
          <w:color w:val="auto"/>
        </w:rPr>
        <w:t>. THE SALE OF THE SECURITIES WHICH ARE THE SUBJECT OF THIS WARRANT HAS NOT BEEN QUALIFIED WITH THE COMMISSIONER OF CORPORATIONS OF THE STATE OF CALIFORNIA AND THE ISSUANCE OF SUCH SECURITIES OR THE PAYMENT OR RECEIPT OF ANY PART OF THE CONSIDERATION FOR SUCH SECURITIES PRIOR TO SUCH QUALIFICATION IS UNLAWFUL, UNLESS THE SALE OF SECURITIES IS EXEMPT FROM QUALIFICATION BY SECTION 25100, 25102 OR 25105 OF THE CALIFORNIA CORPORATIONS CODE. THE RIGHTS OF ALL PARTIES TO THIS WARRANT ARE EXPRESSLY CONDITIONED UPON SUCH QUALIFICATION BEING OBTAINED, UNLESS THE SALE IS SO EXEMPT.</w:t>
      </w:r>
    </w:p>
    <w:p>
      <w:pPr>
        <w:spacing w:after="0" w:line="177" w:lineRule="exact"/>
        <w:rPr>
          <w:rFonts w:ascii="Arial" w:cs="Arial" w:eastAsia="Arial" w:hAnsi="Arial"/>
          <w:sz w:val="17"/>
          <w:szCs w:val="17"/>
          <w:color w:val="auto"/>
        </w:rPr>
      </w:pPr>
    </w:p>
    <w:p>
      <w:pPr>
        <w:ind w:left="740" w:hanging="324"/>
        <w:spacing w:after="0"/>
        <w:tabs>
          <w:tab w:leader="none" w:pos="7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20" w:firstLine="987"/>
        <w:spacing w:after="0" w:line="259" w:lineRule="auto"/>
        <w:tabs>
          <w:tab w:leader="none" w:pos="1351"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Notices of Record Date</w:t>
      </w:r>
      <w:r>
        <w:rPr>
          <w:rFonts w:ascii="Arial" w:cs="Arial" w:eastAsia="Arial" w:hAnsi="Arial"/>
          <w:sz w:val="18"/>
          <w:szCs w:val="18"/>
          <w:color w:val="auto"/>
        </w:rPr>
        <w:t>. In the event of any taking by the Company of a record of the holders of any class of securities for the purpose of determining the holders thereof who are entitled to receive any dividend or other distribution, the Company shall mail to the Holder, at least ten (10) days prior to such record date, a notice specifying the date on which any such record is to be taken for the purpose of such dividend or distribution.</w:t>
      </w:r>
    </w:p>
    <w:p>
      <w:pPr>
        <w:spacing w:after="0" w:line="186" w:lineRule="exact"/>
        <w:rPr>
          <w:rFonts w:ascii="Arial" w:cs="Arial" w:eastAsia="Arial" w:hAnsi="Arial"/>
          <w:sz w:val="18"/>
          <w:szCs w:val="18"/>
          <w:color w:val="auto"/>
        </w:rPr>
      </w:pPr>
    </w:p>
    <w:p>
      <w:pPr>
        <w:ind w:left="-20" w:right="120" w:firstLine="987"/>
        <w:spacing w:after="0" w:line="254" w:lineRule="auto"/>
        <w:tabs>
          <w:tab w:leader="none" w:pos="1361"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Covenants as to Exercise Shares</w:t>
      </w:r>
      <w:r>
        <w:rPr>
          <w:rFonts w:ascii="Arial" w:cs="Arial" w:eastAsia="Arial" w:hAnsi="Arial"/>
          <w:sz w:val="18"/>
          <w:szCs w:val="18"/>
          <w:color w:val="auto"/>
        </w:rPr>
        <w:t>. The Company covenants and agrees that all Shares that may be issued upon the exercise of the rights represented by this Warrant will, upon issuance in accordance with the terms hereof, be validly issued and outstanding, fully paid and nonassessable, and free from all taxes, liens and charges with respect to the issuance thereof. The Company further covenants and agrees that the Company will at all times during the Exercise Period, have authorized and reserved, free from preemptive rights, a sufficient number of shares of Common Stock to provide for the exercise of the rights represented by this Warrant. If at any time during the Exercise Period the number of authorized but unissued shares of Common Stock shall not be sufficient to permit exercise of this Warrant, the Company will take such corporate action as may, in the opinion of its counsel, be necessary to increase its authorized but unissued shares of Common Stock to such number of shares as shall be sufficient for such purposes.</w:t>
      </w:r>
    </w:p>
    <w:p>
      <w:pPr>
        <w:spacing w:after="0" w:line="191" w:lineRule="exact"/>
        <w:rPr>
          <w:rFonts w:ascii="Arial" w:cs="Arial" w:eastAsia="Arial" w:hAnsi="Arial"/>
          <w:sz w:val="18"/>
          <w:szCs w:val="18"/>
          <w:color w:val="auto"/>
        </w:rPr>
      </w:pPr>
    </w:p>
    <w:p>
      <w:pPr>
        <w:ind w:left="-20" w:right="500" w:firstLine="436"/>
        <w:spacing w:after="0" w:line="277" w:lineRule="auto"/>
        <w:tabs>
          <w:tab w:leader="none" w:pos="73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Shares</w:t>
      </w:r>
      <w:r>
        <w:rPr>
          <w:rFonts w:ascii="Arial" w:cs="Arial" w:eastAsia="Arial" w:hAnsi="Arial"/>
          <w:sz w:val="18"/>
          <w:szCs w:val="18"/>
          <w:color w:val="auto"/>
        </w:rPr>
        <w:t>. The number and kind of Shares purchasable upon exercise of this Warrant and the Exercise Price shall be subject to adjustment from time to time as follows:</w:t>
      </w:r>
    </w:p>
    <w:p>
      <w:pPr>
        <w:spacing w:after="0" w:line="170" w:lineRule="exact"/>
        <w:rPr>
          <w:rFonts w:ascii="Arial" w:cs="Arial" w:eastAsia="Arial" w:hAnsi="Arial"/>
          <w:sz w:val="18"/>
          <w:szCs w:val="18"/>
          <w:color w:val="auto"/>
        </w:rPr>
      </w:pPr>
    </w:p>
    <w:p>
      <w:pPr>
        <w:ind w:left="-20" w:right="280" w:firstLine="987"/>
        <w:spacing w:after="0" w:line="277" w:lineRule="auto"/>
        <w:tabs>
          <w:tab w:leader="none" w:pos="1351"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Subdivisions, Combinations and Other Issuances</w:t>
      </w:r>
      <w:r>
        <w:rPr>
          <w:rFonts w:ascii="Arial" w:cs="Arial" w:eastAsia="Arial" w:hAnsi="Arial"/>
          <w:sz w:val="18"/>
          <w:szCs w:val="18"/>
          <w:color w:val="auto"/>
        </w:rPr>
        <w:t>. If the Company shall at any time after the issuance but prior to the expiration of this Warrant subdivide its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250" w:name="page251"/>
    <w:bookmarkEnd w:id="25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split-up or otherwise, or combine its Common Stock, or issue additional shares of its Preferred Stock or Common Stock as a dividend with respect to any shares of its Common Stock, the number of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Shares purchasable under this Warrant (as adjusted) shall remain the same. Any adjustment under this Section 10(a) shall become effective at the close of business on the date the subdivision or combination becomes effective, or as of the record date of such dividend, or in the event that no record date is fixed, upon the making of such dividend.</w:t>
      </w:r>
    </w:p>
    <w:p>
      <w:pPr>
        <w:spacing w:after="0" w:line="164" w:lineRule="exact"/>
        <w:rPr>
          <w:sz w:val="20"/>
          <w:szCs w:val="20"/>
          <w:color w:val="auto"/>
        </w:rPr>
      </w:pPr>
    </w:p>
    <w:p>
      <w:pPr>
        <w:ind w:firstLine="987"/>
        <w:spacing w:after="0" w:line="269" w:lineRule="auto"/>
        <w:tabs>
          <w:tab w:leader="none" w:pos="1381"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Reclassification, Reorganization and Consolidation</w:t>
      </w:r>
      <w:r>
        <w:rPr>
          <w:rFonts w:ascii="Arial" w:cs="Arial" w:eastAsia="Arial" w:hAnsi="Arial"/>
          <w:sz w:val="17"/>
          <w:szCs w:val="17"/>
          <w:color w:val="auto"/>
        </w:rPr>
        <w:t>. In case of any reclassification, capital reorganization or change in the capital stock of the Company (other than as a result of a subdivision, combination or stock dividend provided for in Section 10(a) above), then, as a condition of such reclassification, reorganization or change, lawful provision shall be made, and duly executed documents evidencing the same from the Company or its successor shall be delivered to the Holder, so that the Holder shall have the right at any time prior to the expiration of this Warrant to purchase, at a total price equal to that payable upon the exercise of this Warrant, the kind and amount of shares of stock and other securities or property receivable in connection with such reclassification, reorganization or change by a holder of the same number and type of securities as were purchasable as Shares by the Holder immediately prior to such reclassification, reorganization or change. In any such case appropriate provisions shall be made with respect to the rights and interest of the Holder so that the provisions hereof shall thereafter be applicable with respect to any shares of stock or other securities or property deliverable upon exercise hereof, and appropriate adjustments shall be made to the Exercise Price per Share payable hereunder, provided the aggregate Exercise Price shall remain the same.</w:t>
      </w:r>
    </w:p>
    <w:p>
      <w:pPr>
        <w:spacing w:after="0" w:line="185" w:lineRule="exact"/>
        <w:rPr>
          <w:rFonts w:ascii="Arial" w:cs="Arial" w:eastAsia="Arial" w:hAnsi="Arial"/>
          <w:sz w:val="17"/>
          <w:szCs w:val="17"/>
          <w:color w:val="auto"/>
        </w:rPr>
      </w:pPr>
    </w:p>
    <w:p>
      <w:pPr>
        <w:ind w:right="80" w:firstLine="987"/>
        <w:spacing w:after="0" w:line="263" w:lineRule="auto"/>
        <w:tabs>
          <w:tab w:leader="none" w:pos="1371"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Notice of Adjustment</w:t>
      </w:r>
      <w:r>
        <w:rPr>
          <w:rFonts w:ascii="Arial" w:cs="Arial" w:eastAsia="Arial" w:hAnsi="Arial"/>
          <w:sz w:val="18"/>
          <w:szCs w:val="18"/>
          <w:color w:val="auto"/>
        </w:rPr>
        <w:t>. When any adjustment is required to be made in the number or kind of shares purchasable upon exercise of the Warrant, or in the Exercise Price, the Company shall promptly notify the Holder of such event and of the number of Shares or other securities or property thereafter purchasable upon exercise of this Warrant.</w:t>
      </w:r>
    </w:p>
    <w:p>
      <w:pPr>
        <w:spacing w:after="0" w:line="183" w:lineRule="exact"/>
        <w:rPr>
          <w:rFonts w:ascii="Arial" w:cs="Arial" w:eastAsia="Arial" w:hAnsi="Arial"/>
          <w:sz w:val="18"/>
          <w:szCs w:val="18"/>
          <w:color w:val="auto"/>
        </w:rPr>
      </w:pPr>
    </w:p>
    <w:p>
      <w:pPr>
        <w:ind w:right="160" w:firstLine="436"/>
        <w:spacing w:after="0" w:line="308" w:lineRule="auto"/>
        <w:tabs>
          <w:tab w:leader="none" w:pos="845"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but in lieu of such fractional shares the Company shall make a cash payment therefor on the basis of the Exercise Price then in effect.</w:t>
      </w:r>
    </w:p>
    <w:p>
      <w:pPr>
        <w:spacing w:after="0" w:line="146" w:lineRule="exact"/>
        <w:rPr>
          <w:rFonts w:ascii="Arial" w:cs="Arial" w:eastAsia="Arial" w:hAnsi="Arial"/>
          <w:sz w:val="17"/>
          <w:szCs w:val="17"/>
          <w:color w:val="auto"/>
        </w:rPr>
      </w:pPr>
    </w:p>
    <w:p>
      <w:pPr>
        <w:jc w:val="both"/>
        <w:ind w:right="140" w:firstLine="436"/>
        <w:spacing w:after="0" w:line="259" w:lineRule="auto"/>
        <w:tabs>
          <w:tab w:leader="none" w:pos="83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 Stockholder Rights</w:t>
      </w:r>
      <w:r>
        <w:rPr>
          <w:rFonts w:ascii="Arial" w:cs="Arial" w:eastAsia="Arial" w:hAnsi="Arial"/>
          <w:sz w:val="18"/>
          <w:szCs w:val="18"/>
          <w:color w:val="auto"/>
        </w:rPr>
        <w:t>. Prior to exercise of this Warrant, the Holder shall not be entitled to any rights of a stockholder with respect to the Shares, including (without limitation) the right to vote such Shares, receive dividends or other distributions thereon, exercise preemptive rights or be notified of stockholder meetings, and, except as otherwise provided in this Warrant, such Holder shall not be entitled to any stockholder notice or other communication concerning the business or affairs of the Company.</w:t>
      </w:r>
    </w:p>
    <w:p>
      <w:pPr>
        <w:spacing w:after="0" w:line="186" w:lineRule="exact"/>
        <w:rPr>
          <w:rFonts w:ascii="Arial" w:cs="Arial" w:eastAsia="Arial" w:hAnsi="Arial"/>
          <w:sz w:val="18"/>
          <w:szCs w:val="18"/>
          <w:color w:val="auto"/>
        </w:rPr>
      </w:pPr>
    </w:p>
    <w:p>
      <w:pPr>
        <w:ind w:right="300" w:firstLine="436"/>
        <w:spacing w:after="0" w:line="277" w:lineRule="auto"/>
        <w:tabs>
          <w:tab w:leader="none" w:pos="84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Other than in connection with a Corporate Transaction, this Warrant shall not be transferable by the Company or the Holder without the prior written consent of the other party.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51" w:name="page252"/>
    <w:bookmarkEnd w:id="251"/>
    <w:p>
      <w:pPr>
        <w:ind w:left="4" w:right="140" w:firstLine="436"/>
        <w:spacing w:after="0" w:line="277" w:lineRule="auto"/>
        <w:tabs>
          <w:tab w:leader="none" w:pos="849"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Arial" w:cs="Arial" w:eastAsia="Arial" w:hAnsi="Arial"/>
          <w:sz w:val="18"/>
          <w:szCs w:val="18"/>
          <w:color w:val="auto"/>
        </w:rPr>
        <w:t>. This Warrant shall be governed by and construed under the laws of the State of Delaware as applied to agreements among Delaware residents, made and to be performed entirely within the State of Delaware.</w:t>
      </w:r>
    </w:p>
    <w:p>
      <w:pPr>
        <w:spacing w:after="0" w:line="170" w:lineRule="exact"/>
        <w:rPr>
          <w:rFonts w:ascii="Arial" w:cs="Arial" w:eastAsia="Arial" w:hAnsi="Arial"/>
          <w:sz w:val="18"/>
          <w:szCs w:val="18"/>
          <w:color w:val="auto"/>
        </w:rPr>
      </w:pPr>
    </w:p>
    <w:p>
      <w:pPr>
        <w:ind w:left="4" w:right="140" w:firstLine="436"/>
        <w:spacing w:after="0" w:line="277" w:lineRule="auto"/>
        <w:tabs>
          <w:tab w:leader="none" w:pos="849"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terms and provisions of this Warrant and the Purchase Agreement shall inure to the benefit of, and be binding upon, the Company and the holders hereof and their respective successors and assigns.</w:t>
      </w:r>
    </w:p>
    <w:p>
      <w:pPr>
        <w:spacing w:after="0" w:line="170" w:lineRule="exact"/>
        <w:rPr>
          <w:rFonts w:ascii="Arial" w:cs="Arial" w:eastAsia="Arial" w:hAnsi="Arial"/>
          <w:sz w:val="18"/>
          <w:szCs w:val="18"/>
          <w:color w:val="auto"/>
        </w:rPr>
      </w:pPr>
    </w:p>
    <w:p>
      <w:pPr>
        <w:ind w:left="4" w:right="680" w:firstLine="436"/>
        <w:spacing w:after="0" w:line="308" w:lineRule="auto"/>
        <w:tabs>
          <w:tab w:leader="none" w:pos="849"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Any dispute with respect to the Warrant and the terms and conditions hereof (including the achievement of any Milestone) shall be determined pursuant to the dispute resolution provisions set forth in Section 13 of the Partnership Agreement.</w:t>
      </w:r>
    </w:p>
    <w:p>
      <w:pPr>
        <w:spacing w:after="0" w:line="146" w:lineRule="exact"/>
        <w:rPr>
          <w:rFonts w:ascii="Arial" w:cs="Arial" w:eastAsia="Arial" w:hAnsi="Arial"/>
          <w:sz w:val="17"/>
          <w:szCs w:val="17"/>
          <w:color w:val="auto"/>
        </w:rPr>
      </w:pPr>
    </w:p>
    <w:p>
      <w:pPr>
        <w:ind w:left="4" w:right="100" w:firstLine="436"/>
        <w:spacing w:after="0" w:line="277" w:lineRule="auto"/>
        <w:tabs>
          <w:tab w:leader="none" w:pos="849"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Warrant are used for convenience only and are not to be considered in construing or interpreting this Warrant.</w:t>
      </w:r>
    </w:p>
    <w:p>
      <w:pPr>
        <w:spacing w:after="0" w:line="170" w:lineRule="exact"/>
        <w:rPr>
          <w:rFonts w:ascii="Arial" w:cs="Arial" w:eastAsia="Arial" w:hAnsi="Arial"/>
          <w:sz w:val="18"/>
          <w:szCs w:val="18"/>
          <w:color w:val="auto"/>
        </w:rPr>
      </w:pPr>
    </w:p>
    <w:p>
      <w:pPr>
        <w:ind w:left="844" w:hanging="404"/>
        <w:spacing w:after="0"/>
        <w:tabs>
          <w:tab w:leader="none" w:pos="844"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given or made pursuant hereto shall be in writing and shall be deemed effectively given:</w:t>
      </w:r>
    </w:p>
    <w:p>
      <w:pPr>
        <w:spacing w:after="0" w:line="34" w:lineRule="exact"/>
        <w:rPr>
          <w:rFonts w:ascii="Arial" w:cs="Arial" w:eastAsia="Arial" w:hAnsi="Arial"/>
          <w:sz w:val="17"/>
          <w:szCs w:val="17"/>
          <w:color w:val="auto"/>
        </w:rPr>
      </w:pPr>
    </w:p>
    <w:p>
      <w:pPr>
        <w:ind w:left="4" w:hanging="4"/>
        <w:spacing w:after="0" w:line="253" w:lineRule="auto"/>
        <w:tabs>
          <w:tab w:leader="none" w:pos="2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 following addresses (or at such other addresses as shall be specified by notice given in accordance with this Section 18):</w:t>
      </w:r>
    </w:p>
    <w:p>
      <w:pPr>
        <w:spacing w:after="0" w:line="19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the Company:</w:t>
      </w:r>
    </w:p>
    <w:p>
      <w:pPr>
        <w:spacing w:after="0" w:line="22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ind w:left="984" w:right="8020" w:firstLine="7"/>
        <w:spacing w:after="0" w:line="302" w:lineRule="auto"/>
        <w:tabs>
          <w:tab w:leader="none" w:pos="129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Grand Avenue Oakland, CA 94612 Attention: General Counsel</w:t>
      </w:r>
    </w:p>
    <w:p>
      <w:pPr>
        <w:spacing w:after="0" w:line="15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Caine Moss</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Goodwin Procter LLP</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601 Marshall Street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Redwood City, CA 94063</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Holder:</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14555 Market Street, Suite 400</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Attn: Legal</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San Francisco, CA 94103</w:t>
      </w:r>
    </w:p>
    <w:p>
      <w:pPr>
        <w:spacing w:after="0" w:line="211" w:lineRule="exact"/>
        <w:rPr>
          <w:sz w:val="20"/>
          <w:szCs w:val="20"/>
          <w:color w:val="auto"/>
        </w:rPr>
      </w:pPr>
    </w:p>
    <w:p>
      <w:pPr>
        <w:jc w:val="both"/>
        <w:ind w:left="4" w:right="760" w:firstLine="436"/>
        <w:spacing w:after="0" w:line="342" w:lineRule="auto"/>
        <w:tabs>
          <w:tab w:leader="none" w:pos="849"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Finder’s Fee</w:t>
      </w:r>
      <w:r>
        <w:rPr>
          <w:rFonts w:ascii="Arial" w:cs="Arial" w:eastAsia="Arial" w:hAnsi="Arial"/>
          <w:sz w:val="16"/>
          <w:szCs w:val="16"/>
          <w:color w:val="auto"/>
        </w:rPr>
        <w:t>. Each party represents that it neither is or will be obligated for any finder’s fee or commission in connection with this transaction. The Holder agrees to indemnify and to hold harmless the Company from any liability for any commission or compensation in the</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252" w:name="page253"/>
    <w:bookmarkEnd w:id="25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nature of a finder’s fee (and the costs and expenses of defending against such liability or asserted liability) for which the Holder or any of its officers, partners, employees or representatives is responsible. The Company agrees to indemnify and hold harmless the Holder from any liability for any commission or compensation in the nature of a finder’s fee (and the costs and expenses of defending against such liability or asserted liability) for which the Company or any of its officers, employees or representatives is responsible.</w:t>
      </w:r>
    </w:p>
    <w:p>
      <w:pPr>
        <w:spacing w:after="0" w:line="187" w:lineRule="exact"/>
        <w:rPr>
          <w:sz w:val="20"/>
          <w:szCs w:val="20"/>
          <w:color w:val="auto"/>
        </w:rPr>
      </w:pPr>
    </w:p>
    <w:p>
      <w:pPr>
        <w:ind w:right="60" w:firstLine="436"/>
        <w:spacing w:after="0" w:line="308" w:lineRule="auto"/>
        <w:tabs>
          <w:tab w:leader="none" w:pos="845"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If any action at law or in equity is necessary to enforce or interpret the terms of this Warrant, the prevailing party shall be entitled to reasonable attorneys’ fees, costs and necessary disbursements in addition to any other relief to which such party may be entitled.</w:t>
      </w:r>
    </w:p>
    <w:p>
      <w:pPr>
        <w:spacing w:after="0" w:line="146" w:lineRule="exact"/>
        <w:rPr>
          <w:rFonts w:ascii="Arial" w:cs="Arial" w:eastAsia="Arial" w:hAnsi="Arial"/>
          <w:sz w:val="17"/>
          <w:szCs w:val="17"/>
          <w:color w:val="auto"/>
        </w:rPr>
      </w:pPr>
    </w:p>
    <w:p>
      <w:pPr>
        <w:ind w:right="40" w:firstLine="436"/>
        <w:spacing w:after="0" w:line="289" w:lineRule="auto"/>
        <w:tabs>
          <w:tab w:leader="none" w:pos="84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Entire Agreement; Termination, Amendments and Waivers</w:t>
      </w:r>
      <w:r>
        <w:rPr>
          <w:rFonts w:ascii="Arial" w:cs="Arial" w:eastAsia="Arial" w:hAnsi="Arial"/>
          <w:sz w:val="16"/>
          <w:szCs w:val="16"/>
          <w:color w:val="auto"/>
        </w:rPr>
        <w:t>. This Warrant, the Partnership Agreement, and any other documents delivered pursuant hereto constitute the full and entire understanding and agreement between the parties with regard to the subject matter hereof and thereof. Nonetheless, any term of this Warrant may be amended and the observance of any term of this Agreement may be waived (either generally or in a particular instance and either retroactively or prospectively), solely with the written consent of the Company and the Holder. Notwithstanding the foregoing, (i) this Warrant may be terminated by the Company or the Holder by written notice to the other party for Cause (as defined in the Partnership Agreement); (ii) this Warrant may be terminated by the Company, in its sole discretion, at any time on or after [***] in the event that [***]; and (iii) in the event of a Material Primary Failure (as set forth in the Partnership Agreement), the Company may amend the Vesting Schedule set forth on Exhibit A with respect to any then unvested shares subject to this Warrant, provided that any such amendment (x) does not increase any of the Milestone thresholds described in Exhibit A and (y) is subject to the approval of the Holder (which shall not be unreasonably withheld).</w:t>
      </w:r>
    </w:p>
    <w:p>
      <w:pPr>
        <w:spacing w:after="0" w:line="166" w:lineRule="exact"/>
        <w:rPr>
          <w:rFonts w:ascii="Arial" w:cs="Arial" w:eastAsia="Arial" w:hAnsi="Arial"/>
          <w:sz w:val="16"/>
          <w:szCs w:val="16"/>
          <w:color w:val="auto"/>
        </w:rPr>
      </w:pPr>
    </w:p>
    <w:p>
      <w:pPr>
        <w:ind w:right="100" w:firstLine="436"/>
        <w:spacing w:after="0" w:line="342" w:lineRule="auto"/>
        <w:tabs>
          <w:tab w:leader="none" w:pos="84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Warrant is held to be unenforceable under applicable law, such provision shall be excluded from this Warrant and the balance of the Warrant shall be interpreted as if such provision were so excluded and shall be enforceable in accordance with its terms.</w:t>
      </w:r>
    </w:p>
    <w:p>
      <w:pPr>
        <w:spacing w:after="0" w:line="123" w:lineRule="exact"/>
        <w:rPr>
          <w:rFonts w:ascii="Arial" w:cs="Arial" w:eastAsia="Arial" w:hAnsi="Arial"/>
          <w:sz w:val="16"/>
          <w:szCs w:val="16"/>
          <w:color w:val="auto"/>
        </w:rPr>
      </w:pPr>
    </w:p>
    <w:p>
      <w:pPr>
        <w:ind w:right="100" w:firstLine="436"/>
        <w:spacing w:after="0" w:line="287" w:lineRule="auto"/>
        <w:tabs>
          <w:tab w:leader="none" w:pos="84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The Holder hereby agrees that the Holder shall not sell, transfer, make any short sale of, grant any option for the purchase of, or enter into any hedging or similar transaction with the same economic effect as a sale, any Common Stock (or other securities) of the Company held by the Holder immediately prior to the effectiveness of the registration (other than those included in the registration) during the</w:t>
      </w:r>
    </w:p>
    <w:p>
      <w:pPr>
        <w:spacing w:after="0" w:line="2"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180-day period following the effective date of the Company’s Initial Public Offering (or such longer period, not to exceed 34 days after the expiration of the 180-day period, as the underwriters or the Company shall request in order to facilitate compliance with FINRA Rule 2241 or any successor or similar rule or regulation); provided, that all officers and directors of the Company are bound by and have entered into similar agreements and the Company shall use its best efforts to ensure that all holders of at least one percent (1%) of the Company’s voting securities are bound by and have entered into similar agreements.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53" w:name="page254"/>
    <w:bookmarkEnd w:id="2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Warrant as of the date first written above.</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Omri Dahan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Omri Dahan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jc w:val="right"/>
        <w:ind w:right="1279"/>
        <w:spacing w:after="0"/>
        <w:rPr>
          <w:sz w:val="20"/>
          <w:szCs w:val="20"/>
          <w:color w:val="auto"/>
        </w:rPr>
      </w:pPr>
      <w:r>
        <w:rPr>
          <w:rFonts w:ascii="Arial" w:cs="Arial" w:eastAsia="Arial" w:hAnsi="Arial"/>
          <w:sz w:val="18"/>
          <w:szCs w:val="18"/>
          <w:color w:val="auto"/>
        </w:rPr>
        <w:t>Title: Chief Revenue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32" w:lineRule="exact"/>
        <w:rPr>
          <w:sz w:val="20"/>
          <w:szCs w:val="20"/>
          <w:color w:val="auto"/>
        </w:rPr>
      </w:pPr>
    </w:p>
    <w:p>
      <w:pPr>
        <w:ind w:left="5840"/>
        <w:spacing w:after="0"/>
        <w:tabs>
          <w:tab w:leader="none" w:pos="6660" w:val="left"/>
        </w:tabs>
        <w:rPr>
          <w:sz w:val="20"/>
          <w:szCs w:val="20"/>
          <w:color w:val="auto"/>
        </w:rPr>
      </w:pPr>
      <w:r>
        <w:rPr>
          <w:rFonts w:ascii="Arial" w:cs="Arial" w:eastAsia="Arial" w:hAnsi="Arial"/>
          <w:sz w:val="18"/>
          <w:szCs w:val="18"/>
          <w:color w:val="auto"/>
        </w:rPr>
        <w:t>Address:</w:t>
        <w:tab/>
        <w:t>180 Grand Avenue</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Oakland, CA 94612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UBER TECHNOLOGIES,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Jennifer Vescio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Jennifer Vescio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Head of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32" w:lineRule="exact"/>
        <w:rPr>
          <w:sz w:val="20"/>
          <w:szCs w:val="20"/>
          <w:color w:val="auto"/>
        </w:rPr>
      </w:pPr>
    </w:p>
    <w:p>
      <w:pPr>
        <w:jc w:val="right"/>
        <w:ind w:right="7339"/>
        <w:spacing w:after="0"/>
        <w:tabs>
          <w:tab w:leader="none" w:pos="79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1455 Market St.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jc w:val="right"/>
        <w:ind w:right="7379"/>
        <w:spacing w:after="0"/>
        <w:rPr>
          <w:sz w:val="20"/>
          <w:szCs w:val="20"/>
          <w:color w:val="auto"/>
        </w:rPr>
      </w:pPr>
      <w:r>
        <w:rPr>
          <w:rFonts w:ascii="Arial" w:cs="Arial" w:eastAsia="Arial" w:hAnsi="Arial"/>
          <w:sz w:val="18"/>
          <w:szCs w:val="18"/>
          <w:color w:val="auto"/>
        </w:rPr>
        <w:t>San Francisco, CA 94117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14605</wp:posOffset>
            </wp:positionV>
            <wp:extent cx="228854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5"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[Signature Page to Warrant]</w:t>
      </w:r>
    </w:p>
    <w:p>
      <w:pPr>
        <w:sectPr>
          <w:pgSz w:w="11900" w:h="16838" w:orient="portrait"/>
          <w:cols w:equalWidth="0" w:num="1">
            <w:col w:w="10019"/>
          </w:cols>
          <w:pgMar w:left="440" w:top="274" w:right="1440" w:bottom="1440" w:gutter="0" w:footer="0" w:header="0"/>
        </w:sectPr>
      </w:pPr>
    </w:p>
    <w:bookmarkStart w:id="254" w:name="page255"/>
    <w:bookmarkEnd w:id="25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elects to purchase, pursuant to the provisions of the Warrant, as follows:</w:t>
      </w:r>
    </w:p>
    <w:p>
      <w:pPr>
        <w:spacing w:after="0" w:line="131" w:lineRule="exact"/>
        <w:rPr>
          <w:sz w:val="20"/>
          <w:szCs w:val="20"/>
          <w:color w:val="auto"/>
        </w:rPr>
      </w:pPr>
    </w:p>
    <w:p>
      <w:pPr>
        <w:ind w:left="980" w:hanging="5"/>
        <w:spacing w:after="0" w:line="280" w:lineRule="auto"/>
        <w:rPr>
          <w:sz w:val="20"/>
          <w:szCs w:val="20"/>
          <w:color w:val="auto"/>
        </w:rPr>
      </w:pPr>
      <w:r>
        <w:rPr>
          <w:sz w:val="1"/>
          <w:szCs w:val="1"/>
          <w:color w:val="auto"/>
        </w:rPr>
        <w:drawing>
          <wp:inline distT="0" distB="0" distL="0" distR="0">
            <wp:extent cx="240030" cy="21463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240030" cy="214630"/>
                    </a:xfrm>
                    <a:prstGeom prst="rect">
                      <a:avLst/>
                    </a:prstGeom>
                    <a:noFill/>
                    <a:ln>
                      <a:noFill/>
                    </a:ln>
                  </pic:spPr>
                </pic:pic>
              </a:graphicData>
            </a:graphic>
          </wp:inline>
        </w:drawing>
      </w:r>
      <w:r>
        <w:rPr>
          <w:rFonts w:ascii="Arial" w:cs="Arial" w:eastAsia="Arial" w:hAnsi="Arial"/>
          <w:sz w:val="18"/>
          <w:szCs w:val="18"/>
          <w:color w:val="auto"/>
        </w:rPr>
        <w:t xml:space="preserve"> shares of Common Stock pursuant to the terms of the attached Warrant, and tenders herewith payment in cash of the Exercise Price of such Shares in full, together with all applicable transfer taxes,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-190500</wp:posOffset>
            </wp:positionV>
            <wp:extent cx="5715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40640</wp:posOffset>
            </wp:positionV>
            <wp:extent cx="240030" cy="2139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240030" cy="213995"/>
                    </a:xfrm>
                    <a:prstGeom prst="rect">
                      <a:avLst/>
                    </a:prstGeom>
                    <a:noFill/>
                  </pic:spPr>
                </pic:pic>
              </a:graphicData>
            </a:graphic>
          </wp:anchor>
        </w:drawing>
      </w:r>
    </w:p>
    <w:p>
      <w:pPr>
        <w:spacing w:after="0" w:line="205" w:lineRule="exact"/>
        <w:rPr>
          <w:sz w:val="20"/>
          <w:szCs w:val="20"/>
          <w:color w:val="auto"/>
        </w:rPr>
      </w:pPr>
    </w:p>
    <w:p>
      <w:pPr>
        <w:ind w:left="1600"/>
        <w:spacing w:after="0"/>
        <w:tabs>
          <w:tab w:leader="none" w:pos="6120" w:val="left"/>
        </w:tabs>
        <w:rPr>
          <w:sz w:val="20"/>
          <w:szCs w:val="20"/>
          <w:color w:val="auto"/>
        </w:rPr>
      </w:pPr>
      <w:r>
        <w:rPr>
          <w:rFonts w:ascii="Arial" w:cs="Arial" w:eastAsia="Arial" w:hAnsi="Arial"/>
          <w:sz w:val="18"/>
          <w:szCs w:val="18"/>
          <w:color w:val="auto"/>
        </w:rPr>
        <w:t>Net Exercise the attached Warrant with respect to</w:t>
      </w:r>
      <w:r>
        <w:rPr>
          <w:sz w:val="20"/>
          <w:szCs w:val="20"/>
          <w:color w:val="auto"/>
        </w:rPr>
        <w:tab/>
      </w: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-10160</wp:posOffset>
            </wp:positionV>
            <wp:extent cx="5715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undersigned hereby represents and warrants that Representations and Warranties in Section 6 hereof are true and correct as of the date hereof.</w:t>
      </w:r>
    </w:p>
    <w:p>
      <w:pPr>
        <w:spacing w:after="0" w:line="283"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HOLDER:</w:t>
      </w:r>
    </w:p>
    <w:p>
      <w:pPr>
        <w:spacing w:after="0" w:line="229"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14605</wp:posOffset>
            </wp:positionV>
            <wp:extent cx="2306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230632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-10160</wp:posOffset>
            </wp:positionV>
            <wp:extent cx="4572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306070</wp:posOffset>
            </wp:positionV>
            <wp:extent cx="254635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2546350" cy="825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160655</wp:posOffset>
            </wp:positionV>
            <wp:extent cx="25463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2546350" cy="825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14605</wp:posOffset>
            </wp:positionV>
            <wp:extent cx="254635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Name in which shares should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21139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bookmarkStart w:id="255" w:name="page256"/>
    <w:bookmarkEnd w:id="255"/>
    <w:p>
      <w:pPr>
        <w:jc w:val="center"/>
        <w:ind w:right="-3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Do not use this form to purchase shares.)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ECEIVED</w:t>
      </w:r>
      <w:r>
        <w:rPr>
          <w:rFonts w:ascii="Arial" w:cs="Arial" w:eastAsia="Arial" w:hAnsi="Arial"/>
          <w:sz w:val="18"/>
          <w:szCs w:val="18"/>
          <w:color w:val="auto"/>
        </w:rPr>
        <w:t>, the foregoing Warrant and all rights evidenced thereby are hereby assigned 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57124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5712460" cy="8255"/>
                    </a:xfrm>
                    <a:prstGeom prst="rect">
                      <a:avLst/>
                    </a:prstGeom>
                    <a:noFill/>
                  </pic:spPr>
                </pic:pic>
              </a:graphicData>
            </a:graphic>
          </wp:anchor>
        </w:drawing>
      </w:r>
    </w:p>
    <w:p>
      <w:pPr>
        <w:spacing w:after="0" w:line="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(Please Print)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-10160</wp:posOffset>
            </wp:positionV>
            <wp:extent cx="55987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5598795" cy="8255"/>
                    </a:xfrm>
                    <a:prstGeom prst="rect">
                      <a:avLst/>
                    </a:prstGeom>
                    <a:noFill/>
                  </pic:spPr>
                </pic:pic>
              </a:graphicData>
            </a:graphic>
          </wp:anchor>
        </w:drawing>
      </w:r>
    </w:p>
    <w:p>
      <w:pPr>
        <w:spacing w:after="0" w:line="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(Please Print)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9137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-19050</wp:posOffset>
            </wp:positionV>
            <wp:extent cx="26276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-19050</wp:posOffset>
            </wp:positionV>
            <wp:extent cx="26847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2684780" cy="8255"/>
                    </a:xfrm>
                    <a:prstGeom prst="rect">
                      <a:avLst/>
                    </a:prstGeom>
                    <a:noFill/>
                  </pic:spPr>
                </pic:pic>
              </a:graphicData>
            </a:graphic>
          </wp:anchor>
        </w:drawing>
      </w:r>
    </w:p>
    <w:p>
      <w:pPr>
        <w:spacing w:after="0" w:line="18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The signature to this Assignment Form must correspond with the name as it appears on the face of the Warrant. Officers of corporations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those acting in a fiduciary or other representative capacity should provide proper evidence of authority to assign the foregoing Warrant.</w:t>
      </w:r>
    </w:p>
    <w:p>
      <w:pPr>
        <w:sectPr>
          <w:pgSz w:w="11900" w:h="16838" w:orient="portrait"/>
          <w:cols w:equalWidth="0" w:num="1">
            <w:col w:w="10680"/>
          </w:cols>
          <w:pgMar w:left="440" w:top="270" w:right="779" w:bottom="1440" w:gutter="0" w:footer="0" w:header="0"/>
        </w:sectPr>
      </w:pPr>
    </w:p>
    <w:bookmarkStart w:id="256" w:name="page257"/>
    <w:bookmarkEnd w:id="256"/>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Milestones</w:t>
      </w:r>
    </w:p>
    <w:p>
      <w:pPr>
        <w:spacing w:after="0" w:line="229"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8"/>
          <w:szCs w:val="18"/>
          <w:color w:val="auto"/>
        </w:rPr>
        <w:t>The Exercise Shares subject to the Warrant shall vest incrementally in accordance with the Initial Milestones schedule, Transaction Milestones schedule and Marketing Milestones schedule, each as set forth below. Capitalized terms used in this Exhibit and not defined shall have the same meaning given to them in the Partnership Agreement.</w:t>
      </w:r>
    </w:p>
    <w:p>
      <w:pPr>
        <w:spacing w:after="0" w:line="205" w:lineRule="exact"/>
        <w:rPr>
          <w:sz w:val="20"/>
          <w:szCs w:val="20"/>
          <w:color w:val="auto"/>
        </w:rPr>
      </w:pPr>
    </w:p>
    <w:tbl>
      <w:tblPr>
        <w:tblLayout w:type="fixed"/>
        <w:tblInd w:w="14" w:type="dxa"/>
        <w:tblCellMar>
          <w:top w:w="0" w:type="dxa"/>
          <w:left w:w="0" w:type="dxa"/>
          <w:bottom w:w="0" w:type="dxa"/>
          <w:right w:w="0" w:type="dxa"/>
        </w:tblCellMar>
      </w:tblPr>
      <w:tr>
        <w:trPr>
          <w:trHeight w:val="216"/>
        </w:trPr>
        <w:tc>
          <w:tcPr>
            <w:tcW w:w="10260" w:type="dxa"/>
            <w:vAlign w:val="bottom"/>
            <w:tcBorders>
              <w:top w:val="single" w:sz="8" w:color="auto"/>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NITIAL</w:t>
            </w:r>
            <w:r>
              <w:rPr>
                <w:rFonts w:ascii="Arial" w:cs="Arial" w:eastAsia="Arial" w:hAnsi="Arial"/>
                <w:sz w:val="14"/>
                <w:szCs w:val="14"/>
                <w:b w:val="1"/>
                <w:bCs w:val="1"/>
                <w:color w:val="auto"/>
              </w:rPr>
              <w:t xml:space="preserve"> M</w:t>
            </w:r>
            <w:r>
              <w:rPr>
                <w:rFonts w:ascii="Arial" w:cs="Arial" w:eastAsia="Arial" w:hAnsi="Arial"/>
                <w:sz w:val="11"/>
                <w:szCs w:val="11"/>
                <w:b w:val="1"/>
                <w:bCs w:val="1"/>
                <w:color w:val="auto"/>
              </w:rPr>
              <w:t>ILESTONES</w:t>
            </w:r>
          </w:p>
        </w:tc>
        <w:tc>
          <w:tcPr>
            <w:tcW w:w="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V</w:t>
            </w:r>
            <w:r>
              <w:rPr>
                <w:rFonts w:ascii="Arial" w:cs="Arial" w:eastAsia="Arial" w:hAnsi="Arial"/>
                <w:sz w:val="11"/>
                <w:szCs w:val="11"/>
                <w:b w:val="1"/>
                <w:bCs w:val="1"/>
                <w:color w:val="auto"/>
              </w:rPr>
              <w:t>ESTING</w:t>
            </w:r>
          </w:p>
        </w:tc>
      </w:tr>
      <w:tr>
        <w:trPr>
          <w:trHeight w:val="48"/>
        </w:trPr>
        <w:tc>
          <w:tcPr>
            <w:tcW w:w="400" w:type="dxa"/>
            <w:vAlign w:val="bottom"/>
            <w:tcBorders>
              <w:left w:val="single" w:sz="8" w:color="auto"/>
            </w:tcBorders>
          </w:tcPr>
          <w:p>
            <w:pPr>
              <w:spacing w:after="0"/>
              <w:rPr>
                <w:sz w:val="4"/>
                <w:szCs w:val="4"/>
                <w:color w:val="auto"/>
              </w:rPr>
            </w:pPr>
          </w:p>
        </w:tc>
        <w:tc>
          <w:tcPr>
            <w:tcW w:w="98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r>
      <w:tr>
        <w:trPr>
          <w:trHeight w:val="202"/>
        </w:trPr>
        <w:tc>
          <w:tcPr>
            <w:tcW w:w="400" w:type="dxa"/>
            <w:vAlign w:val="bottom"/>
            <w:tcBorders>
              <w:left w:val="single" w:sz="8" w:color="auto"/>
            </w:tcBorders>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9860" w:type="dxa"/>
            <w:vAlign w:val="bottom"/>
            <w:tcBorders>
              <w:right w:val="single" w:sz="8" w:color="auto"/>
            </w:tcBorders>
            <w:shd w:val="clear" w:color="auto" w:fill="CCEEFF"/>
          </w:tcPr>
          <w:p>
            <w:pPr>
              <w:jc w:val="right"/>
              <w:ind w:right="9290"/>
              <w:spacing w:after="0" w:line="201" w:lineRule="exact"/>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ind w:left="220"/>
              <w:spacing w:after="0" w:line="201" w:lineRule="exact"/>
              <w:rPr>
                <w:sz w:val="20"/>
                <w:szCs w:val="20"/>
                <w:color w:val="auto"/>
              </w:rPr>
            </w:pPr>
            <w:r>
              <w:rPr>
                <w:rFonts w:ascii="Arial" w:cs="Arial" w:eastAsia="Arial" w:hAnsi="Arial"/>
                <w:sz w:val="18"/>
                <w:szCs w:val="18"/>
                <w:color w:val="auto"/>
              </w:rPr>
              <w:t>[***]</w:t>
            </w:r>
          </w:p>
        </w:tc>
      </w:tr>
      <w:tr>
        <w:trPr>
          <w:trHeight w:val="216"/>
        </w:trPr>
        <w:tc>
          <w:tcPr>
            <w:tcW w:w="40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60" w:type="dxa"/>
            <w:vAlign w:val="bottom"/>
            <w:tcBorders>
              <w:right w:val="single" w:sz="8" w:color="auto"/>
            </w:tcBorders>
            <w:shd w:val="clear" w:color="auto" w:fill="CCEEFF"/>
          </w:tcPr>
          <w:p>
            <w:pPr>
              <w:jc w:val="right"/>
              <w:ind w:right="929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spacing w:after="0"/>
              <w:rPr>
                <w:sz w:val="18"/>
                <w:szCs w:val="18"/>
                <w:color w:val="auto"/>
              </w:rPr>
            </w:pPr>
          </w:p>
        </w:tc>
      </w:tr>
      <w:tr>
        <w:trPr>
          <w:trHeight w:val="237"/>
        </w:trPr>
        <w:tc>
          <w:tcPr>
            <w:tcW w:w="400" w:type="dxa"/>
            <w:vAlign w:val="bottom"/>
            <w:tcBorders>
              <w:left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60" w:type="dxa"/>
            <w:vAlign w:val="bottom"/>
            <w:tcBorders>
              <w:bottom w:val="single" w:sz="8" w:color="auto"/>
              <w:right w:val="single" w:sz="8" w:color="auto"/>
            </w:tcBorders>
            <w:shd w:val="clear" w:color="auto" w:fill="CCEEFF"/>
          </w:tcPr>
          <w:p>
            <w:pPr>
              <w:jc w:val="right"/>
              <w:ind w:right="9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364"/>
        </w:trPr>
        <w:tc>
          <w:tcPr>
            <w:tcW w:w="1026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96"/>
        </w:trPr>
        <w:tc>
          <w:tcPr>
            <w:tcW w:w="1026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ARKETING AND</w:t>
            </w:r>
            <w:r>
              <w:rPr>
                <w:rFonts w:ascii="Arial" w:cs="Arial" w:eastAsia="Arial" w:hAnsi="Arial"/>
                <w:sz w:val="14"/>
                <w:szCs w:val="14"/>
                <w:b w:val="1"/>
                <w:bCs w:val="1"/>
                <w:color w:val="auto"/>
              </w:rPr>
              <w:t xml:space="preserve"> B</w:t>
            </w:r>
            <w:r>
              <w:rPr>
                <w:rFonts w:ascii="Arial" w:cs="Arial" w:eastAsia="Arial" w:hAnsi="Arial"/>
                <w:sz w:val="11"/>
                <w:szCs w:val="11"/>
                <w:b w:val="1"/>
                <w:bCs w:val="1"/>
                <w:color w:val="auto"/>
              </w:rPr>
              <w:t>RANDING</w:t>
            </w:r>
            <w:r>
              <w:rPr>
                <w:rFonts w:ascii="Arial" w:cs="Arial" w:eastAsia="Arial" w:hAnsi="Arial"/>
                <w:sz w:val="14"/>
                <w:szCs w:val="14"/>
                <w:b w:val="1"/>
                <w:bCs w:val="1"/>
                <w:color w:val="auto"/>
              </w:rPr>
              <w:t xml:space="preserve"> M</w:t>
            </w:r>
            <w:r>
              <w:rPr>
                <w:rFonts w:ascii="Arial" w:cs="Arial" w:eastAsia="Arial" w:hAnsi="Arial"/>
                <w:sz w:val="11"/>
                <w:szCs w:val="11"/>
                <w:b w:val="1"/>
                <w:bCs w:val="1"/>
                <w:color w:val="auto"/>
              </w:rPr>
              <w:t>ILESTONES</w:t>
            </w:r>
          </w:p>
        </w:tc>
        <w:tc>
          <w:tcPr>
            <w:tcW w:w="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V</w:t>
            </w:r>
            <w:r>
              <w:rPr>
                <w:rFonts w:ascii="Arial" w:cs="Arial" w:eastAsia="Arial" w:hAnsi="Arial"/>
                <w:sz w:val="11"/>
                <w:szCs w:val="11"/>
                <w:b w:val="1"/>
                <w:bCs w:val="1"/>
                <w:color w:val="auto"/>
              </w:rPr>
              <w:t>ESTING</w:t>
            </w:r>
          </w:p>
        </w:tc>
      </w:tr>
      <w:tr>
        <w:trPr>
          <w:trHeight w:val="48"/>
        </w:trPr>
        <w:tc>
          <w:tcPr>
            <w:tcW w:w="400" w:type="dxa"/>
            <w:vAlign w:val="bottom"/>
            <w:tcBorders>
              <w:left w:val="single" w:sz="8" w:color="auto"/>
            </w:tcBorders>
          </w:tcPr>
          <w:p>
            <w:pPr>
              <w:spacing w:after="0"/>
              <w:rPr>
                <w:sz w:val="4"/>
                <w:szCs w:val="4"/>
                <w:color w:val="auto"/>
              </w:rPr>
            </w:pPr>
          </w:p>
        </w:tc>
        <w:tc>
          <w:tcPr>
            <w:tcW w:w="986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r>
      <w:tr>
        <w:trPr>
          <w:trHeight w:val="216"/>
        </w:trPr>
        <w:tc>
          <w:tcPr>
            <w:tcW w:w="400" w:type="dxa"/>
            <w:vAlign w:val="bottom"/>
            <w:tcBorders>
              <w:left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60" w:type="dxa"/>
            <w:vAlign w:val="bottom"/>
            <w:tcBorders>
              <w:bottom w:val="single" w:sz="8" w:color="auto"/>
              <w:right w:val="single" w:sz="8" w:color="auto"/>
            </w:tcBorders>
            <w:shd w:val="clear" w:color="auto" w:fill="CCEEFF"/>
          </w:tcPr>
          <w:p>
            <w:pPr>
              <w:jc w:val="right"/>
              <w:ind w:right="9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64"/>
        </w:trPr>
        <w:tc>
          <w:tcPr>
            <w:tcW w:w="400" w:type="dxa"/>
            <w:vAlign w:val="bottom"/>
            <w:tcBorders>
              <w:left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9860" w:type="dxa"/>
            <w:vAlign w:val="bottom"/>
            <w:tcBorders>
              <w:bottom w:val="single" w:sz="8" w:color="auto"/>
              <w:right w:val="single" w:sz="8" w:color="auto"/>
            </w:tcBorders>
          </w:tcPr>
          <w:p>
            <w:pPr>
              <w:jc w:val="right"/>
              <w:ind w:right="9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424" w:hanging="424"/>
        <w:spacing w:after="0"/>
        <w:tabs>
          <w:tab w:leader="none" w:pos="42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p>
    <w:p>
      <w:pPr>
        <w:spacing w:after="0" w:line="368" w:lineRule="exact"/>
        <w:rPr>
          <w:sz w:val="20"/>
          <w:szCs w:val="20"/>
          <w:color w:val="auto"/>
        </w:rPr>
      </w:pPr>
    </w:p>
    <w:tbl>
      <w:tblPr>
        <w:tblLayout w:type="fixed"/>
        <w:tblInd w:w="14" w:type="dxa"/>
        <w:tblCellMar>
          <w:top w:w="0" w:type="dxa"/>
          <w:left w:w="0" w:type="dxa"/>
          <w:bottom w:w="0" w:type="dxa"/>
          <w:right w:w="0" w:type="dxa"/>
        </w:tblCellMar>
      </w:tblPr>
      <w:tr>
        <w:trPr>
          <w:trHeight w:val="216"/>
        </w:trPr>
        <w:tc>
          <w:tcPr>
            <w:tcW w:w="102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ROGRAM LAUNCH</w:t>
            </w:r>
            <w:r>
              <w:rPr>
                <w:rFonts w:ascii="Arial" w:cs="Arial" w:eastAsia="Arial" w:hAnsi="Arial"/>
                <w:sz w:val="14"/>
                <w:szCs w:val="14"/>
                <w:b w:val="1"/>
                <w:bCs w:val="1"/>
                <w:color w:val="auto"/>
              </w:rPr>
              <w:t xml:space="preserve"> M</w:t>
            </w:r>
            <w:r>
              <w:rPr>
                <w:rFonts w:ascii="Arial" w:cs="Arial" w:eastAsia="Arial" w:hAnsi="Arial"/>
                <w:sz w:val="11"/>
                <w:szCs w:val="11"/>
                <w:b w:val="1"/>
                <w:bCs w:val="1"/>
                <w:color w:val="auto"/>
              </w:rPr>
              <w:t>ILESTONES</w:t>
            </w:r>
          </w:p>
        </w:tc>
        <w:tc>
          <w:tcPr>
            <w:tcW w:w="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V</w:t>
            </w:r>
            <w:r>
              <w:rPr>
                <w:rFonts w:ascii="Arial" w:cs="Arial" w:eastAsia="Arial" w:hAnsi="Arial"/>
                <w:sz w:val="11"/>
                <w:szCs w:val="11"/>
                <w:b w:val="1"/>
                <w:bCs w:val="1"/>
                <w:color w:val="auto"/>
              </w:rPr>
              <w:t>ESTING</w:t>
            </w:r>
          </w:p>
        </w:tc>
      </w:tr>
      <w:tr>
        <w:trPr>
          <w:trHeight w:val="48"/>
        </w:trPr>
        <w:tc>
          <w:tcPr>
            <w:tcW w:w="10260" w:type="dxa"/>
            <w:vAlign w:val="bottom"/>
            <w:tcBorders>
              <w:left w:val="single" w:sz="8" w:color="auto"/>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r>
      <w:tr>
        <w:trPr>
          <w:trHeight w:val="216"/>
        </w:trPr>
        <w:tc>
          <w:tcPr>
            <w:tcW w:w="10260" w:type="dxa"/>
            <w:vAlign w:val="bottom"/>
            <w:tcBorders>
              <w:left w:val="single" w:sz="8" w:color="auto"/>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7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424" w:hanging="424"/>
        <w:spacing w:after="0"/>
        <w:tabs>
          <w:tab w:leader="none" w:pos="42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1024"/>
          </w:cols>
          <w:pgMar w:left="436" w:top="270" w:right="439" w:bottom="1440" w:gutter="0" w:footer="0" w:header="0"/>
        </w:sectPr>
      </w:pPr>
    </w:p>
    <w:bookmarkStart w:id="257" w:name="page258"/>
    <w:bookmarkEnd w:id="257"/>
    <w:p>
      <w:pPr>
        <w:ind w:left="16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7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7174865" cy="1276985"/>
                    </a:xfrm>
                    <a:prstGeom prst="rect">
                      <a:avLst/>
                    </a:prstGeom>
                    <a:noFill/>
                  </pic:spPr>
                </pic:pic>
              </a:graphicData>
            </a:graphic>
          </wp:anchor>
        </w:drawing>
        <w:t>T</w:t>
      </w:r>
      <w:r>
        <w:rPr>
          <w:rFonts w:ascii="Arial" w:cs="Arial" w:eastAsia="Arial" w:hAnsi="Arial"/>
          <w:sz w:val="11"/>
          <w:szCs w:val="11"/>
          <w:b w:val="1"/>
          <w:bCs w:val="1"/>
          <w:color w:val="auto"/>
        </w:rPr>
        <w:t>RANSACTION</w:t>
      </w:r>
      <w:r>
        <w:rPr>
          <w:rFonts w:ascii="Arial" w:cs="Arial" w:eastAsia="Arial" w:hAnsi="Arial"/>
          <w:sz w:val="14"/>
          <w:szCs w:val="14"/>
          <w:b w:val="1"/>
          <w:bCs w:val="1"/>
          <w:color w:val="auto"/>
        </w:rPr>
        <w:t xml:space="preserve"> M</w:t>
      </w:r>
      <w:r>
        <w:rPr>
          <w:rFonts w:ascii="Arial" w:cs="Arial" w:eastAsia="Arial" w:hAnsi="Arial"/>
          <w:sz w:val="11"/>
          <w:szCs w:val="11"/>
          <w:b w:val="1"/>
          <w:bCs w:val="1"/>
          <w:color w:val="auto"/>
        </w:rPr>
        <w:t>ILESTONES</w:t>
      </w:r>
    </w:p>
    <w:p>
      <w:pPr>
        <w:spacing w:after="0" w:line="10"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7400" w:type="dxa"/>
            <w:vAlign w:val="bottom"/>
            <w:tcBorders>
              <w:top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w:t>
            </w:r>
            <w:r>
              <w:rPr>
                <w:rFonts w:ascii="Arial" w:cs="Arial" w:eastAsia="Arial" w:hAnsi="Arial"/>
                <w:sz w:val="11"/>
                <w:szCs w:val="11"/>
                <w:b w:val="1"/>
                <w:bCs w:val="1"/>
                <w:color w:val="auto"/>
              </w:rPr>
              <w:t>EAR</w:t>
            </w:r>
            <w:r>
              <w:rPr>
                <w:rFonts w:ascii="Arial" w:cs="Arial" w:eastAsia="Arial" w:hAnsi="Arial"/>
                <w:sz w:val="14"/>
                <w:szCs w:val="14"/>
                <w:b w:val="1"/>
                <w:bCs w:val="1"/>
                <w:color w:val="auto"/>
              </w:rPr>
              <w:t>*****</w:t>
            </w:r>
          </w:p>
        </w:tc>
        <w:tc>
          <w:tcPr>
            <w:tcW w:w="25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NNUAL</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RANSACTION</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OUNT</w:t>
            </w: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V</w:t>
            </w:r>
            <w:r>
              <w:rPr>
                <w:rFonts w:ascii="Arial" w:cs="Arial" w:eastAsia="Arial" w:hAnsi="Arial"/>
                <w:sz w:val="11"/>
                <w:szCs w:val="11"/>
                <w:b w:val="1"/>
                <w:bCs w:val="1"/>
                <w:color w:val="auto"/>
              </w:rPr>
              <w:t>ESTING</w:t>
            </w:r>
            <w:r>
              <w:rPr>
                <w:rFonts w:ascii="Arial" w:cs="Arial" w:eastAsia="Arial" w:hAnsi="Arial"/>
                <w:sz w:val="14"/>
                <w:szCs w:val="14"/>
                <w:b w:val="1"/>
                <w:bCs w:val="1"/>
                <w:color w:val="auto"/>
              </w:rPr>
              <w:t>****</w:t>
            </w:r>
          </w:p>
        </w:tc>
      </w:tr>
      <w:tr>
        <w:trPr>
          <w:trHeight w:val="48"/>
        </w:trPr>
        <w:tc>
          <w:tcPr>
            <w:tcW w:w="400" w:type="dxa"/>
            <w:vAlign w:val="bottom"/>
          </w:tcPr>
          <w:p>
            <w:pPr>
              <w:spacing w:after="0"/>
              <w:rPr>
                <w:sz w:val="4"/>
                <w:szCs w:val="4"/>
                <w:color w:val="auto"/>
              </w:rPr>
            </w:pPr>
          </w:p>
        </w:tc>
        <w:tc>
          <w:tcPr>
            <w:tcW w:w="7000" w:type="dxa"/>
            <w:vAlign w:val="bottom"/>
            <w:tcBorders>
              <w:right w:val="single" w:sz="8" w:color="auto"/>
            </w:tcBorders>
          </w:tcPr>
          <w:p>
            <w:pPr>
              <w:spacing w:after="0"/>
              <w:rPr>
                <w:sz w:val="4"/>
                <w:szCs w:val="4"/>
                <w:color w:val="auto"/>
              </w:rPr>
            </w:pPr>
          </w:p>
        </w:tc>
        <w:tc>
          <w:tcPr>
            <w:tcW w:w="2540" w:type="dxa"/>
            <w:vAlign w:val="bottom"/>
            <w:tcBorders>
              <w:right w:val="single" w:sz="8" w:color="auto"/>
            </w:tcBorders>
          </w:tcPr>
          <w:p>
            <w:pPr>
              <w:spacing w:after="0"/>
              <w:rPr>
                <w:sz w:val="4"/>
                <w:szCs w:val="4"/>
                <w:color w:val="auto"/>
              </w:rPr>
            </w:pPr>
          </w:p>
        </w:tc>
        <w:tc>
          <w:tcPr>
            <w:tcW w:w="1080" w:type="dxa"/>
            <w:vAlign w:val="bottom"/>
          </w:tcPr>
          <w:p>
            <w:pPr>
              <w:spacing w:after="0"/>
              <w:rPr>
                <w:sz w:val="4"/>
                <w:szCs w:val="4"/>
                <w:color w:val="auto"/>
              </w:rPr>
            </w:pPr>
          </w:p>
        </w:tc>
      </w:tr>
      <w:tr>
        <w:trPr>
          <w:trHeight w:val="216"/>
        </w:trPr>
        <w:tc>
          <w:tcPr>
            <w:tcW w:w="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0" w:type="dxa"/>
            <w:vAlign w:val="bottom"/>
            <w:tcBorders>
              <w:bottom w:val="single" w:sz="8" w:color="auto"/>
              <w:right w:val="single" w:sz="8" w:color="auto"/>
            </w:tcBorders>
            <w:shd w:val="clear" w:color="auto" w:fill="CCEEFF"/>
          </w:tcPr>
          <w:p>
            <w:pPr>
              <w:jc w:val="right"/>
              <w:ind w:right="643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64"/>
        </w:trPr>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7000" w:type="dxa"/>
            <w:vAlign w:val="bottom"/>
            <w:tcBorders>
              <w:bottom w:val="single" w:sz="8" w:color="auto"/>
              <w:right w:val="single" w:sz="8" w:color="auto"/>
            </w:tcBorders>
          </w:tcPr>
          <w:p>
            <w:pPr>
              <w:jc w:val="right"/>
              <w:ind w:right="643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48"/>
        </w:trPr>
        <w:tc>
          <w:tcPr>
            <w:tcW w:w="400" w:type="dxa"/>
            <w:vAlign w:val="bottom"/>
          </w:tcPr>
          <w:p>
            <w:pPr>
              <w:spacing w:after="0"/>
              <w:rPr>
                <w:sz w:val="4"/>
                <w:szCs w:val="4"/>
                <w:color w:val="auto"/>
              </w:rPr>
            </w:pPr>
          </w:p>
        </w:tc>
        <w:tc>
          <w:tcPr>
            <w:tcW w:w="7000" w:type="dxa"/>
            <w:vAlign w:val="bottom"/>
            <w:tcBorders>
              <w:right w:val="single" w:sz="8" w:color="auto"/>
            </w:tcBorders>
          </w:tcPr>
          <w:p>
            <w:pPr>
              <w:spacing w:after="0"/>
              <w:rPr>
                <w:sz w:val="4"/>
                <w:szCs w:val="4"/>
                <w:color w:val="auto"/>
              </w:rPr>
            </w:pPr>
          </w:p>
        </w:tc>
        <w:tc>
          <w:tcPr>
            <w:tcW w:w="2540" w:type="dxa"/>
            <w:vAlign w:val="bottom"/>
            <w:tcBorders>
              <w:right w:val="single" w:sz="8" w:color="auto"/>
            </w:tcBorders>
          </w:tcPr>
          <w:p>
            <w:pPr>
              <w:spacing w:after="0"/>
              <w:rPr>
                <w:sz w:val="4"/>
                <w:szCs w:val="4"/>
                <w:color w:val="auto"/>
              </w:rPr>
            </w:pPr>
          </w:p>
        </w:tc>
        <w:tc>
          <w:tcPr>
            <w:tcW w:w="1080" w:type="dxa"/>
            <w:vAlign w:val="bottom"/>
          </w:tcPr>
          <w:p>
            <w:pPr>
              <w:spacing w:after="0"/>
              <w:rPr>
                <w:sz w:val="4"/>
                <w:szCs w:val="4"/>
                <w:color w:val="auto"/>
              </w:rPr>
            </w:pPr>
          </w:p>
        </w:tc>
      </w:tr>
      <w:tr>
        <w:trPr>
          <w:trHeight w:val="216"/>
        </w:trPr>
        <w:tc>
          <w:tcPr>
            <w:tcW w:w="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0" w:type="dxa"/>
            <w:vAlign w:val="bottom"/>
            <w:tcBorders>
              <w:bottom w:val="single" w:sz="8" w:color="auto"/>
              <w:right w:val="single" w:sz="8" w:color="auto"/>
            </w:tcBorders>
            <w:shd w:val="clear" w:color="auto" w:fill="CCEEFF"/>
          </w:tcPr>
          <w:p>
            <w:pPr>
              <w:jc w:val="right"/>
              <w:ind w:right="643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63"/>
        </w:trPr>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7000" w:type="dxa"/>
            <w:vAlign w:val="bottom"/>
            <w:tcBorders>
              <w:bottom w:val="single" w:sz="8" w:color="auto"/>
              <w:right w:val="single" w:sz="8" w:color="auto"/>
            </w:tcBorders>
          </w:tcPr>
          <w:p>
            <w:pPr>
              <w:jc w:val="right"/>
              <w:ind w:right="643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48"/>
        </w:trPr>
        <w:tc>
          <w:tcPr>
            <w:tcW w:w="400" w:type="dxa"/>
            <w:vAlign w:val="bottom"/>
          </w:tcPr>
          <w:p>
            <w:pPr>
              <w:spacing w:after="0"/>
              <w:rPr>
                <w:sz w:val="4"/>
                <w:szCs w:val="4"/>
                <w:color w:val="auto"/>
              </w:rPr>
            </w:pPr>
          </w:p>
        </w:tc>
        <w:tc>
          <w:tcPr>
            <w:tcW w:w="7000" w:type="dxa"/>
            <w:vAlign w:val="bottom"/>
            <w:tcBorders>
              <w:right w:val="single" w:sz="8" w:color="auto"/>
            </w:tcBorders>
          </w:tcPr>
          <w:p>
            <w:pPr>
              <w:spacing w:after="0"/>
              <w:rPr>
                <w:sz w:val="4"/>
                <w:szCs w:val="4"/>
                <w:color w:val="auto"/>
              </w:rPr>
            </w:pPr>
          </w:p>
        </w:tc>
        <w:tc>
          <w:tcPr>
            <w:tcW w:w="2540" w:type="dxa"/>
            <w:vAlign w:val="bottom"/>
            <w:tcBorders>
              <w:right w:val="single" w:sz="8" w:color="auto"/>
            </w:tcBorders>
          </w:tcPr>
          <w:p>
            <w:pPr>
              <w:spacing w:after="0"/>
              <w:rPr>
                <w:sz w:val="4"/>
                <w:szCs w:val="4"/>
                <w:color w:val="auto"/>
              </w:rPr>
            </w:pPr>
          </w:p>
        </w:tc>
        <w:tc>
          <w:tcPr>
            <w:tcW w:w="1080" w:type="dxa"/>
            <w:vAlign w:val="bottom"/>
          </w:tcPr>
          <w:p>
            <w:pPr>
              <w:spacing w:after="0"/>
              <w:rPr>
                <w:sz w:val="4"/>
                <w:szCs w:val="4"/>
                <w:color w:val="auto"/>
              </w:rPr>
            </w:pPr>
          </w:p>
        </w:tc>
      </w:tr>
      <w:tr>
        <w:trPr>
          <w:trHeight w:val="216"/>
        </w:trPr>
        <w:tc>
          <w:tcPr>
            <w:tcW w:w="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0" w:type="dxa"/>
            <w:vAlign w:val="bottom"/>
            <w:tcBorders>
              <w:bottom w:val="single" w:sz="8" w:color="auto"/>
              <w:right w:val="single" w:sz="8" w:color="auto"/>
            </w:tcBorders>
            <w:shd w:val="clear" w:color="auto" w:fill="CCEEFF"/>
          </w:tcPr>
          <w:p>
            <w:pPr>
              <w:jc w:val="right"/>
              <w:ind w:right="643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r>
    </w:tbl>
    <w:p>
      <w:pPr>
        <w:spacing w:after="0" w:line="53" w:lineRule="exact"/>
        <w:rPr>
          <w:sz w:val="20"/>
          <w:szCs w:val="20"/>
          <w:color w:val="auto"/>
        </w:rPr>
      </w:pPr>
    </w:p>
    <w:p>
      <w:pPr>
        <w:ind w:left="444" w:hanging="444"/>
        <w:spacing w:after="0"/>
        <w:tabs>
          <w:tab w:leader="none" w:pos="444" w:val="left"/>
        </w:tabs>
        <w:numPr>
          <w:ilvl w:val="0"/>
          <w:numId w:val="133"/>
        </w:numPr>
        <w:rPr>
          <w:rFonts w:ascii="Arial" w:cs="Arial" w:eastAsia="Arial" w:hAnsi="Arial"/>
          <w:sz w:val="18"/>
          <w:szCs w:val="18"/>
          <w:i w:val="1"/>
          <w:iCs w:val="1"/>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544" w:hanging="544"/>
        <w:spacing w:after="0"/>
        <w:tabs>
          <w:tab w:leader="none" w:pos="544" w:val="left"/>
        </w:tabs>
        <w:numPr>
          <w:ilvl w:val="0"/>
          <w:numId w:val="134"/>
        </w:numPr>
        <w:rPr>
          <w:rFonts w:ascii="Arial" w:cs="Arial" w:eastAsia="Arial" w:hAnsi="Arial"/>
          <w:sz w:val="16"/>
          <w:szCs w:val="16"/>
          <w:i w:val="1"/>
          <w:iCs w:val="1"/>
          <w:color w:val="auto"/>
        </w:rPr>
      </w:pPr>
      <w:r>
        <w:rPr>
          <w:rFonts w:ascii="Arial" w:cs="Arial" w:eastAsia="Arial" w:hAnsi="Arial"/>
          <w:sz w:val="16"/>
          <w:szCs w:val="16"/>
          <w:i w:val="1"/>
          <w:iCs w:val="1"/>
          <w:color w:val="auto"/>
        </w:rPr>
        <w:t>Subject to appropriate adjustment for stock splits, dividends, combinations, recapitalizations and the like with respect to the Common Stock.</w:t>
      </w:r>
    </w:p>
    <w:p>
      <w:pPr>
        <w:spacing w:after="0" w:line="9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624" w:hanging="624"/>
        <w:spacing w:after="0"/>
        <w:tabs>
          <w:tab w:leader="none" w:pos="624" w:val="left"/>
        </w:tabs>
        <w:numPr>
          <w:ilvl w:val="0"/>
          <w:numId w:val="135"/>
        </w:numPr>
        <w:rPr>
          <w:rFonts w:ascii="Arial" w:cs="Arial" w:eastAsia="Arial" w:hAnsi="Arial"/>
          <w:sz w:val="18"/>
          <w:szCs w:val="18"/>
          <w:i w:val="1"/>
          <w:iCs w:val="1"/>
          <w:color w:val="auto"/>
        </w:rPr>
      </w:pPr>
      <w:r>
        <w:rPr>
          <w:rFonts w:ascii="Arial" w:cs="Arial" w:eastAsia="Arial" w:hAnsi="Arial"/>
          <w:sz w:val="18"/>
          <w:szCs w:val="18"/>
          <w:i w:val="1"/>
          <w:iCs w:val="1"/>
          <w:color w:val="auto"/>
        </w:rPr>
        <w:t>“Year” is calculated from the Effective Date of the Partnership Agreement and each twelve (12) month anniversary thereof.</w:t>
      </w:r>
    </w:p>
    <w:p>
      <w:pPr>
        <w:sectPr>
          <w:pgSz w:w="11900" w:h="16838" w:orient="portrait"/>
          <w:cols w:equalWidth="0" w:num="1">
            <w:col w:w="11024"/>
          </w:cols>
          <w:pgMar w:left="436" w:top="333" w:right="43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MARQETA,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TO WARRANT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PURCHASE SHARES OF COMMON STOCK</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This Amendment to Warrant to Purchase Shares of Common Stock (the “Amendment”) dated as of January 7, 2021, by and between Marqeta, Inc., a Delaware corporation (the “Company”), and Uber Technologies, inc. (the “Holder”), amends and modifies that certain Warrant to Purchase Shares of Common Stock dated as of September 15, 2020, by and between the Company and the Holder (the “Warrant”). Capitalized terms used but not defined in this Amendment will have the meaning given such terms in the Warrant.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Holder previously entered into the Warrant.</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20 of the Warrant provides any term of the Warrant may be amended and the observance of any term of the Warrant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waived (either generally or in a particular instance and either retroactively or prospectively), solely with the written consent of the Company and the Holder.</w:t>
      </w:r>
    </w:p>
    <w:p>
      <w:pPr>
        <w:spacing w:after="0" w:line="176"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Holder now desire to enter into this Amendment to amend certain provisions of the Warrant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Holder’s pro rata rights set forth in Section 4 of the Warrant.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760" w:hanging="324"/>
        <w:spacing w:after="0"/>
        <w:tabs>
          <w:tab w:leader="none" w:pos="76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Entire Agreement; Termination, Amendments and Waivers</w:t>
      </w:r>
      <w:r>
        <w:rPr>
          <w:rFonts w:ascii="Arial" w:cs="Arial" w:eastAsia="Arial" w:hAnsi="Arial"/>
          <w:sz w:val="17"/>
          <w:szCs w:val="17"/>
          <w:color w:val="auto"/>
        </w:rPr>
        <w:t>. Section 20 of the Warrant is hereby amended and restated in its entirety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103" w:lineRule="exact"/>
        <w:rPr>
          <w:sz w:val="20"/>
          <w:szCs w:val="20"/>
          <w:color w:val="auto"/>
        </w:rPr>
      </w:pPr>
    </w:p>
    <w:p>
      <w:pPr>
        <w:ind w:left="440"/>
        <w:spacing w:after="0" w:line="288" w:lineRule="auto"/>
        <w:rPr>
          <w:sz w:val="20"/>
          <w:szCs w:val="20"/>
          <w:color w:val="auto"/>
        </w:rPr>
      </w:pPr>
      <w:r>
        <w:rPr>
          <w:rFonts w:ascii="Arial" w:cs="Arial" w:eastAsia="Arial" w:hAnsi="Arial"/>
          <w:sz w:val="16"/>
          <w:szCs w:val="16"/>
          <w:u w:val="single" w:color="auto"/>
          <w:color w:val="auto"/>
        </w:rPr>
        <w:t>Entire Agreement; Termination, Amendments and Waivers.</w:t>
      </w:r>
      <w:r>
        <w:rPr>
          <w:rFonts w:ascii="Arial" w:cs="Arial" w:eastAsia="Arial" w:hAnsi="Arial"/>
          <w:sz w:val="16"/>
          <w:szCs w:val="16"/>
          <w:color w:val="auto"/>
        </w:rPr>
        <w:t xml:space="preserve"> This Warrant, the Partnership Agreement, and any other documents delivered pursuant hereto constitute the full and entire understanding and agreement between the parties with regard to the subject matter hereof and thereof. Nonetheless, any term of this Warrant may be amended and the observance of any term of this Agreement may be waived (either generally or in a particular instance and either retroactively or prospectively), solely with the written consent of the Company and the Holder. Notwithstanding the foregoing, (i) this Warrant may be terminated by the Company or the Holder by written notice to the other party for Cause (as defined in the Partnership Agreement); (ii) this Warrant may be terminated by the Company, in its sole discretion, at any time on or after [***] in the event that [***]; (iii) in the event of a Material Primary Failure (as set forth in the Partnership Agreement), the Company may amend the Vesting Schedule set forth on Exhibit A with respect to any then unvested shares subject to this Warrant, provided that any such amendment (x) does not increase any of the Milestone thresholds described in Exhibit A and (y) is subject to the approval of the Holder (which shall not be unreasonably withheld); and (iv) the covenants contained in Section 4 of this Warrant shall not apply to and shall terminate upon the earlier</w:t>
      </w:r>
    </w:p>
    <w:p>
      <w:pPr>
        <w:sectPr>
          <w:pgSz w:w="11900" w:h="16838" w:orient="portrait"/>
          <w:cols w:equalWidth="0" w:num="1">
            <w:col w:w="10980"/>
          </w:cols>
          <w:pgMar w:left="440" w:top="270" w:right="479" w:bottom="1440" w:gutter="0" w:footer="0" w:header="0"/>
        </w:sectPr>
      </w:pPr>
    </w:p>
    <w:bookmarkStart w:id="259" w:name="page260"/>
    <w:bookmarkEnd w:id="259"/>
    <w:p>
      <w:pPr>
        <w:ind w:left="440"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(x) the effective date of the registration statement pertaining to an Initial Public Offering that results in the conversion of all outstanding Preferred Stock into Common Stock or (y) an Acquisition (as defined in the Company’s Restated Certificate).</w:t>
      </w:r>
    </w:p>
    <w:p>
      <w:pPr>
        <w:spacing w:after="0" w:line="170" w:lineRule="exact"/>
        <w:rPr>
          <w:sz w:val="20"/>
          <w:szCs w:val="20"/>
          <w:color w:val="auto"/>
        </w:rPr>
      </w:pPr>
    </w:p>
    <w:p>
      <w:pPr>
        <w:ind w:firstLine="436"/>
        <w:spacing w:after="0" w:line="277" w:lineRule="auto"/>
        <w:tabs>
          <w:tab w:leader="none" w:pos="75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construed and interpreted in accordance with the laws of the State of Delaware, without giving effect to principles of conflicts of law.</w:t>
      </w:r>
    </w:p>
    <w:p>
      <w:pPr>
        <w:spacing w:after="0" w:line="170" w:lineRule="exact"/>
        <w:rPr>
          <w:rFonts w:ascii="Arial" w:cs="Arial" w:eastAsia="Arial" w:hAnsi="Arial"/>
          <w:sz w:val="18"/>
          <w:szCs w:val="18"/>
          <w:color w:val="auto"/>
        </w:rPr>
      </w:pPr>
    </w:p>
    <w:p>
      <w:pPr>
        <w:ind w:right="340" w:firstLine="436"/>
        <w:spacing w:after="0" w:line="277" w:lineRule="auto"/>
        <w:tabs>
          <w:tab w:leader="none" w:pos="75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Warrant constitute the full and entire understanding among the parties regarding the subject matter in this Amendment and the Warrant.</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Amendment Limited</w:t>
      </w:r>
      <w:r>
        <w:rPr>
          <w:rFonts w:ascii="Arial" w:cs="Arial" w:eastAsia="Arial" w:hAnsi="Arial"/>
          <w:sz w:val="16"/>
          <w:szCs w:val="16"/>
          <w:color w:val="auto"/>
        </w:rPr>
        <w:t>. Other than as set forth in this Amendment, all of the terms and conditions of the Warrant will continue in full force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0" w:lineRule="exact"/>
        <w:rPr>
          <w:rFonts w:ascii="Arial" w:cs="Arial" w:eastAsia="Arial" w:hAnsi="Arial"/>
          <w:sz w:val="16"/>
          <w:szCs w:val="16"/>
          <w:color w:val="auto"/>
        </w:rPr>
      </w:pPr>
    </w:p>
    <w:p>
      <w:pPr>
        <w:ind w:right="80" w:firstLine="436"/>
        <w:spacing w:after="0" w:line="301" w:lineRule="auto"/>
        <w:tabs>
          <w:tab w:leader="none" w:pos="755"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the Uniform Electronic Transactions Act or other applicable law) or other transmission method and any counterpart so delivered shall be deemed to have been duly and validly delivered and be valid and effective for all purposes.</w:t>
      </w:r>
    </w:p>
    <w:p>
      <w:pPr>
        <w:spacing w:after="0" w:line="157" w:lineRule="exact"/>
        <w:rPr>
          <w:rFonts w:ascii="Arial" w:cs="Arial" w:eastAsia="Arial" w:hAnsi="Arial"/>
          <w:sz w:val="16"/>
          <w:szCs w:val="16"/>
          <w:color w:val="auto"/>
        </w:rPr>
      </w:pPr>
    </w:p>
    <w:p>
      <w:pPr>
        <w:ind w:right="200" w:firstLine="436"/>
        <w:spacing w:after="0" w:line="277" w:lineRule="auto"/>
        <w:tabs>
          <w:tab w:leader="none" w:pos="75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Any provision of this Amendment may be amended or modified and/or the observance thereof may be waived or this Amendment terminated, only as in accordance with Section 20 of the Warrant.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0920"/>
          </w:cols>
          <w:pgMar w:left="440" w:top="274" w:right="539" w:bottom="1440" w:gutter="0" w:footer="0" w:header="0"/>
        </w:sectPr>
      </w:pPr>
    </w:p>
    <w:bookmarkStart w:id="260" w:name="page261"/>
    <w:bookmarkEnd w:id="2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Amendment to Warrant to Purchase Shares of Common Stock as of the day and year first set forth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Jason Gardner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9800"/>
          </w:cols>
          <w:pgMar w:left="880" w:top="274" w:right="1219" w:bottom="1440" w:gutter="0" w:footer="0" w:header="0"/>
        </w:sectPr>
      </w:pPr>
    </w:p>
    <w:bookmarkStart w:id="261" w:name="page262"/>
    <w:bookmarkEnd w:id="2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Amendment to Warrant to Purchase Shares of Common Stock as of the day and year first set forth above.</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UBER TECHNOLOGIES,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Vescio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Jennifer Vescio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Head of Business Development</w:t>
      </w:r>
    </w:p>
    <w:p>
      <w:pPr>
        <w:spacing w:after="0" w:line="211" w:lineRule="exact"/>
        <w:rPr>
          <w:sz w:val="20"/>
          <w:szCs w:val="20"/>
          <w:color w:val="auto"/>
        </w:rPr>
      </w:pPr>
    </w:p>
    <w:p>
      <w:pPr>
        <w:jc w:val="right"/>
        <w:ind w:right="759"/>
        <w:spacing w:after="0"/>
        <w:rPr>
          <w:sz w:val="20"/>
          <w:szCs w:val="20"/>
          <w:color w:val="auto"/>
        </w:rPr>
      </w:pPr>
      <w:r>
        <w:rPr>
          <w:rFonts w:ascii="Arial" w:cs="Arial" w:eastAsia="Arial" w:hAnsi="Arial"/>
          <w:sz w:val="18"/>
          <w:szCs w:val="18"/>
          <w:color w:val="auto"/>
        </w:rPr>
        <w:t>Address:  1455 Market St, Suite 400</w:t>
      </w:r>
    </w:p>
    <w:p>
      <w:pPr>
        <w:spacing w:after="0" w:line="23"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auto"/>
        </w:rPr>
        <w:t>San Francisco, CA 94103</w:t>
      </w:r>
    </w:p>
    <w:p>
      <w:pPr>
        <w:sectPr>
          <w:pgSz w:w="11900" w:h="16838" w:orient="portrait"/>
          <w:cols w:equalWidth="0" w:num="1">
            <w:col w:w="10019"/>
          </w:cols>
          <w:pgMar w:left="440" w:top="274" w:right="1440"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MARKED BY [***], HAS BEEN EXCLUDED FROM THIS EXHIBIT BECAUSE (I) IT</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color w:val="auto"/>
        </w:rPr>
        <w:t>IS NOT MATERIAL AND (II) THE REGISTRANT CUSTOMARILY AND ACTUALLY TREATS THE INFORMATION AS PRIVATE AND CONFIDENTIAL.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MARQETA,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 NO. 2 TO WARRANT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PURCHASE SHARES OF COMMON STOCK</w:t>
      </w:r>
    </w:p>
    <w:p>
      <w:pPr>
        <w:spacing w:after="0" w:line="21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This Amendment No. 2 to Warrant to Purchase Shares of Common Stock (the “Amendment”) dated as of May 22, 2021, by and between Marqeta, Inc., a Delaware corporation (the “Company”), and Uber Technologies, Inc. (the “Holder”), amends and modifies that certain Warrant to Purchase Shares of Common Stock dated as of September 15, 2020, by and between the Company and the Holder (as amended, the “Warrant”). Capitalized terms used but not defined in this Amendment will have the meaning given such terms in the Warrant.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 previously entered into the Warrant.</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20 of the Warrant provides any term of the Warrant may be amended and the observance of any term of the Warrant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waived (either generally or in a particular instance and either retroactively or prospectively), solely with the written consent of the Company and the Holder.</w:t>
      </w:r>
    </w:p>
    <w:p>
      <w:pPr>
        <w:spacing w:after="0" w:line="176"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 now desire to enter into this Amendment to amend certain a certain provision of Exhibit A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adjust the definition of “Annual Transaction Count” as set forth below.</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agree as follows:</w:t>
      </w:r>
    </w:p>
    <w:p>
      <w:pPr>
        <w:spacing w:after="0" w:line="117" w:lineRule="exact"/>
        <w:rPr>
          <w:sz w:val="20"/>
          <w:szCs w:val="20"/>
          <w:color w:val="auto"/>
        </w:rPr>
      </w:pPr>
    </w:p>
    <w:p>
      <w:pPr>
        <w:ind w:right="260" w:firstLine="436"/>
        <w:spacing w:after="0" w:line="277" w:lineRule="auto"/>
        <w:tabs>
          <w:tab w:leader="none" w:pos="6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Launched Programs</w:t>
      </w:r>
      <w:r>
        <w:rPr>
          <w:rFonts w:ascii="Arial" w:cs="Arial" w:eastAsia="Arial" w:hAnsi="Arial"/>
          <w:sz w:val="18"/>
          <w:szCs w:val="18"/>
          <w:color w:val="auto"/>
        </w:rPr>
        <w:t>. The first paragraph below the table on Exhibit A to the Warrant titled “Transaction Milestones” is hereby amended and restated in its entirety as follows: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i w:val="1"/>
          <w:iCs w:val="1"/>
          <w:color w:val="auto"/>
        </w:rPr>
        <w:t>Annual Transaction Count</w:t>
      </w:r>
      <w:r>
        <w:rPr>
          <w:rFonts w:ascii="Arial" w:cs="Arial" w:eastAsia="Arial" w:hAnsi="Arial"/>
          <w:sz w:val="18"/>
          <w:szCs w:val="18"/>
          <w:color w:val="auto"/>
        </w:rPr>
        <w:t>” shall mean [***].”</w:t>
      </w:r>
    </w:p>
    <w:p>
      <w:pPr>
        <w:spacing w:after="0" w:line="117" w:lineRule="exact"/>
        <w:rPr>
          <w:sz w:val="20"/>
          <w:szCs w:val="20"/>
          <w:color w:val="auto"/>
        </w:rPr>
      </w:pPr>
    </w:p>
    <w:p>
      <w:pPr>
        <w:ind w:right="180" w:firstLine="436"/>
        <w:spacing w:after="0" w:line="277" w:lineRule="auto"/>
        <w:tabs>
          <w:tab w:leader="none" w:pos="6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construed and interpreted in accordance with the laws of the State of Delaware, without giving effect to principles of conflicts of law.</w:t>
      </w:r>
    </w:p>
    <w:p>
      <w:pPr>
        <w:spacing w:after="0" w:line="62" w:lineRule="exact"/>
        <w:rPr>
          <w:rFonts w:ascii="Arial" w:cs="Arial" w:eastAsia="Arial" w:hAnsi="Arial"/>
          <w:sz w:val="18"/>
          <w:szCs w:val="18"/>
          <w:color w:val="auto"/>
        </w:rPr>
      </w:pPr>
    </w:p>
    <w:p>
      <w:pPr>
        <w:ind w:right="40" w:firstLine="436"/>
        <w:spacing w:after="0" w:line="277" w:lineRule="auto"/>
        <w:tabs>
          <w:tab w:leader="none" w:pos="6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Warrant constitute the full and entire understanding among the parties regarding the subject matter in this Amendment and the Warrant.</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Amendment Limited</w:t>
      </w:r>
      <w:r>
        <w:rPr>
          <w:rFonts w:ascii="Arial" w:cs="Arial" w:eastAsia="Arial" w:hAnsi="Arial"/>
          <w:sz w:val="16"/>
          <w:szCs w:val="16"/>
          <w:color w:val="auto"/>
        </w:rPr>
        <w:t>. Other than as set forth in this Amendment, all of the terms and conditions of the Warrant will continue in full force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ectPr>
          <w:pgSz w:w="11900" w:h="16838" w:orient="portrait"/>
          <w:cols w:equalWidth="0" w:num="1">
            <w:col w:w="10980"/>
          </w:cols>
          <w:pgMar w:left="440" w:top="270" w:right="479" w:bottom="1440" w:gutter="0" w:footer="0" w:header="0"/>
        </w:sectPr>
      </w:pPr>
    </w:p>
    <w:bookmarkStart w:id="263" w:name="page264"/>
    <w:bookmarkEnd w:id="263"/>
    <w:p>
      <w:pPr>
        <w:jc w:val="both"/>
        <w:ind w:left="-120" w:right="80" w:firstLine="436"/>
        <w:spacing w:after="0" w:line="301" w:lineRule="auto"/>
        <w:tabs>
          <w:tab w:leader="none" w:pos="50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Arial" w:cs="Arial" w:eastAsia="Arial" w:hAnsi="Arial"/>
          <w:sz w:val="16"/>
          <w:szCs w:val="16"/>
          <w:color w:val="auto"/>
        </w:rPr>
        <w:t>.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the Uniform Electronic Transactions Act or other applicable law) or other transmission method and any counterpart so delivered shall be deemed to have been duly and validly delivered and be valid and effective for all purposes.</w:t>
      </w:r>
    </w:p>
    <w:p>
      <w:pPr>
        <w:spacing w:after="0" w:line="49" w:lineRule="exact"/>
        <w:rPr>
          <w:rFonts w:ascii="Arial" w:cs="Arial" w:eastAsia="Arial" w:hAnsi="Arial"/>
          <w:sz w:val="16"/>
          <w:szCs w:val="16"/>
          <w:color w:val="auto"/>
        </w:rPr>
      </w:pPr>
    </w:p>
    <w:p>
      <w:pPr>
        <w:ind w:left="-120" w:firstLine="436"/>
        <w:spacing w:after="0" w:line="277" w:lineRule="auto"/>
        <w:tabs>
          <w:tab w:leader="none" w:pos="5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Any provision of this Amendment may be amended or modified and/or the observance thereof may be waived or this Amendment terminated, only as in accordance with Section 20 of the Warrant.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0780"/>
          </w:cols>
          <w:pgMar w:left="560" w:top="274" w:right="559" w:bottom="1440" w:gutter="0" w:footer="0" w:header="0"/>
        </w:sectPr>
      </w:pPr>
    </w:p>
    <w:bookmarkStart w:id="264" w:name="page265"/>
    <w:bookmarkEnd w:id="2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Amendment No. 2 to Warrant to Purchase Shares of Common Stock as of the day and year first set forth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Jason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Jason Gardner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240"/>
          </w:cols>
          <w:pgMar w:left="880" w:top="274" w:right="779" w:bottom="1440" w:gutter="0" w:footer="0" w:header="0"/>
        </w:sectPr>
      </w:pPr>
    </w:p>
    <w:bookmarkStart w:id="265" w:name="page266"/>
    <w:bookmarkEnd w:id="2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executed this Amendment No. 2 to Warrant to Purchase Shares of Common Stock as of the day and year first set forth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UBER TECHNOLOGIES,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Jennifer Vescio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Jennifer Vescio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Head of Business Development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 1633 3rd Street</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SF, CA 94158</w:t>
      </w:r>
    </w:p>
    <w:p>
      <w:pPr>
        <w:sectPr>
          <w:pgSz w:w="11900" w:h="16838" w:orient="portrait"/>
          <w:cols w:equalWidth="0" w:num="1">
            <w:col w:w="10240"/>
          </w:cols>
          <w:pgMar w:left="880" w:top="274" w:right="77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134235" cy="5226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21342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June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Marqeta,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180 Grand Avenue,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Oakland, CA 94612</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S-1 (File No. 333-256154) (as amended or supplemented, the “Registration Statement”) pursuant to the Securities Act of 1933, as amended (the “Securities Act”), relating to the registration of the offering by Marqeta, Inc., a Delaware corporation (the “Company”), of up to 52,272,727 shares (the “Shares”) of the Company’s Class A Common Stock, $0.0001 par value per share, including Shares purchasable by the underwriters upon their exercise of an option to purchase additional shares granted to the underwriters by the Company. The Shares are being sold to the several underwriters named in, and pursuant to, an underwriting agreement among the Company and such underwriters (the “Underwriting Agreement”).</w:t>
      </w:r>
    </w:p>
    <w:p>
      <w:pPr>
        <w:spacing w:after="0" w:line="178"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46"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117" w:lineRule="exact"/>
        <w:rPr>
          <w:sz w:val="20"/>
          <w:szCs w:val="20"/>
          <w:color w:val="auto"/>
        </w:rPr>
      </w:pPr>
    </w:p>
    <w:p>
      <w:pPr>
        <w:jc w:val="both"/>
        <w:ind w:right="80" w:firstLine="440"/>
        <w:spacing w:after="0" w:line="296" w:lineRule="auto"/>
        <w:rPr>
          <w:sz w:val="20"/>
          <w:szCs w:val="20"/>
          <w:color w:val="auto"/>
        </w:rPr>
      </w:pPr>
      <w:r>
        <w:rPr>
          <w:rFonts w:ascii="Arial" w:cs="Arial" w:eastAsia="Arial" w:hAnsi="Arial"/>
          <w:sz w:val="16"/>
          <w:szCs w:val="16"/>
          <w:color w:val="auto"/>
        </w:rPr>
        <w:t>The name of the plan is the Marqeta, Inc. 2021 Stock Option and Incentive Plan (the “Plan”). The purpose of the Plan is to encourage and enable the officers, employees, Non-Employee Directors and Consultants of Marqeta,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terms shall be defined as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225" w:lineRule="exact"/>
        <w:rPr>
          <w:sz w:val="20"/>
          <w:szCs w:val="20"/>
          <w:color w:val="auto"/>
        </w:rPr>
      </w:pPr>
    </w:p>
    <w:p>
      <w:pPr>
        <w:ind w:right="440" w:firstLine="440"/>
        <w:spacing w:after="0" w:line="308" w:lineRule="auto"/>
        <w:rPr>
          <w:sz w:val="20"/>
          <w:szCs w:val="20"/>
          <w:color w:val="auto"/>
        </w:rPr>
      </w:pPr>
      <w:r>
        <w:rPr>
          <w:rFonts w:ascii="Arial" w:cs="Arial" w:eastAsia="Arial" w:hAnsi="Arial"/>
          <w:sz w:val="17"/>
          <w:szCs w:val="17"/>
          <w:i w:val="1"/>
          <w:iCs w:val="1"/>
          <w:color w:val="auto"/>
        </w:rPr>
        <w:t xml:space="preserve">“Administrator” </w:t>
      </w:r>
      <w:r>
        <w:rPr>
          <w:rFonts w:ascii="Arial" w:cs="Arial" w:eastAsia="Arial" w:hAnsi="Arial"/>
          <w:sz w:val="17"/>
          <w:szCs w:val="17"/>
          <w:color w:val="auto"/>
        </w:rPr>
        <w:t>means either the Board or the compensation committee of the Board or a similar committee performing the functions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and which is comprised of not less than two Non-Employee Directors who are independent.</w:t>
      </w:r>
    </w:p>
    <w:p>
      <w:pPr>
        <w:spacing w:after="0" w:line="146"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24"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Stock Options, Stock Appreciation Rights, Restricted Stock Units, Restricted Stock Awards, Unrestricted Stock Awards, Cash-Based Awards, and Dividend Equivalent Rights.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“Award Agreement” </w:t>
      </w:r>
      <w:r>
        <w:rPr>
          <w:rFonts w:ascii="Arial" w:cs="Arial" w:eastAsia="Arial" w:hAnsi="Arial"/>
          <w:sz w:val="16"/>
          <w:szCs w:val="16"/>
          <w:color w:val="auto"/>
        </w:rPr>
        <w:t>means a written or electronic document setting forth the terms and provisions applicable to an Award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Award Agreement is subject to the terms and conditions of the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“Cash-Based Award” </w:t>
      </w:r>
      <w:r>
        <w:rPr>
          <w:rFonts w:ascii="Arial" w:cs="Arial" w:eastAsia="Arial" w:hAnsi="Arial"/>
          <w:sz w:val="18"/>
          <w:szCs w:val="18"/>
          <w:color w:val="auto"/>
        </w:rPr>
        <w:t>means an Award entitling the recipient to receive a cash-denominated payment.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ectPr>
          <w:pgSz w:w="11900" w:h="16838" w:orient="portrait"/>
          <w:cols w:equalWidth="0" w:num="1">
            <w:col w:w="11020"/>
          </w:cols>
          <w:pgMar w:left="440" w:top="121" w:right="439" w:bottom="1440" w:gutter="0" w:footer="0" w:header="0"/>
        </w:sectPr>
      </w:pPr>
    </w:p>
    <w:bookmarkStart w:id="268" w:name="page269"/>
    <w:bookmarkEnd w:id="268"/>
    <w:p>
      <w:pPr>
        <w:ind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“Consultant” </w:t>
      </w:r>
      <w:r>
        <w:rPr>
          <w:rFonts w:ascii="Arial" w:cs="Arial" w:eastAsia="Arial" w:hAnsi="Arial"/>
          <w:sz w:val="18"/>
          <w:szCs w:val="18"/>
          <w:color w:val="auto"/>
        </w:rPr>
        <w:t>means a consultant or adviser who provides</w:t>
      </w:r>
      <w:r>
        <w:rPr>
          <w:rFonts w:ascii="Arial" w:cs="Arial" w:eastAsia="Arial" w:hAnsi="Arial"/>
          <w:sz w:val="18"/>
          <w:szCs w:val="18"/>
          <w:i w:val="1"/>
          <w:iCs w:val="1"/>
          <w:color w:val="auto"/>
        </w:rPr>
        <w:t xml:space="preserve"> bona fide </w:t>
      </w:r>
      <w:r>
        <w:rPr>
          <w:rFonts w:ascii="Arial" w:cs="Arial" w:eastAsia="Arial" w:hAnsi="Arial"/>
          <w:sz w:val="18"/>
          <w:szCs w:val="18"/>
          <w:color w:val="auto"/>
        </w:rPr>
        <w:t>services to the Company or an Affiliate as an independent contractor and who</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qualifies as a consultant or advisor under Instruction A.1.(a)(1) of Form S-8 under the Act.</w:t>
      </w:r>
    </w:p>
    <w:p>
      <w:pPr>
        <w:spacing w:after="0" w:line="170"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 dividends that would have been paid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Stock specified in the Dividend Equivalent Right (or other award to which it relates) if such shares had been issued to and held by the grantee.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19.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any Stock Option designated and qualified as an “incentive stock option” as defined in Section 422 of the Code.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i w:val="1"/>
          <w:iCs w:val="1"/>
          <w:color w:val="auto"/>
        </w:rPr>
        <w:t xml:space="preserve">“Registration Date” </w:t>
      </w:r>
      <w:r>
        <w:rPr>
          <w:rFonts w:ascii="Arial" w:cs="Arial" w:eastAsia="Arial" w:hAnsi="Arial"/>
          <w:sz w:val="18"/>
          <w:szCs w:val="18"/>
          <w:color w:val="auto"/>
        </w:rPr>
        <w:t>means the date upon which the registration statement on Form S-1 that is filed by the Company with respect to its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offering is declared effective by the Securities and Exchange Commission.</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 a risk of forfeiture 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repurchase.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 as the Administrator may determine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69" w:name="page270"/>
    <w:bookmarkEnd w:id="269"/>
    <w:p>
      <w:pPr>
        <w:ind w:left="4" w:right="20"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“Restricted Stock Units” </w:t>
      </w:r>
      <w:r>
        <w:rPr>
          <w:rFonts w:ascii="Arial" w:cs="Arial" w:eastAsia="Arial" w:hAnsi="Arial"/>
          <w:sz w:val="18"/>
          <w:szCs w:val="18"/>
          <w:color w:val="auto"/>
        </w:rPr>
        <w:t>means an Award of stock units subject to such restrictions and conditions as the Administrator may determine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grant.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i w:val="1"/>
          <w:iCs w:val="1"/>
          <w:color w:val="auto"/>
        </w:rPr>
        <w:t xml:space="preserve">“Sale Event” </w:t>
      </w:r>
      <w:r>
        <w:rPr>
          <w:rFonts w:ascii="Arial" w:cs="Arial" w:eastAsia="Arial" w:hAnsi="Arial"/>
          <w:sz w:val="16"/>
          <w:szCs w:val="16"/>
          <w:color w:val="auto"/>
        </w:rPr>
        <w:t>shall mean (i) the sale of all or substantially all of the assets of the Company on a consolidated basis to an unrelated person or entity,</w:t>
      </w:r>
    </w:p>
    <w:p>
      <w:pPr>
        <w:spacing w:after="0" w:line="46" w:lineRule="exact"/>
        <w:rPr>
          <w:sz w:val="20"/>
          <w:szCs w:val="20"/>
          <w:color w:val="auto"/>
        </w:rPr>
      </w:pPr>
    </w:p>
    <w:p>
      <w:pPr>
        <w:ind w:left="264" w:hanging="264"/>
        <w:spacing w:after="0"/>
        <w:tabs>
          <w:tab w:leader="none" w:pos="26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merger, reorganization or consolidation pursuant to which the holders of the Company’s outstanding voting power and outstanding stock</w:t>
      </w:r>
    </w:p>
    <w:p>
      <w:pPr>
        <w:spacing w:after="0" w:line="20" w:lineRule="exact"/>
        <w:rPr>
          <w:rFonts w:ascii="Arial" w:cs="Arial" w:eastAsia="Arial" w:hAnsi="Arial"/>
          <w:sz w:val="17"/>
          <w:szCs w:val="17"/>
          <w:color w:val="auto"/>
        </w:rPr>
      </w:pPr>
    </w:p>
    <w:p>
      <w:pPr>
        <w:ind w:left="4"/>
        <w:spacing w:after="0" w:line="269" w:lineRule="auto"/>
        <w:rPr>
          <w:rFonts w:ascii="Arial" w:cs="Arial" w:eastAsia="Arial" w:hAnsi="Arial"/>
          <w:sz w:val="17"/>
          <w:szCs w:val="17"/>
          <w:color w:val="auto"/>
        </w:rPr>
      </w:pPr>
      <w:r>
        <w:rPr>
          <w:rFonts w:ascii="Arial" w:cs="Arial" w:eastAsia="Arial" w:hAnsi="Arial"/>
          <w:sz w:val="17"/>
          <w:szCs w:val="17"/>
          <w:color w:val="auto"/>
        </w:rPr>
        <w:t>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(for the avoidance of doubt, any change in majority voting power resulting from the conversion of Class B common stock of the Company to Class A common stock of the Company by an individual stockholder shall not, on its own, constitute a Sale Event).</w:t>
      </w:r>
    </w:p>
    <w:p>
      <w:pPr>
        <w:spacing w:after="0" w:line="180"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an employee, director or Consultant of the Company or any Affiliate (e.g.,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shall be deemed to continue without interruption in the event an individual’s status changes from full-time employee to part-time employee or Consultant).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i w:val="1"/>
          <w:iCs w:val="1"/>
          <w:color w:val="auto"/>
        </w:rPr>
        <w:t xml:space="preserve">“Stock” </w:t>
      </w:r>
      <w:r>
        <w:rPr>
          <w:rFonts w:ascii="Arial" w:cs="Arial" w:eastAsia="Arial" w:hAnsi="Arial"/>
          <w:sz w:val="17"/>
          <w:szCs w:val="17"/>
          <w:color w:val="auto"/>
        </w:rPr>
        <w:t>means the Class A Common Stock, par value $0.0001 per share, of the Company, subject to adjustments pursuant to Section 3.</w:t>
      </w:r>
    </w:p>
    <w:p>
      <w:pPr>
        <w:spacing w:after="0" w:line="237" w:lineRule="exact"/>
        <w:rPr>
          <w:sz w:val="20"/>
          <w:szCs w:val="20"/>
          <w:color w:val="auto"/>
        </w:rPr>
      </w:pPr>
    </w:p>
    <w:p>
      <w:pPr>
        <w:jc w:val="both"/>
        <w:ind w:left="4" w:right="40" w:firstLine="440"/>
        <w:spacing w:after="0" w:line="311"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(or cash, to the extent explicitly provided for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49"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70" w:lineRule="exact"/>
        <w:rPr>
          <w:sz w:val="20"/>
          <w:szCs w:val="20"/>
          <w:color w:val="auto"/>
        </w:rPr>
      </w:pPr>
    </w:p>
    <w:p>
      <w:pPr>
        <w:ind w:left="4" w:right="120" w:firstLine="440"/>
        <w:spacing w:after="0" w:line="308" w:lineRule="auto"/>
        <w:rPr>
          <w:sz w:val="20"/>
          <w:szCs w:val="20"/>
          <w:color w:val="auto"/>
        </w:rPr>
      </w:pPr>
      <w:r>
        <w:rPr>
          <w:rFonts w:ascii="Arial" w:cs="Arial" w:eastAsia="Arial" w:hAnsi="Arial"/>
          <w:sz w:val="17"/>
          <w:szCs w:val="17"/>
          <w:i w:val="1"/>
          <w:iCs w:val="1"/>
          <w:color w:val="auto"/>
        </w:rPr>
        <w:t xml:space="preserve">“Ten Percent Owner” </w:t>
      </w:r>
      <w:r>
        <w:rPr>
          <w:rFonts w:ascii="Arial" w:cs="Arial" w:eastAsia="Arial" w:hAnsi="Arial"/>
          <w:sz w:val="17"/>
          <w:szCs w:val="17"/>
          <w:color w:val="auto"/>
        </w:rPr>
        <w:t>means an employee who owns or is deemed to own (by reason of the attribution rules of Section 424(d) of the Code)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10 percent of the combined voting power of all classes of stock of the Company or any parent or subsidiary corporation.</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ADMINISTRATION OF PLAN; ADMINISTRATOR AUTHORITY TO SELECT GRANTEES AND DETERMINE AWARDS</w:t>
      </w:r>
    </w:p>
    <w:p>
      <w:pPr>
        <w:spacing w:after="0" w:line="117" w:lineRule="exact"/>
        <w:rPr>
          <w:sz w:val="20"/>
          <w:szCs w:val="20"/>
          <w:color w:val="auto"/>
        </w:rPr>
      </w:pPr>
    </w:p>
    <w:p>
      <w:pPr>
        <w:ind w:left="680" w:hanging="244"/>
        <w:spacing w:after="0"/>
        <w:tabs>
          <w:tab w:leader="none" w:pos="6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17" w:lineRule="exact"/>
        <w:rPr>
          <w:rFonts w:ascii="Arial" w:cs="Arial" w:eastAsia="Arial" w:hAnsi="Arial"/>
          <w:sz w:val="18"/>
          <w:szCs w:val="18"/>
          <w:color w:val="auto"/>
        </w:rPr>
      </w:pPr>
    </w:p>
    <w:p>
      <w:pPr>
        <w:ind w:right="680" w:firstLine="436"/>
        <w:spacing w:after="0" w:line="277"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17" w:lineRule="exact"/>
        <w:rPr>
          <w:rFonts w:ascii="Arial" w:cs="Arial" w:eastAsia="Arial" w:hAnsi="Arial"/>
          <w:sz w:val="18"/>
          <w:szCs w:val="18"/>
          <w:color w:val="auto"/>
        </w:rPr>
      </w:pPr>
    </w:p>
    <w:p>
      <w:pPr>
        <w:ind w:right="520" w:firstLine="987"/>
        <w:spacing w:after="0" w:line="263" w:lineRule="auto"/>
        <w:tabs>
          <w:tab w:leader="none" w:pos="125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75" w:lineRule="exact"/>
        <w:rPr>
          <w:rFonts w:ascii="Arial" w:cs="Arial" w:eastAsia="Arial" w:hAnsi="Arial"/>
          <w:sz w:val="18"/>
          <w:szCs w:val="18"/>
          <w:color w:val="auto"/>
        </w:rPr>
      </w:pPr>
    </w:p>
    <w:p>
      <w:pPr>
        <w:ind w:left="1300" w:hanging="313"/>
        <w:spacing w:after="0"/>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17" w:lineRule="exact"/>
        <w:rPr>
          <w:rFonts w:ascii="Arial" w:cs="Arial" w:eastAsia="Arial" w:hAnsi="Arial"/>
          <w:sz w:val="18"/>
          <w:szCs w:val="18"/>
          <w:color w:val="auto"/>
        </w:rPr>
      </w:pPr>
    </w:p>
    <w:p>
      <w:pPr>
        <w:ind w:right="40" w:firstLine="987"/>
        <w:spacing w:after="0" w:line="342" w:lineRule="auto"/>
        <w:tabs>
          <w:tab w:leader="none" w:pos="1296"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subject to the provisions of Section 5(c), to extend at any time the period in which Stock Options may be exercised; and</w:t>
      </w:r>
    </w:p>
    <w:p>
      <w:pPr>
        <w:spacing w:after="0" w:line="117" w:lineRule="exact"/>
        <w:rPr>
          <w:rFonts w:ascii="Arial" w:cs="Arial" w:eastAsia="Arial" w:hAnsi="Arial"/>
          <w:sz w:val="18"/>
          <w:szCs w:val="18"/>
          <w:color w:val="auto"/>
        </w:rPr>
      </w:pPr>
    </w:p>
    <w:p>
      <w:pPr>
        <w:ind w:right="120" w:firstLine="987"/>
        <w:spacing w:after="0" w:line="259" w:lineRule="auto"/>
        <w:tabs>
          <w:tab w:leader="none" w:pos="134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117" w:lineRule="exact"/>
        <w:rPr>
          <w:sz w:val="20"/>
          <w:szCs w:val="20"/>
          <w:color w:val="auto"/>
        </w:rPr>
      </w:pPr>
    </w:p>
    <w:p>
      <w:pPr>
        <w:ind w:firstLine="436"/>
        <w:spacing w:after="0" w:line="254" w:lineRule="auto"/>
        <w:tabs>
          <w:tab w:leader="none" w:pos="68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Delegation of Authority to Grant Awards</w:t>
      </w:r>
      <w:r>
        <w:rPr>
          <w:rFonts w:ascii="Arial" w:cs="Arial" w:eastAsia="Arial" w:hAnsi="Arial"/>
          <w:sz w:val="18"/>
          <w:szCs w:val="18"/>
          <w:color w:val="auto"/>
        </w:rPr>
        <w:t>. Subject to applicable law, the Administrator, in its discretion, may delegate to a committee consisting of one or more officers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71" w:name="page272"/>
    <w:bookmarkEnd w:id="271"/>
    <w:p>
      <w:pPr>
        <w:ind w:left="4" w:firstLine="436"/>
        <w:spacing w:after="0" w:line="342" w:lineRule="auto"/>
        <w:tabs>
          <w:tab w:leader="none" w:pos="699"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 Agreement</w:t>
      </w:r>
      <w:r>
        <w:rPr>
          <w:rFonts w:ascii="Arial" w:cs="Arial" w:eastAsia="Arial" w:hAnsi="Arial"/>
          <w:sz w:val="16"/>
          <w:szCs w:val="16"/>
          <w:color w:val="auto"/>
        </w:rPr>
        <w:t>. Awards under the Plan shall be evidenced by Award Agreements that set forth the terms, conditions and limitations for each Award which may include, without limitation, the term of an Award and the provisions applicable in the event employment or service terminates.</w:t>
      </w:r>
    </w:p>
    <w:p>
      <w:pPr>
        <w:spacing w:after="0" w:line="15" w:lineRule="exact"/>
        <w:rPr>
          <w:rFonts w:ascii="Arial" w:cs="Arial" w:eastAsia="Arial" w:hAnsi="Arial"/>
          <w:sz w:val="16"/>
          <w:szCs w:val="16"/>
          <w:color w:val="auto"/>
        </w:rPr>
      </w:pPr>
    </w:p>
    <w:p>
      <w:pPr>
        <w:ind w:left="4" w:right="220" w:firstLine="436"/>
        <w:spacing w:after="0" w:line="273" w:lineRule="auto"/>
        <w:tabs>
          <w:tab w:leader="none" w:pos="689"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69" w:lineRule="exact"/>
        <w:rPr>
          <w:rFonts w:ascii="Arial" w:cs="Arial" w:eastAsia="Arial" w:hAnsi="Arial"/>
          <w:sz w:val="17"/>
          <w:szCs w:val="17"/>
          <w:color w:val="auto"/>
        </w:rPr>
      </w:pPr>
    </w:p>
    <w:p>
      <w:pPr>
        <w:ind w:left="4" w:right="60" w:firstLine="436"/>
        <w:spacing w:after="0" w:line="284" w:lineRule="auto"/>
        <w:tabs>
          <w:tab w:leader="none" w:pos="669"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w:t>
      </w:r>
    </w:p>
    <w:p>
      <w:pPr>
        <w:spacing w:after="0" w:line="2" w:lineRule="exact"/>
        <w:rPr>
          <w:rFonts w:ascii="Arial" w:cs="Arial" w:eastAsia="Arial" w:hAnsi="Arial"/>
          <w:sz w:val="16"/>
          <w:szCs w:val="16"/>
          <w:color w:val="auto"/>
        </w:rPr>
      </w:pPr>
    </w:p>
    <w:p>
      <w:pPr>
        <w:jc w:val="both"/>
        <w:ind w:left="4" w:right="120" w:hanging="4"/>
        <w:spacing w:after="0" w:line="253" w:lineRule="auto"/>
        <w:tabs>
          <w:tab w:leader="none" w:pos="25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30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SUBSTITUTION</w:t>
      </w:r>
    </w:p>
    <w:p>
      <w:pPr>
        <w:spacing w:after="0" w:line="117" w:lineRule="exact"/>
        <w:rPr>
          <w:sz w:val="20"/>
          <w:szCs w:val="20"/>
          <w:color w:val="auto"/>
        </w:rPr>
      </w:pPr>
    </w:p>
    <w:p>
      <w:pPr>
        <w:ind w:left="4" w:firstLine="436"/>
        <w:spacing w:after="0" w:line="257" w:lineRule="auto"/>
        <w:tabs>
          <w:tab w:leader="none" w:pos="689"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Stock Issuable</w:t>
      </w:r>
      <w:r>
        <w:rPr>
          <w:rFonts w:ascii="Arial" w:cs="Arial" w:eastAsia="Arial" w:hAnsi="Arial"/>
          <w:sz w:val="18"/>
          <w:szCs w:val="18"/>
          <w:color w:val="auto"/>
        </w:rPr>
        <w:t>. The maximum number of shares of Stock reserved and available for issuance under the Plan shall be 60,000,000 shares (the “Initial Limit”), subject to adjustment as provided in this Section 3, plus on January 1, 2022 and each January 1 thereafter, the number of shares of Stock reserved and available for issuance under the Plan shall be cumulatively increased by five percent (5%) of the number of shares of Class A and Class B common stock issued and outstanding on the immediately preceding December 31 or such lesser amount as determined by the Administrator (the “Annual Increase”). Subject to such overall</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72" w:name="page273"/>
    <w:bookmarkEnd w:id="272"/>
    <w:p>
      <w:pPr>
        <w:ind w:left="4" w:right="4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the maximum aggregate number of shares of Stock that may be issued in the form of Incentive Stock Options shall not exceed the Initial Limit cumulatively increased on January 1, 2022 and on each January 1 thereafter by the lesser of the Annual Increase for such year or</w:t>
      </w:r>
    </w:p>
    <w:p>
      <w:pPr>
        <w:ind w:left="4" w:right="40"/>
        <w:spacing w:after="0" w:line="287" w:lineRule="auto"/>
        <w:rPr>
          <w:sz w:val="20"/>
          <w:szCs w:val="20"/>
          <w:color w:val="auto"/>
        </w:rPr>
      </w:pPr>
      <w:r>
        <w:rPr>
          <w:rFonts w:ascii="Arial" w:cs="Arial" w:eastAsia="Arial" w:hAnsi="Arial"/>
          <w:sz w:val="16"/>
          <w:szCs w:val="16"/>
          <w:color w:val="auto"/>
        </w:rPr>
        <w:t>60,000,000 shares of Stock, subject in all cases to adjustment as provided in this Section 3. For purposes of this limitation, the shares of Stock underlying any awards under the Plan and the shares of Class B common stock of the Company underlying any awards under the Company’s 2011 Equity Incentive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(provided, that any such shares of Class B common stock of the Company shall first be converted to shares of Class A common stock of the Company). The shares available for issuance under the Plan may be authorized but unissued shares of Stock or shares of Stock reacquired by the Company.</w:t>
      </w:r>
    </w:p>
    <w:p>
      <w:pPr>
        <w:spacing w:after="0" w:line="62" w:lineRule="exact"/>
        <w:rPr>
          <w:sz w:val="20"/>
          <w:szCs w:val="20"/>
          <w:color w:val="auto"/>
        </w:rPr>
      </w:pPr>
    </w:p>
    <w:p>
      <w:pPr>
        <w:ind w:left="4" w:right="80" w:firstLine="436"/>
        <w:spacing w:after="0" w:line="284" w:lineRule="auto"/>
        <w:tabs>
          <w:tab w:leader="none" w:pos="699"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w:t>
      </w:r>
    </w:p>
    <w:p>
      <w:pPr>
        <w:spacing w:after="0" w:line="4" w:lineRule="exact"/>
        <w:rPr>
          <w:rFonts w:ascii="Arial" w:cs="Arial" w:eastAsia="Arial" w:hAnsi="Arial"/>
          <w:sz w:val="16"/>
          <w:szCs w:val="16"/>
          <w:color w:val="auto"/>
        </w:rPr>
      </w:pPr>
    </w:p>
    <w:p>
      <w:pPr>
        <w:ind w:left="4" w:hanging="4"/>
        <w:spacing w:after="0" w:line="286" w:lineRule="auto"/>
        <w:tabs>
          <w:tab w:leader="none" w:pos="21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64" w:lineRule="exact"/>
        <w:rPr>
          <w:rFonts w:ascii="Arial" w:cs="Arial" w:eastAsia="Arial" w:hAnsi="Arial"/>
          <w:sz w:val="16"/>
          <w:szCs w:val="16"/>
          <w:color w:val="auto"/>
        </w:rPr>
      </w:pPr>
    </w:p>
    <w:p>
      <w:pPr>
        <w:ind w:left="4" w:right="100" w:firstLine="436"/>
        <w:spacing w:after="0" w:line="259" w:lineRule="auto"/>
        <w:tabs>
          <w:tab w:leader="none" w:pos="689"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Mergers and Other Transactions</w:t>
      </w:r>
      <w:r>
        <w:rPr>
          <w:rFonts w:ascii="Arial" w:cs="Arial" w:eastAsia="Arial" w:hAnsi="Arial"/>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73" w:name="page274"/>
    <w:bookmarkEnd w:id="273"/>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w:t>
      </w:r>
    </w:p>
    <w:p>
      <w:pPr>
        <w:spacing w:after="0" w:line="3" w:lineRule="exact"/>
        <w:rPr>
          <w:sz w:val="20"/>
          <w:szCs w:val="20"/>
          <w:color w:val="auto"/>
        </w:rPr>
      </w:pPr>
    </w:p>
    <w:p>
      <w:pPr>
        <w:ind w:left="4" w:right="20" w:hanging="4"/>
        <w:spacing w:after="0" w:line="253" w:lineRule="auto"/>
        <w:tabs>
          <w:tab w:leader="none" w:pos="26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84" w:lineRule="exact"/>
        <w:rPr>
          <w:rFonts w:ascii="Arial" w:cs="Arial" w:eastAsia="Arial" w:hAnsi="Arial"/>
          <w:sz w:val="18"/>
          <w:szCs w:val="18"/>
          <w:color w:val="auto"/>
        </w:rPr>
      </w:pPr>
    </w:p>
    <w:p>
      <w:pPr>
        <w:ind w:left="4" w:right="120" w:firstLine="436"/>
        <w:spacing w:after="0" w:line="255" w:lineRule="auto"/>
        <w:tabs>
          <w:tab w:leader="none" w:pos="699"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shall not exceed $750,000; provided, however, that such amount shall be $1,000,000 for the calendar year in which the applicable Non-Employee Director is initially elected or appointed to the Board except for in the first year of service.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117"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Arial" w:cs="Arial" w:eastAsia="Arial" w:hAnsi="Arial"/>
          <w:sz w:val="18"/>
          <w:szCs w:val="18"/>
          <w:u w:val="single" w:color="auto"/>
          <w:color w:val="auto"/>
        </w:rPr>
        <w:t>STOCK OPTIONS</w:t>
      </w:r>
    </w:p>
    <w:p>
      <w:pPr>
        <w:spacing w:after="0" w:line="117" w:lineRule="exact"/>
        <w:rPr>
          <w:sz w:val="20"/>
          <w:szCs w:val="20"/>
          <w:color w:val="auto"/>
        </w:rPr>
      </w:pPr>
    </w:p>
    <w:p>
      <w:pPr>
        <w:ind w:firstLine="436"/>
        <w:spacing w:after="0" w:line="277" w:lineRule="auto"/>
        <w:tabs>
          <w:tab w:leader="none" w:pos="685"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Award of Stock Options</w:t>
      </w:r>
      <w:r>
        <w:rPr>
          <w:rFonts w:ascii="Arial" w:cs="Arial" w:eastAsia="Arial" w:hAnsi="Arial"/>
          <w:sz w:val="18"/>
          <w:szCs w:val="18"/>
          <w:color w:val="auto"/>
        </w:rPr>
        <w:t>. The Administrator may grant Stock Options under the Plan. Any Stock Option granted under the Plan shall be in such form as the Administrator may from time to time approve.</w:t>
      </w:r>
    </w:p>
    <w:p>
      <w:pPr>
        <w:spacing w:after="0" w:line="170"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grantee’s election, subject to such terms and conditions as the Administrator may establish.</w:t>
      </w:r>
    </w:p>
    <w:p>
      <w:pPr>
        <w:spacing w:after="0" w:line="41" w:lineRule="exact"/>
        <w:rPr>
          <w:sz w:val="20"/>
          <w:szCs w:val="20"/>
          <w:color w:val="auto"/>
        </w:rPr>
      </w:pPr>
    </w:p>
    <w:p>
      <w:pPr>
        <w:ind w:right="100" w:firstLine="436"/>
        <w:spacing w:after="0" w:line="286" w:lineRule="auto"/>
        <w:tabs>
          <w:tab w:leader="none" w:pos="695"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w:t>
      </w:r>
    </w:p>
    <w:p>
      <w:pPr>
        <w:spacing w:after="0" w:line="1" w:lineRule="exact"/>
        <w:rPr>
          <w:rFonts w:ascii="Arial" w:cs="Arial" w:eastAsia="Arial" w:hAnsi="Arial"/>
          <w:sz w:val="16"/>
          <w:szCs w:val="16"/>
          <w:color w:val="auto"/>
        </w:rPr>
      </w:pPr>
    </w:p>
    <w:p>
      <w:pPr>
        <w:ind w:right="240"/>
        <w:spacing w:after="0" w:line="255" w:lineRule="auto"/>
        <w:rPr>
          <w:rFonts w:ascii="Arial" w:cs="Arial" w:eastAsia="Arial" w:hAnsi="Arial"/>
          <w:sz w:val="16"/>
          <w:szCs w:val="16"/>
          <w:color w:val="auto"/>
        </w:rPr>
      </w:pPr>
      <w:r>
        <w:rPr>
          <w:rFonts w:ascii="Arial" w:cs="Arial" w:eastAsia="Arial" w:hAnsi="Arial"/>
          <w:sz w:val="18"/>
          <w:szCs w:val="18"/>
          <w:color w:val="auto"/>
        </w:rPr>
        <w:t>100 percent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w:t>
      </w:r>
    </w:p>
    <w:p>
      <w:pPr>
        <w:spacing w:after="0" w:line="81" w:lineRule="exact"/>
        <w:rPr>
          <w:rFonts w:ascii="Arial" w:cs="Arial" w:eastAsia="Arial" w:hAnsi="Arial"/>
          <w:sz w:val="16"/>
          <w:szCs w:val="16"/>
          <w:color w:val="auto"/>
        </w:rPr>
      </w:pPr>
    </w:p>
    <w:p>
      <w:pPr>
        <w:jc w:val="both"/>
        <w:ind w:right="20" w:firstLine="436"/>
        <w:spacing w:after="0" w:line="263" w:lineRule="auto"/>
        <w:tabs>
          <w:tab w:leader="none" w:pos="68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75" w:lineRule="exact"/>
        <w:rPr>
          <w:rFonts w:ascii="Arial" w:cs="Arial" w:eastAsia="Arial" w:hAnsi="Arial"/>
          <w:sz w:val="18"/>
          <w:szCs w:val="18"/>
          <w:color w:val="auto"/>
        </w:rPr>
      </w:pPr>
    </w:p>
    <w:p>
      <w:pPr>
        <w:ind w:firstLine="436"/>
        <w:spacing w:after="0" w:line="259" w:lineRule="auto"/>
        <w:tabs>
          <w:tab w:leader="none" w:pos="69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78" w:lineRule="exact"/>
        <w:rPr>
          <w:rFonts w:ascii="Arial" w:cs="Arial" w:eastAsia="Arial" w:hAnsi="Arial"/>
          <w:sz w:val="18"/>
          <w:szCs w:val="18"/>
          <w:color w:val="auto"/>
        </w:rPr>
      </w:pPr>
    </w:p>
    <w:p>
      <w:pPr>
        <w:jc w:val="both"/>
        <w:ind w:right="300" w:firstLine="436"/>
        <w:spacing w:after="0" w:line="263" w:lineRule="auto"/>
        <w:tabs>
          <w:tab w:leader="none" w:pos="68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spacing w:after="0" w:line="75" w:lineRule="exact"/>
        <w:rPr>
          <w:rFonts w:ascii="Arial" w:cs="Arial" w:eastAsia="Arial" w:hAnsi="Arial"/>
          <w:sz w:val="18"/>
          <w:szCs w:val="18"/>
          <w:color w:val="auto"/>
        </w:rPr>
      </w:pPr>
    </w:p>
    <w:p>
      <w:pPr>
        <w:ind w:left="1200" w:hanging="213"/>
        <w:spacing w:after="0"/>
        <w:tabs>
          <w:tab w:leader="none" w:pos="12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75" w:name="page276"/>
    <w:bookmarkEnd w:id="275"/>
    <w:p>
      <w:pPr>
        <w:ind w:firstLine="987"/>
        <w:spacing w:after="0" w:line="342" w:lineRule="auto"/>
        <w:tabs>
          <w:tab w:leader="none" w:pos="1256" w:val="left"/>
        </w:tabs>
        <w:numPr>
          <w:ilvl w:val="0"/>
          <w:numId w:val="1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5" w:lineRule="exact"/>
        <w:rPr>
          <w:rFonts w:ascii="Arial" w:cs="Arial" w:eastAsia="Arial" w:hAnsi="Arial"/>
          <w:sz w:val="16"/>
          <w:szCs w:val="16"/>
          <w:color w:val="auto"/>
        </w:rPr>
      </w:pPr>
    </w:p>
    <w:p>
      <w:pPr>
        <w:ind w:right="60" w:firstLine="987"/>
        <w:spacing w:after="0" w:line="279" w:lineRule="auto"/>
        <w:tabs>
          <w:tab w:leader="none" w:pos="130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63" w:lineRule="exact"/>
        <w:rPr>
          <w:rFonts w:ascii="Arial" w:cs="Arial" w:eastAsia="Arial" w:hAnsi="Arial"/>
          <w:sz w:val="17"/>
          <w:szCs w:val="17"/>
          <w:color w:val="auto"/>
        </w:rPr>
      </w:pPr>
    </w:p>
    <w:p>
      <w:pPr>
        <w:jc w:val="both"/>
        <w:ind w:right="140" w:firstLine="987"/>
        <w:spacing w:after="0" w:line="263" w:lineRule="auto"/>
        <w:tabs>
          <w:tab w:leader="none" w:pos="129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her/his stead in accordance with the provisions of the Stock Option) by the Company of the full purchase price for such shares and the fulfillment of any other requirements contained in the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73" w:lineRule="exact"/>
        <w:rPr>
          <w:sz w:val="20"/>
          <w:szCs w:val="20"/>
          <w:color w:val="auto"/>
        </w:rPr>
      </w:pPr>
    </w:p>
    <w:p>
      <w:pPr>
        <w:ind w:firstLine="436"/>
        <w:spacing w:after="0" w:line="301" w:lineRule="auto"/>
        <w:tabs>
          <w:tab w:leader="none" w:pos="665"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Annual Limit on Incentive Stock Options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STOCK APPRECIATION RIGHTS</w:t>
      </w:r>
    </w:p>
    <w:p>
      <w:pPr>
        <w:spacing w:after="0" w:line="117" w:lineRule="exact"/>
        <w:rPr>
          <w:sz w:val="20"/>
          <w:szCs w:val="20"/>
          <w:color w:val="auto"/>
        </w:rPr>
      </w:pPr>
    </w:p>
    <w:p>
      <w:pPr>
        <w:ind w:right="180" w:firstLine="436"/>
        <w:spacing w:after="0" w:line="301" w:lineRule="auto"/>
        <w:tabs>
          <w:tab w:leader="none" w:pos="685"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Award of Stock Appreciation Rights</w:t>
      </w:r>
      <w:r>
        <w:rPr>
          <w:rFonts w:ascii="Arial" w:cs="Arial" w:eastAsia="Arial" w:hAnsi="Arial"/>
          <w:sz w:val="16"/>
          <w:szCs w:val="16"/>
          <w:color w:val="auto"/>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76" w:name="page277"/>
    <w:bookmarkEnd w:id="276"/>
    <w:p>
      <w:pPr>
        <w:ind w:left="4" w:right="280" w:firstLine="436"/>
        <w:spacing w:after="0" w:line="277" w:lineRule="auto"/>
        <w:tabs>
          <w:tab w:leader="none" w:pos="699"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62" w:lineRule="exact"/>
        <w:rPr>
          <w:rFonts w:ascii="Arial" w:cs="Arial" w:eastAsia="Arial" w:hAnsi="Arial"/>
          <w:sz w:val="18"/>
          <w:szCs w:val="18"/>
          <w:color w:val="auto"/>
        </w:rPr>
      </w:pPr>
    </w:p>
    <w:p>
      <w:pPr>
        <w:ind w:left="4" w:right="60" w:firstLine="436"/>
        <w:spacing w:after="0" w:line="277" w:lineRule="auto"/>
        <w:tabs>
          <w:tab w:leader="none" w:pos="689"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62" w:lineRule="exact"/>
        <w:rPr>
          <w:rFonts w:ascii="Arial" w:cs="Arial" w:eastAsia="Arial" w:hAnsi="Arial"/>
          <w:sz w:val="18"/>
          <w:szCs w:val="18"/>
          <w:color w:val="auto"/>
        </w:rPr>
      </w:pPr>
    </w:p>
    <w:p>
      <w:pPr>
        <w:ind w:left="4" w:right="280" w:firstLine="436"/>
        <w:spacing w:after="0" w:line="311" w:lineRule="auto"/>
        <w:tabs>
          <w:tab w:leader="none" w:pos="699"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Terms and Conditions of Stock Appreciation Rights</w:t>
      </w:r>
      <w:r>
        <w:rPr>
          <w:rFonts w:ascii="Arial" w:cs="Arial" w:eastAsia="Arial" w:hAnsi="Arial"/>
          <w:sz w:val="16"/>
          <w:szCs w:val="16"/>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RESTRICTED STOCK AWARDS</w:t>
      </w:r>
    </w:p>
    <w:p>
      <w:pPr>
        <w:spacing w:after="0" w:line="117" w:lineRule="exact"/>
        <w:rPr>
          <w:sz w:val="20"/>
          <w:szCs w:val="20"/>
          <w:color w:val="auto"/>
        </w:rPr>
      </w:pPr>
    </w:p>
    <w:p>
      <w:pPr>
        <w:ind w:left="4" w:firstLine="436"/>
        <w:spacing w:after="0" w:line="311" w:lineRule="auto"/>
        <w:tabs>
          <w:tab w:leader="none" w:pos="689"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40" w:lineRule="exact"/>
        <w:rPr>
          <w:rFonts w:ascii="Arial" w:cs="Arial" w:eastAsia="Arial" w:hAnsi="Arial"/>
          <w:sz w:val="16"/>
          <w:szCs w:val="16"/>
          <w:color w:val="auto"/>
        </w:rPr>
      </w:pPr>
    </w:p>
    <w:p>
      <w:pPr>
        <w:jc w:val="both"/>
        <w:ind w:left="4" w:right="80" w:firstLine="436"/>
        <w:spacing w:after="0" w:line="284" w:lineRule="auto"/>
        <w:tabs>
          <w:tab w:leader="none" w:pos="699"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4" w:lineRule="exact"/>
        <w:rPr>
          <w:rFonts w:ascii="Arial" w:cs="Arial" w:eastAsia="Arial" w:hAnsi="Arial"/>
          <w:sz w:val="16"/>
          <w:szCs w:val="16"/>
          <w:color w:val="auto"/>
        </w:rPr>
      </w:pPr>
    </w:p>
    <w:p>
      <w:pPr>
        <w:ind w:left="4" w:right="280" w:hanging="4"/>
        <w:spacing w:after="0" w:line="255" w:lineRule="auto"/>
        <w:tabs>
          <w:tab w:leader="none" w:pos="26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81" w:lineRule="exact"/>
        <w:rPr>
          <w:rFonts w:ascii="Arial" w:cs="Arial" w:eastAsia="Arial" w:hAnsi="Arial"/>
          <w:sz w:val="18"/>
          <w:szCs w:val="18"/>
          <w:color w:val="auto"/>
        </w:rPr>
      </w:pPr>
    </w:p>
    <w:p>
      <w:pPr>
        <w:ind w:left="4" w:right="20" w:firstLine="436"/>
        <w:spacing w:after="0" w:line="255" w:lineRule="auto"/>
        <w:tabs>
          <w:tab w:leader="none" w:pos="689"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277" w:name="page278"/>
    <w:bookmarkEnd w:id="277"/>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79" w:lineRule="exact"/>
        <w:rPr>
          <w:sz w:val="20"/>
          <w:szCs w:val="20"/>
          <w:color w:val="auto"/>
        </w:rPr>
      </w:pPr>
    </w:p>
    <w:p>
      <w:pPr>
        <w:ind w:right="60" w:firstLine="436"/>
        <w:spacing w:after="0" w:line="301" w:lineRule="auto"/>
        <w:tabs>
          <w:tab w:leader="none" w:pos="695"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Vesting of Restricted Shares</w:t>
      </w:r>
      <w:r>
        <w:rPr>
          <w:rFonts w:ascii="Arial" w:cs="Arial" w:eastAsia="Arial" w:hAnsi="Arial"/>
          <w:sz w:val="16"/>
          <w:szCs w:val="16"/>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117" w:lineRule="exact"/>
        <w:rPr>
          <w:sz w:val="20"/>
          <w:szCs w:val="20"/>
          <w:color w:val="auto"/>
        </w:rPr>
      </w:pPr>
    </w:p>
    <w:p>
      <w:pPr>
        <w:ind w:right="40" w:firstLine="436"/>
        <w:spacing w:after="0" w:line="290" w:lineRule="auto"/>
        <w:tabs>
          <w:tab w:leader="none" w:pos="685"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57" w:lineRule="exact"/>
        <w:rPr>
          <w:rFonts w:ascii="Arial" w:cs="Arial" w:eastAsia="Arial" w:hAnsi="Arial"/>
          <w:sz w:val="16"/>
          <w:szCs w:val="16"/>
          <w:color w:val="auto"/>
        </w:rPr>
      </w:pPr>
    </w:p>
    <w:p>
      <w:pPr>
        <w:ind w:firstLine="436"/>
        <w:spacing w:after="0" w:line="270" w:lineRule="auto"/>
        <w:tabs>
          <w:tab w:leader="none" w:pos="695"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Election to Receive Restricted Stock Units in Lieu of Compensation</w:t>
      </w:r>
      <w:r>
        <w:rPr>
          <w:rFonts w:ascii="Arial" w:cs="Arial" w:eastAsia="Arial" w:hAnsi="Arial"/>
          <w:sz w:val="17"/>
          <w:szCs w:val="17"/>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spacing w:after="0" w:line="72" w:lineRule="exact"/>
        <w:rPr>
          <w:rFonts w:ascii="Arial" w:cs="Arial" w:eastAsia="Arial" w:hAnsi="Arial"/>
          <w:sz w:val="17"/>
          <w:szCs w:val="17"/>
          <w:color w:val="auto"/>
        </w:rPr>
      </w:pPr>
    </w:p>
    <w:p>
      <w:pPr>
        <w:jc w:val="both"/>
        <w:ind w:right="120" w:firstLine="436"/>
        <w:spacing w:after="0" w:line="311" w:lineRule="auto"/>
        <w:tabs>
          <w:tab w:leader="none" w:pos="685"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her/his Restricted Stock Units, subject to the provisions of Section 11 and such terms and conditions as the Administrator may determine.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78" w:name="page279"/>
    <w:bookmarkEnd w:id="278"/>
    <w:p>
      <w:pPr>
        <w:jc w:val="both"/>
        <w:ind w:right="340" w:firstLine="436"/>
        <w:spacing w:after="0" w:line="286" w:lineRule="auto"/>
        <w:tabs>
          <w:tab w:leader="none" w:pos="695"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Arial" w:cs="Arial" w:eastAsia="Arial" w:hAnsi="Arial"/>
          <w:sz w:val="17"/>
          <w:szCs w:val="17"/>
          <w:color w:val="auto"/>
        </w:rPr>
        <w:t>.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UNRESTRICTED STOCK AWARDS</w:t>
      </w:r>
    </w:p>
    <w:p>
      <w:pPr>
        <w:spacing w:after="0" w:line="117" w:lineRule="exact"/>
        <w:rPr>
          <w:sz w:val="20"/>
          <w:szCs w:val="20"/>
          <w:color w:val="auto"/>
        </w:rPr>
      </w:pPr>
    </w:p>
    <w:p>
      <w:pPr>
        <w:ind w:firstLine="436"/>
        <w:spacing w:after="0" w:line="259" w:lineRule="auto"/>
        <w:tabs>
          <w:tab w:leader="none" w:pos="685"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CASH-BASED AWARDS</w:t>
      </w:r>
    </w:p>
    <w:p>
      <w:pPr>
        <w:spacing w:after="0" w:line="117" w:lineRule="exact"/>
        <w:rPr>
          <w:sz w:val="20"/>
          <w:szCs w:val="20"/>
          <w:color w:val="auto"/>
        </w:rPr>
      </w:pPr>
    </w:p>
    <w:p>
      <w:pPr>
        <w:ind w:firstLine="436"/>
        <w:spacing w:after="0" w:line="273" w:lineRule="auto"/>
        <w:tabs>
          <w:tab w:leader="none" w:pos="685"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Grant of Cash-Based Awards</w:t>
      </w:r>
      <w:r>
        <w:rPr>
          <w:rFonts w:ascii="Arial" w:cs="Arial" w:eastAsia="Arial" w:hAnsi="Arial"/>
          <w:sz w:val="17"/>
          <w:szCs w:val="17"/>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DIVIDEND EQUIVALENT RIGHTS</w:t>
      </w:r>
    </w:p>
    <w:p>
      <w:pPr>
        <w:spacing w:after="0" w:line="117" w:lineRule="exact"/>
        <w:rPr>
          <w:sz w:val="20"/>
          <w:szCs w:val="20"/>
          <w:color w:val="auto"/>
        </w:rPr>
      </w:pPr>
    </w:p>
    <w:p>
      <w:pPr>
        <w:ind w:right="80" w:firstLine="436"/>
        <w:spacing w:after="0" w:line="269" w:lineRule="auto"/>
        <w:tabs>
          <w:tab w:leader="none" w:pos="685"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79" w:name="page280"/>
    <w:bookmarkEnd w:id="279"/>
    <w:p>
      <w:pPr>
        <w:jc w:val="both"/>
        <w:ind w:right="280" w:firstLine="436"/>
        <w:spacing w:after="0" w:line="263"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Arial" w:cs="Arial" w:eastAsia="Arial" w:hAnsi="Arial"/>
          <w:sz w:val="18"/>
          <w:szCs w:val="18"/>
          <w:color w:val="auto"/>
        </w:rPr>
        <w:t>.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TRANSFERABILITY OF AWARDS</w:t>
      </w:r>
    </w:p>
    <w:p>
      <w:pPr>
        <w:spacing w:after="0" w:line="117" w:lineRule="exact"/>
        <w:rPr>
          <w:sz w:val="20"/>
          <w:szCs w:val="20"/>
          <w:color w:val="auto"/>
        </w:rPr>
      </w:pPr>
    </w:p>
    <w:p>
      <w:pPr>
        <w:ind w:firstLine="436"/>
        <w:spacing w:after="0" w:line="257" w:lineRule="auto"/>
        <w:tabs>
          <w:tab w:leader="none" w:pos="68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Section 12(b) below, during a grantee’s lifetime, her/his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79" w:lineRule="exact"/>
        <w:rPr>
          <w:rFonts w:ascii="Arial" w:cs="Arial" w:eastAsia="Arial" w:hAnsi="Arial"/>
          <w:sz w:val="18"/>
          <w:szCs w:val="18"/>
          <w:color w:val="auto"/>
        </w:rPr>
      </w:pPr>
    </w:p>
    <w:p>
      <w:pPr>
        <w:ind w:right="100" w:firstLine="436"/>
        <w:spacing w:after="0" w:line="275" w:lineRule="auto"/>
        <w:tabs>
          <w:tab w:leader="none" w:pos="695"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Administrator Action</w:t>
      </w:r>
      <w:r>
        <w:rPr>
          <w:rFonts w:ascii="Arial" w:cs="Arial" w:eastAsia="Arial" w:hAnsi="Arial"/>
          <w:sz w:val="17"/>
          <w:szCs w:val="17"/>
          <w:color w:val="auto"/>
        </w:rPr>
        <w:t>. Notwithstanding Section 12(a), the Administrator, in its discretion, may provide either in the Award Agreement regarding a given Award or by subsequent written approval that the grantee (who is an employee or director) may transfer her/his or her Non-Qualified Stock Options to her/his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68" w:lineRule="exact"/>
        <w:rPr>
          <w:rFonts w:ascii="Arial" w:cs="Arial" w:eastAsia="Arial" w:hAnsi="Arial"/>
          <w:sz w:val="17"/>
          <w:szCs w:val="17"/>
          <w:color w:val="auto"/>
        </w:rPr>
      </w:pPr>
    </w:p>
    <w:p>
      <w:pPr>
        <w:ind w:right="20" w:firstLine="436"/>
        <w:spacing w:after="0" w:line="275" w:lineRule="auto"/>
        <w:tabs>
          <w:tab w:leader="none" w:pos="685"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68" w:lineRule="exact"/>
        <w:rPr>
          <w:rFonts w:ascii="Arial" w:cs="Arial" w:eastAsia="Arial" w:hAnsi="Arial"/>
          <w:sz w:val="17"/>
          <w:szCs w:val="17"/>
          <w:color w:val="auto"/>
        </w:rPr>
      </w:pPr>
    </w:p>
    <w:p>
      <w:pPr>
        <w:ind w:right="160" w:firstLine="436"/>
        <w:spacing w:after="0" w:line="257"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TAX WITHHOLDING</w:t>
      </w:r>
    </w:p>
    <w:p>
      <w:pPr>
        <w:spacing w:after="0" w:line="117" w:lineRule="exact"/>
        <w:rPr>
          <w:sz w:val="20"/>
          <w:szCs w:val="20"/>
          <w:color w:val="auto"/>
        </w:rPr>
      </w:pPr>
    </w:p>
    <w:p>
      <w:pPr>
        <w:ind w:right="180" w:firstLine="436"/>
        <w:spacing w:after="0" w:line="273" w:lineRule="auto"/>
        <w:tabs>
          <w:tab w:leader="none" w:pos="685"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Payment by Grantee</w:t>
      </w:r>
      <w:r>
        <w:rPr>
          <w:rFonts w:ascii="Arial" w:cs="Arial" w:eastAsia="Arial" w:hAnsi="Arial"/>
          <w:sz w:val="17"/>
          <w:szCs w:val="17"/>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69" w:lineRule="exact"/>
        <w:rPr>
          <w:rFonts w:ascii="Arial" w:cs="Arial" w:eastAsia="Arial" w:hAnsi="Arial"/>
          <w:sz w:val="17"/>
          <w:szCs w:val="17"/>
          <w:color w:val="auto"/>
        </w:rPr>
      </w:pPr>
    </w:p>
    <w:p>
      <w:pPr>
        <w:ind w:right="40" w:firstLine="436"/>
        <w:spacing w:after="0" w:line="254"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SECTION 409A AWARDS</w:t>
      </w:r>
    </w:p>
    <w:p>
      <w:pPr>
        <w:spacing w:after="0" w:line="11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Arial" w:cs="Arial" w:eastAsia="Arial" w:hAnsi="Arial"/>
          <w:sz w:val="18"/>
          <w:szCs w:val="18"/>
          <w:u w:val="single" w:color="auto"/>
          <w:color w:val="auto"/>
        </w:rPr>
        <w:t>TERMINATION OF SERVICE RELATIONSHIP, TRANSFER, LEAVE OF ABSENCE, ETC.</w:t>
      </w:r>
    </w:p>
    <w:p>
      <w:pPr>
        <w:spacing w:after="0" w:line="117" w:lineRule="exact"/>
        <w:rPr>
          <w:sz w:val="20"/>
          <w:szCs w:val="20"/>
          <w:color w:val="auto"/>
        </w:rPr>
      </w:pPr>
    </w:p>
    <w:p>
      <w:pPr>
        <w:ind w:right="220" w:firstLine="436"/>
        <w:spacing w:after="0" w:line="277" w:lineRule="auto"/>
        <w:tabs>
          <w:tab w:leader="none" w:pos="685"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her/his Service Relationship for purposes of the Plan.</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an Affiliate or from the Company to an Affiliate, or from one Affiliate to another; or</w:t>
      </w:r>
    </w:p>
    <w:p>
      <w:pPr>
        <w:spacing w:after="0" w:line="140" w:lineRule="exact"/>
        <w:rPr>
          <w:rFonts w:ascii="Arial" w:cs="Arial" w:eastAsia="Arial" w:hAnsi="Arial"/>
          <w:sz w:val="16"/>
          <w:szCs w:val="16"/>
          <w:color w:val="auto"/>
        </w:rPr>
      </w:pPr>
    </w:p>
    <w:p>
      <w:pPr>
        <w:ind w:right="220" w:firstLine="987"/>
        <w:spacing w:after="0" w:line="263" w:lineRule="auto"/>
        <w:tabs>
          <w:tab w:leader="none" w:pos="125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AMENDMENTS AND TERMINATION</w:t>
      </w:r>
    </w:p>
    <w:p>
      <w:pPr>
        <w:spacing w:after="0" w:line="11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re-grants.To the extent required under the rules of any securities exchange or market system on which the Stock is listed, and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STATUS OF PLAN</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GENERAL PROVISIONS</w:t>
      </w:r>
    </w:p>
    <w:p>
      <w:pPr>
        <w:spacing w:after="0" w:line="117" w:lineRule="exact"/>
        <w:rPr>
          <w:sz w:val="20"/>
          <w:szCs w:val="20"/>
          <w:color w:val="auto"/>
        </w:rPr>
      </w:pPr>
    </w:p>
    <w:p>
      <w:pPr>
        <w:ind w:right="20" w:firstLine="436"/>
        <w:spacing w:after="0" w:line="277"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82" w:name="page283"/>
    <w:bookmarkEnd w:id="282"/>
    <w:p>
      <w:pPr>
        <w:ind w:left="-40" w:firstLine="436"/>
        <w:spacing w:after="0" w:line="285" w:lineRule="auto"/>
        <w:tabs>
          <w:tab w:leader="none" w:pos="655"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68" w:lineRule="exact"/>
        <w:rPr>
          <w:rFonts w:ascii="Arial" w:cs="Arial" w:eastAsia="Arial" w:hAnsi="Arial"/>
          <w:sz w:val="16"/>
          <w:szCs w:val="16"/>
          <w:color w:val="auto"/>
        </w:rPr>
      </w:pPr>
    </w:p>
    <w:p>
      <w:pPr>
        <w:ind w:left="-40" w:firstLine="436"/>
        <w:spacing w:after="0" w:line="263" w:lineRule="auto"/>
        <w:tabs>
          <w:tab w:leader="none" w:pos="64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75" w:lineRule="exact"/>
        <w:rPr>
          <w:rFonts w:ascii="Arial" w:cs="Arial" w:eastAsia="Arial" w:hAnsi="Arial"/>
          <w:sz w:val="18"/>
          <w:szCs w:val="18"/>
          <w:color w:val="auto"/>
        </w:rPr>
      </w:pPr>
    </w:p>
    <w:p>
      <w:pPr>
        <w:ind w:left="-40" w:right="120" w:firstLine="436"/>
        <w:spacing w:after="0" w:line="259" w:lineRule="auto"/>
        <w:tabs>
          <w:tab w:leader="none" w:pos="65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78" w:lineRule="exact"/>
        <w:rPr>
          <w:rFonts w:ascii="Arial" w:cs="Arial" w:eastAsia="Arial" w:hAnsi="Arial"/>
          <w:sz w:val="18"/>
          <w:szCs w:val="18"/>
          <w:color w:val="auto"/>
        </w:rPr>
      </w:pPr>
    </w:p>
    <w:p>
      <w:pPr>
        <w:ind w:left="-40" w:right="160" w:firstLine="436"/>
        <w:spacing w:after="0" w:line="277" w:lineRule="auto"/>
        <w:tabs>
          <w:tab w:leader="none" w:pos="64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62" w:lineRule="exact"/>
        <w:rPr>
          <w:rFonts w:ascii="Arial" w:cs="Arial" w:eastAsia="Arial" w:hAnsi="Arial"/>
          <w:sz w:val="18"/>
          <w:szCs w:val="18"/>
          <w:color w:val="auto"/>
        </w:rPr>
      </w:pPr>
    </w:p>
    <w:p>
      <w:pPr>
        <w:ind w:left="620" w:hanging="224"/>
        <w:spacing w:after="0"/>
        <w:tabs>
          <w:tab w:leader="none" w:pos="62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Awards under the Plan shall be subject to the Company’s clawback policy, as in effect from time to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80" w:top="274" w:right="49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19. </w:t>
      </w:r>
      <w:r>
        <w:rPr>
          <w:rFonts w:ascii="Arial" w:cs="Arial" w:eastAsia="Arial" w:hAnsi="Arial"/>
          <w:sz w:val="18"/>
          <w:szCs w:val="18"/>
          <w:u w:val="single" w:color="auto"/>
          <w:color w:val="auto"/>
        </w:rPr>
        <w:t>EFFECTIVE DATE OF PLAN</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Plan shall become effective upon the date immediately preceding the Registration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May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STOCKHOLDERS: May 28, 2021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84" w:name="page285"/>
    <w:bookmarkEnd w:id="28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Marqeta, Inc. (the “Company”)</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Stock Option and Incentive Plan (the “Plan”)</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UK Sub-Plan</w:t>
      </w:r>
    </w:p>
    <w:p>
      <w:pPr>
        <w:spacing w:after="0" w:line="374" w:lineRule="exact"/>
        <w:rPr>
          <w:sz w:val="20"/>
          <w:szCs w:val="20"/>
          <w:color w:val="auto"/>
        </w:rPr>
      </w:pPr>
    </w:p>
    <w:p>
      <w:pPr>
        <w:ind w:left="424" w:hanging="424"/>
        <w:spacing w:after="0"/>
        <w:tabs>
          <w:tab w:leader="none" w:pos="424"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Purpose and eligibility</w:t>
      </w:r>
    </w:p>
    <w:p>
      <w:pPr>
        <w:spacing w:after="0" w:line="117" w:lineRule="exact"/>
        <w:rPr>
          <w:rFonts w:ascii="Arial" w:cs="Arial" w:eastAsia="Arial" w:hAnsi="Arial"/>
          <w:sz w:val="18"/>
          <w:szCs w:val="18"/>
          <w:color w:val="auto"/>
        </w:rPr>
      </w:pPr>
    </w:p>
    <w:p>
      <w:pPr>
        <w:ind w:left="444" w:right="10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purpose of this sub-plan to the Plan (the </w:t>
      </w:r>
      <w:r>
        <w:rPr>
          <w:rFonts w:ascii="Arial" w:cs="Arial" w:eastAsia="Arial" w:hAnsi="Arial"/>
          <w:sz w:val="18"/>
          <w:szCs w:val="18"/>
          <w:b w:val="1"/>
          <w:bCs w:val="1"/>
          <w:color w:val="auto"/>
        </w:rPr>
        <w:t>“UK Sub-Plan”</w:t>
      </w:r>
      <w:r>
        <w:rPr>
          <w:rFonts w:ascii="Arial" w:cs="Arial" w:eastAsia="Arial" w:hAnsi="Arial"/>
          <w:sz w:val="18"/>
          <w:szCs w:val="18"/>
          <w:color w:val="auto"/>
        </w:rPr>
        <w:t xml:space="preserve">) is to enable the Administrator (or any committee to which the Administrator has delegated its authority under section 2(c) of the Plan) to grant Options (which will be non-tax-advantaged for tax purposes) and Restricted Stock Units to certain Eligible Employees. Options and Restricted Stock Units granted pursuant to the UK Sub-Plan are granted pursuant to an </w:t>
      </w:r>
      <w:r>
        <w:rPr>
          <w:rFonts w:ascii="Arial" w:cs="Arial" w:eastAsia="Arial" w:hAnsi="Arial"/>
          <w:sz w:val="18"/>
          <w:szCs w:val="18"/>
          <w:b w:val="1"/>
          <w:bCs w:val="1"/>
          <w:color w:val="auto"/>
        </w:rPr>
        <w:t xml:space="preserve">“employees’ share scheme” </w:t>
      </w:r>
      <w:r>
        <w:rPr>
          <w:rFonts w:ascii="Arial" w:cs="Arial" w:eastAsia="Arial" w:hAnsi="Arial"/>
          <w:sz w:val="18"/>
          <w:szCs w:val="18"/>
          <w:color w:val="auto"/>
        </w:rPr>
        <w:t>for the purposes of the Financial Services and Markets Act 2000 and section 1166 of the Companies Act 2006.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to whom an Option or a Restricted Stock Unit has been granted under the UK Sub-Plan is a </w:t>
      </w:r>
      <w:r>
        <w:rPr>
          <w:rFonts w:ascii="Arial" w:cs="Arial" w:eastAsia="Arial" w:hAnsi="Arial"/>
          <w:sz w:val="18"/>
          <w:szCs w:val="18"/>
          <w:b w:val="1"/>
          <w:bCs w:val="1"/>
          <w:color w:val="auto"/>
        </w:rPr>
        <w:t>“Grantee”</w:t>
      </w:r>
      <w:r>
        <w:rPr>
          <w:rFonts w:ascii="Arial" w:cs="Arial" w:eastAsia="Arial" w:hAnsi="Arial"/>
          <w:sz w:val="18"/>
          <w:szCs w:val="18"/>
          <w:color w:val="auto"/>
        </w:rPr>
        <w:t xml:space="preserve"> (including, in the case of Options, an “</w:t>
      </w:r>
      <w:r>
        <w:rPr>
          <w:rFonts w:ascii="Arial" w:cs="Arial" w:eastAsia="Arial" w:hAnsi="Arial"/>
          <w:sz w:val="18"/>
          <w:szCs w:val="18"/>
          <w:b w:val="1"/>
          <w:bCs w:val="1"/>
          <w:color w:val="auto"/>
        </w:rPr>
        <w:t>Optionee</w:t>
      </w:r>
      <w:r>
        <w:rPr>
          <w:rFonts w:ascii="Arial" w:cs="Arial" w:eastAsia="Arial" w:hAnsi="Arial"/>
          <w:sz w:val="18"/>
          <w:szCs w:val="18"/>
          <w:color w:val="auto"/>
        </w:rPr>
        <w:t>”) for the purposes of the Plan.</w:t>
      </w:r>
    </w:p>
    <w:p>
      <w:pPr>
        <w:spacing w:after="0" w:line="335" w:lineRule="exact"/>
        <w:rPr>
          <w:rFonts w:ascii="Arial" w:cs="Arial" w:eastAsia="Arial" w:hAnsi="Arial"/>
          <w:sz w:val="18"/>
          <w:szCs w:val="18"/>
          <w:color w:val="auto"/>
        </w:rPr>
      </w:pPr>
    </w:p>
    <w:p>
      <w:pPr>
        <w:ind w:left="424" w:hanging="424"/>
        <w:spacing w:after="0"/>
        <w:tabs>
          <w:tab w:leader="none" w:pos="424"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color w:val="auto"/>
        </w:rPr>
      </w:pPr>
    </w:p>
    <w:p>
      <w:pPr>
        <w:ind w:left="444" w:right="200"/>
        <w:spacing w:after="0" w:line="277" w:lineRule="auto"/>
        <w:rPr>
          <w:rFonts w:ascii="Arial" w:cs="Arial" w:eastAsia="Arial" w:hAnsi="Arial"/>
          <w:sz w:val="18"/>
          <w:szCs w:val="18"/>
          <w:color w:val="auto"/>
        </w:rPr>
      </w:pPr>
      <w:r>
        <w:rPr>
          <w:rFonts w:ascii="Arial" w:cs="Arial" w:eastAsia="Arial" w:hAnsi="Arial"/>
          <w:sz w:val="18"/>
          <w:szCs w:val="18"/>
          <w:color w:val="auto"/>
        </w:rPr>
        <w:t>Unless a contrary intention is expressly stated, definitions used in this UK Sub-Plan are as contained in the Plan, with the following additions or amendments:</w:t>
      </w:r>
    </w:p>
    <w:p>
      <w:pPr>
        <w:spacing w:after="0" w:line="71" w:lineRule="exact"/>
        <w:rPr>
          <w:rFonts w:ascii="Arial" w:cs="Arial" w:eastAsia="Arial" w:hAnsi="Arial"/>
          <w:sz w:val="18"/>
          <w:szCs w:val="18"/>
          <w:color w:val="auto"/>
        </w:rPr>
      </w:pPr>
    </w:p>
    <w:p>
      <w:pPr>
        <w:ind w:left="964" w:hanging="532"/>
        <w:spacing w:after="0"/>
        <w:tabs>
          <w:tab w:leader="none" w:pos="964" w:val="left"/>
        </w:tabs>
        <w:numPr>
          <w:ilvl w:val="1"/>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“Data Protection Law” </w:t>
      </w:r>
      <w:r>
        <w:rPr>
          <w:rFonts w:ascii="Arial" w:cs="Arial" w:eastAsia="Arial" w:hAnsi="Arial"/>
          <w:sz w:val="18"/>
          <w:szCs w:val="18"/>
          <w:color w:val="auto"/>
        </w:rPr>
        <w:t>means:</w:t>
      </w:r>
    </w:p>
    <w:p>
      <w:pPr>
        <w:spacing w:after="0" w:line="134" w:lineRule="exact"/>
        <w:rPr>
          <w:rFonts w:ascii="Arial" w:cs="Arial" w:eastAsia="Arial" w:hAnsi="Arial"/>
          <w:sz w:val="18"/>
          <w:szCs w:val="18"/>
          <w:color w:val="auto"/>
        </w:rPr>
      </w:pPr>
    </w:p>
    <w:p>
      <w:pPr>
        <w:ind w:left="1424" w:hanging="439"/>
        <w:spacing w:after="0" w:line="277" w:lineRule="auto"/>
        <w:tabs>
          <w:tab w:leader="none" w:pos="1424" w:val="left"/>
        </w:tabs>
        <w:numPr>
          <w:ilvl w:val="2"/>
          <w:numId w:val="170"/>
        </w:numPr>
        <w:rPr>
          <w:rFonts w:ascii="Arial" w:cs="Arial" w:eastAsia="Arial" w:hAnsi="Arial"/>
          <w:sz w:val="18"/>
          <w:szCs w:val="18"/>
          <w:color w:val="auto"/>
        </w:rPr>
      </w:pPr>
      <w:r>
        <w:rPr>
          <w:rFonts w:ascii="Arial" w:cs="Arial" w:eastAsia="Arial" w:hAnsi="Arial"/>
          <w:sz w:val="18"/>
          <w:szCs w:val="18"/>
          <w:color w:val="auto"/>
        </w:rPr>
        <w:t>EU Regulation 2016/679 as it forms part of the law of England and Wales by virtue of section 3 of the European Union (Withdrawal) Act 2018 (the “</w:t>
      </w:r>
      <w:r>
        <w:rPr>
          <w:rFonts w:ascii="Arial" w:cs="Arial" w:eastAsia="Arial" w:hAnsi="Arial"/>
          <w:sz w:val="18"/>
          <w:szCs w:val="18"/>
          <w:b w:val="1"/>
          <w:bCs w:val="1"/>
          <w:color w:val="auto"/>
        </w:rPr>
        <w:t>UK GDPR</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170"/>
        </w:numPr>
        <w:rPr>
          <w:rFonts w:ascii="Arial" w:cs="Arial" w:eastAsia="Arial" w:hAnsi="Arial"/>
          <w:sz w:val="18"/>
          <w:szCs w:val="18"/>
          <w:color w:val="auto"/>
        </w:rPr>
      </w:pPr>
      <w:r>
        <w:rPr>
          <w:rFonts w:ascii="Arial" w:cs="Arial" w:eastAsia="Arial" w:hAnsi="Arial"/>
          <w:sz w:val="18"/>
          <w:szCs w:val="18"/>
          <w:color w:val="auto"/>
        </w:rPr>
        <w:t>The Data Protection Act 2018,</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in each case, to the extent in force, and as such are updated, amended or replaced from time to time.</w:t>
      </w:r>
    </w:p>
    <w:p>
      <w:pPr>
        <w:spacing w:after="0" w:line="127" w:lineRule="exact"/>
        <w:rPr>
          <w:sz w:val="20"/>
          <w:szCs w:val="20"/>
          <w:color w:val="auto"/>
        </w:rPr>
      </w:pPr>
    </w:p>
    <w:p>
      <w:pPr>
        <w:ind w:left="964" w:hanging="532"/>
        <w:spacing w:after="0"/>
        <w:tabs>
          <w:tab w:leader="none" w:pos="964" w:val="left"/>
        </w:tabs>
        <w:numPr>
          <w:ilvl w:val="0"/>
          <w:numId w:val="171"/>
        </w:numPr>
        <w:rPr>
          <w:rFonts w:ascii="Arial" w:cs="Arial" w:eastAsia="Arial" w:hAnsi="Arial"/>
          <w:sz w:val="17"/>
          <w:szCs w:val="17"/>
          <w:color w:val="auto"/>
        </w:rPr>
      </w:pPr>
      <w:r>
        <w:rPr>
          <w:rFonts w:ascii="Arial" w:cs="Arial" w:eastAsia="Arial" w:hAnsi="Arial"/>
          <w:sz w:val="17"/>
          <w:szCs w:val="17"/>
          <w:b w:val="1"/>
          <w:bCs w:val="1"/>
          <w:color w:val="auto"/>
        </w:rPr>
        <w:t xml:space="preserve">“Date of Grant” </w:t>
      </w:r>
      <w:r>
        <w:rPr>
          <w:rFonts w:ascii="Arial" w:cs="Arial" w:eastAsia="Arial" w:hAnsi="Arial"/>
          <w:sz w:val="17"/>
          <w:szCs w:val="17"/>
          <w:color w:val="auto"/>
        </w:rPr>
        <w:t>means the date of grant of an Option or a Restricted Stock Unit, as specified in the applicable Award Agreement.</w:t>
      </w:r>
    </w:p>
    <w:p>
      <w:pPr>
        <w:spacing w:after="0" w:line="142" w:lineRule="exact"/>
        <w:rPr>
          <w:rFonts w:ascii="Arial" w:cs="Arial" w:eastAsia="Arial" w:hAnsi="Arial"/>
          <w:sz w:val="17"/>
          <w:szCs w:val="17"/>
          <w:color w:val="auto"/>
        </w:rPr>
      </w:pPr>
    </w:p>
    <w:p>
      <w:pPr>
        <w:ind w:left="964" w:right="60" w:hanging="532"/>
        <w:spacing w:after="0" w:line="282" w:lineRule="auto"/>
        <w:tabs>
          <w:tab w:leader="none" w:pos="96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“Eligible Employee” </w:t>
      </w:r>
      <w:r>
        <w:rPr>
          <w:rFonts w:ascii="Arial" w:cs="Arial" w:eastAsia="Arial" w:hAnsi="Arial"/>
          <w:sz w:val="18"/>
          <w:szCs w:val="18"/>
          <w:color w:val="auto"/>
        </w:rPr>
        <w:t>means an individual who is an executive director or employee of the Company or any Subsidiary and is based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Kingdom.</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in the case of Options, the price payable per share of Stock on the exercise of the Option.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“HMRC” </w:t>
      </w:r>
      <w:r>
        <w:rPr>
          <w:rFonts w:ascii="Arial" w:cs="Arial" w:eastAsia="Arial" w:hAnsi="Arial"/>
          <w:sz w:val="18"/>
          <w:szCs w:val="18"/>
          <w:color w:val="auto"/>
        </w:rPr>
        <w:t>means HM Revenue &amp; Customs.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“ITEPA” </w:t>
      </w:r>
      <w:r>
        <w:rPr>
          <w:rFonts w:ascii="Arial" w:cs="Arial" w:eastAsia="Arial" w:hAnsi="Arial"/>
          <w:sz w:val="18"/>
          <w:szCs w:val="18"/>
          <w:color w:val="auto"/>
        </w:rPr>
        <w:t>means the Income Tax (Earnings and Pensions) Act 2003.</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“Personal Data” </w:t>
      </w:r>
      <w:r>
        <w:rPr>
          <w:rFonts w:ascii="Arial" w:cs="Arial" w:eastAsia="Arial" w:hAnsi="Arial"/>
          <w:sz w:val="18"/>
          <w:szCs w:val="18"/>
          <w:color w:val="auto"/>
        </w:rPr>
        <w:t>means as defined in UK GDPR.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“Tax Liabilities” </w:t>
      </w:r>
      <w:r>
        <w:rPr>
          <w:rFonts w:ascii="Arial" w:cs="Arial" w:eastAsia="Arial" w:hAnsi="Arial"/>
          <w:sz w:val="18"/>
          <w:szCs w:val="18"/>
          <w:color w:val="auto"/>
        </w:rPr>
        <w:t>shall have the meaning set out in paragraph 7.1.</w:t>
      </w:r>
    </w:p>
    <w:p>
      <w:pPr>
        <w:spacing w:after="0" w:line="374" w:lineRule="exact"/>
        <w:rPr>
          <w:sz w:val="20"/>
          <w:szCs w:val="20"/>
          <w:color w:val="auto"/>
        </w:rPr>
      </w:pPr>
    </w:p>
    <w:p>
      <w:pPr>
        <w:ind w:left="424" w:hanging="424"/>
        <w:spacing w:after="0"/>
        <w:tabs>
          <w:tab w:leader="none" w:pos="424"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Options and Restricted Stock Units granted pursuant to the UK Sub-Plan may only be granted to Eligible Employees.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285" w:name="page286"/>
    <w:bookmarkEnd w:id="285"/>
    <w:p>
      <w:pPr>
        <w:ind w:left="424" w:hanging="424"/>
        <w:spacing w:after="0"/>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w:t>
      </w:r>
    </w:p>
    <w:p>
      <w:pPr>
        <w:spacing w:after="0" w:line="121" w:lineRule="exact"/>
        <w:rPr>
          <w:rFonts w:ascii="Arial" w:cs="Arial" w:eastAsia="Arial" w:hAnsi="Arial"/>
          <w:sz w:val="18"/>
          <w:szCs w:val="18"/>
          <w:color w:val="auto"/>
        </w:rPr>
      </w:pPr>
    </w:p>
    <w:p>
      <w:pPr>
        <w:ind w:left="444" w:right="540"/>
        <w:spacing w:after="0" w:line="263" w:lineRule="auto"/>
        <w:rPr>
          <w:rFonts w:ascii="Arial" w:cs="Arial" w:eastAsia="Arial" w:hAnsi="Arial"/>
          <w:sz w:val="18"/>
          <w:szCs w:val="18"/>
          <w:color w:val="auto"/>
        </w:rPr>
      </w:pPr>
      <w:r>
        <w:rPr>
          <w:rFonts w:ascii="Arial" w:cs="Arial" w:eastAsia="Arial" w:hAnsi="Arial"/>
          <w:sz w:val="18"/>
          <w:szCs w:val="18"/>
          <w:color w:val="auto"/>
        </w:rPr>
        <w:t>Options and Restricted Stock Units granted pursuant to the UK Sub-Plan shall be governed by the terms of the Plan, subject to any such amendments set out below and as are necessary to give effect to paragraph 1 of the UK Sub-Plan, and by the terms of the individual Award Agreement entered into between the Company and the Grantee, as appropriate.</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Exercise Price</w:t>
      </w:r>
    </w:p>
    <w:p>
      <w:pPr>
        <w:spacing w:after="0" w:line="121" w:lineRule="exact"/>
        <w:rPr>
          <w:rFonts w:ascii="Arial" w:cs="Arial" w:eastAsia="Arial" w:hAnsi="Arial"/>
          <w:sz w:val="18"/>
          <w:szCs w:val="18"/>
          <w:color w:val="auto"/>
        </w:rPr>
      </w:pPr>
    </w:p>
    <w:p>
      <w:pPr>
        <w:ind w:left="444" w:right="480"/>
        <w:spacing w:after="0" w:line="308" w:lineRule="auto"/>
        <w:rPr>
          <w:rFonts w:ascii="Arial" w:cs="Arial" w:eastAsia="Arial" w:hAnsi="Arial"/>
          <w:sz w:val="18"/>
          <w:szCs w:val="18"/>
          <w:color w:val="auto"/>
        </w:rPr>
      </w:pPr>
      <w:r>
        <w:rPr>
          <w:rFonts w:ascii="Arial" w:cs="Arial" w:eastAsia="Arial" w:hAnsi="Arial"/>
          <w:sz w:val="17"/>
          <w:szCs w:val="17"/>
          <w:color w:val="auto"/>
        </w:rPr>
        <w:t>The Exercise Price of an Option, or any consideration payable by the Grantee upon the delivery of Stock in connection with the vesting of a Restricted Stock Unit shall be determined by the Board on grant and notified to the Grantee in the Award Agreement.</w:t>
      </w:r>
    </w:p>
    <w:p>
      <w:pPr>
        <w:spacing w:after="0" w:line="290" w:lineRule="exact"/>
        <w:rPr>
          <w:rFonts w:ascii="Arial" w:cs="Arial" w:eastAsia="Arial" w:hAnsi="Arial"/>
          <w:sz w:val="18"/>
          <w:szCs w:val="18"/>
          <w:color w:val="auto"/>
        </w:rPr>
      </w:pPr>
    </w:p>
    <w:p>
      <w:pPr>
        <w:ind w:left="424" w:hanging="424"/>
        <w:spacing w:after="0"/>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Withholding obligations</w:t>
      </w:r>
    </w:p>
    <w:p>
      <w:pPr>
        <w:spacing w:after="0" w:line="135" w:lineRule="exact"/>
        <w:rPr>
          <w:sz w:val="20"/>
          <w:szCs w:val="20"/>
          <w:color w:val="auto"/>
        </w:rPr>
      </w:pPr>
    </w:p>
    <w:p>
      <w:pPr>
        <w:ind w:left="424" w:right="20" w:hanging="431"/>
        <w:spacing w:after="0" w:line="279" w:lineRule="auto"/>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 xml:space="preserve">The Grantee shall be accountable for any income tax and, subject to the following provisions, national insurance liability which is chargeable on any assessable income deriving from the exercise of, or other dealing in, an Option and the vesting of, or other dealing in, a Restricted Stock Unit. In respect of such assessable income the Grantee shall indemnify the Company and (at the direction of the Company) any Subsidiary which is or may be treated as the employer of the Grantee in respect of the following (together, the </w:t>
      </w:r>
      <w:r>
        <w:rPr>
          <w:rFonts w:ascii="Arial" w:cs="Arial" w:eastAsia="Arial" w:hAnsi="Arial"/>
          <w:sz w:val="17"/>
          <w:szCs w:val="17"/>
          <w:b w:val="1"/>
          <w:bCs w:val="1"/>
          <w:color w:val="auto"/>
        </w:rPr>
        <w:t>“Tax Liabilities”</w:t>
      </w:r>
      <w:r>
        <w:rPr>
          <w:rFonts w:ascii="Arial" w:cs="Arial" w:eastAsia="Arial" w:hAnsi="Arial"/>
          <w:sz w:val="17"/>
          <w:szCs w:val="17"/>
          <w:color w:val="auto"/>
        </w:rPr>
        <w:t>):</w:t>
      </w:r>
    </w:p>
    <w:p>
      <w:pPr>
        <w:spacing w:after="0" w:line="77" w:lineRule="exact"/>
        <w:rPr>
          <w:sz w:val="20"/>
          <w:szCs w:val="20"/>
          <w:color w:val="auto"/>
        </w:rPr>
      </w:pPr>
    </w:p>
    <w:p>
      <w:pPr>
        <w:ind w:left="964" w:right="140" w:hanging="532"/>
        <w:spacing w:after="0" w:line="277" w:lineRule="auto"/>
        <w:tabs>
          <w:tab w:leader="none" w:pos="96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income tax liability which falls to be paid to HMRC by the Company (or the relevant employing Subsidiary) under the PAYE system as it applies to income tax under ITEPA and the PAYE regulations referred to in it; and</w:t>
      </w:r>
    </w:p>
    <w:p>
      <w:pPr>
        <w:spacing w:after="0" w:line="75"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national insurance liability which falls to be paid to HMRC by the Company (or the relevant employing Subsidiary) under the PAYE system as it applies for national insurance purposes under the Social Security Contributions and Benefits Act 1992 and regulations referred to in it, such national insurance liability being the aggregate of:</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the employee’s primary Class 1 national insurance contributions;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where lawful, all the employer’s secondary Class 1 national insurance contributions.</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Pursuant to the indemnity referred to in paragraph 7.1, the Grantee shall make such arrangements as the Company requires to meet the cost of the</w:t>
      </w:r>
    </w:p>
    <w:p>
      <w:pPr>
        <w:spacing w:after="0" w:line="2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Tax Liabilities, including at the direction of the Company any of the following:</w:t>
      </w:r>
    </w:p>
    <w:p>
      <w:pPr>
        <w:spacing w:after="0" w:line="116" w:lineRule="exact"/>
        <w:rPr>
          <w:sz w:val="20"/>
          <w:szCs w:val="20"/>
          <w:color w:val="auto"/>
        </w:rPr>
      </w:pPr>
    </w:p>
    <w:p>
      <w:pPr>
        <w:ind w:left="964" w:right="100" w:hanging="532"/>
        <w:spacing w:after="0" w:line="263" w:lineRule="auto"/>
        <w:tabs>
          <w:tab w:leader="none" w:pos="9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making a cash payment of an appropriate amount to the relevant company whether by cheque, banker’s draft or deduction from salary in time to enable the company to remit such amount to HMRC before the 14th day following the end of the month in which the event giving rise to the Tax Liabilities occurred;</w:t>
      </w:r>
    </w:p>
    <w:p>
      <w:pPr>
        <w:spacing w:after="0" w:line="89" w:lineRule="exact"/>
        <w:rPr>
          <w:rFonts w:ascii="Arial" w:cs="Arial" w:eastAsia="Arial" w:hAnsi="Arial"/>
          <w:sz w:val="18"/>
          <w:szCs w:val="18"/>
          <w:color w:val="auto"/>
        </w:rPr>
      </w:pPr>
    </w:p>
    <w:p>
      <w:pPr>
        <w:ind w:left="964" w:hanging="532"/>
        <w:spacing w:after="0" w:line="259" w:lineRule="auto"/>
        <w:tabs>
          <w:tab w:leader="none" w:pos="9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appointing the Company as agent and/or attorney for the sale of sufficient shares acquired pursuant to the exercise of an Option or vesting of a Restricted Stock Unit to cover the Tax Liabilities and authorising the payment to the relevant company of the appropriate amount (including all reasonable fees, commissions and expenses incurred by the relevant company in relation to such sale) out of the net proceeds of sale of the Stock; or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286" w:name="page287"/>
    <w:bookmarkEnd w:id="286"/>
    <w:p>
      <w:pPr>
        <w:ind w:left="964" w:right="480" w:hanging="532"/>
        <w:spacing w:after="0" w:line="277" w:lineRule="auto"/>
        <w:tabs>
          <w:tab w:leader="none" w:pos="964" w:val="left"/>
        </w:tabs>
        <w:numPr>
          <w:ilvl w:val="1"/>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entering into an election whereby the employer’s liability for secondary Class 1 national insurance contributions is transferred to the Grantee on terms set out in the election and approved by HMRC.</w:t>
      </w:r>
    </w:p>
    <w:p>
      <w:pPr>
        <w:spacing w:after="0" w:line="193" w:lineRule="exact"/>
        <w:rPr>
          <w:rFonts w:ascii="Arial" w:cs="Arial" w:eastAsia="Arial" w:hAnsi="Arial"/>
          <w:sz w:val="18"/>
          <w:szCs w:val="18"/>
          <w:color w:val="auto"/>
        </w:rPr>
      </w:pPr>
    </w:p>
    <w:p>
      <w:pPr>
        <w:ind w:left="424" w:hanging="424"/>
        <w:spacing w:after="0"/>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Section 431 Election</w:t>
      </w:r>
    </w:p>
    <w:p>
      <w:pPr>
        <w:spacing w:after="0" w:line="117" w:lineRule="exact"/>
        <w:rPr>
          <w:rFonts w:ascii="Arial" w:cs="Arial" w:eastAsia="Arial" w:hAnsi="Arial"/>
          <w:sz w:val="18"/>
          <w:szCs w:val="18"/>
          <w:color w:val="auto"/>
        </w:rPr>
      </w:pPr>
    </w:p>
    <w:p>
      <w:pPr>
        <w:ind w:left="444" w:right="4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Where the shares to be acquired on exercise of an Option or vesting of the Restricted Stock Unit are considered to be </w:t>
      </w:r>
      <w:r>
        <w:rPr>
          <w:rFonts w:ascii="Arial" w:cs="Arial" w:eastAsia="Arial" w:hAnsi="Arial"/>
          <w:sz w:val="18"/>
          <w:szCs w:val="18"/>
          <w:b w:val="1"/>
          <w:bCs w:val="1"/>
          <w:color w:val="auto"/>
        </w:rPr>
        <w:t>“restricted securities”</w:t>
      </w:r>
      <w:r>
        <w:rPr>
          <w:rFonts w:ascii="Arial" w:cs="Arial" w:eastAsia="Arial" w:hAnsi="Arial"/>
          <w:sz w:val="18"/>
          <w:szCs w:val="18"/>
          <w:color w:val="auto"/>
        </w:rPr>
        <w:t xml:space="preserve"> for the purposes of the UK tax legislation (such determination to be at the sole discretion of the Company), it is a condition of exercise that the Grantee if so directed by the Company enter into a joint election with the Company or, if different, the relevant employing Subsidiary pursuant to section 431, ITEPA electing that the market value of the shares to be acquired on the exercise of an Option or vesting of the Restricted Stock Unit be calculated as if the shares were not </w:t>
      </w:r>
      <w:r>
        <w:rPr>
          <w:rFonts w:ascii="Arial" w:cs="Arial" w:eastAsia="Arial" w:hAnsi="Arial"/>
          <w:sz w:val="18"/>
          <w:szCs w:val="18"/>
          <w:b w:val="1"/>
          <w:bCs w:val="1"/>
          <w:color w:val="auto"/>
        </w:rPr>
        <w:t>“restricted securities”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424" w:hanging="424"/>
        <w:spacing w:after="0"/>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Settlement of Restricted Stock Units</w:t>
      </w:r>
    </w:p>
    <w:p>
      <w:pPr>
        <w:spacing w:after="0" w:line="121" w:lineRule="exact"/>
        <w:rPr>
          <w:rFonts w:ascii="Arial" w:cs="Arial" w:eastAsia="Arial" w:hAnsi="Arial"/>
          <w:sz w:val="18"/>
          <w:szCs w:val="18"/>
          <w:color w:val="auto"/>
        </w:rPr>
      </w:pPr>
    </w:p>
    <w:p>
      <w:pPr>
        <w:ind w:left="444"/>
        <w:spacing w:after="0" w:line="263" w:lineRule="auto"/>
        <w:rPr>
          <w:rFonts w:ascii="Arial" w:cs="Arial" w:eastAsia="Arial" w:hAnsi="Arial"/>
          <w:sz w:val="18"/>
          <w:szCs w:val="18"/>
          <w:color w:val="auto"/>
        </w:rPr>
      </w:pPr>
      <w:r>
        <w:rPr>
          <w:rFonts w:ascii="Arial" w:cs="Arial" w:eastAsia="Arial" w:hAnsi="Arial"/>
          <w:sz w:val="18"/>
          <w:szCs w:val="18"/>
          <w:color w:val="auto"/>
        </w:rPr>
        <w:t>Settlement of Restricted Stock Units upon vesting will be made in whole shares of Stock, or, subject to the prior written consent of the Grantee, in the form of cash (or a combination of cash and whole shares of Stock). Section 8(a) of the Plan shall be amended accordingly for any Restricted Stock Units granted pursuant to this UK Sub-Plan.</w:t>
      </w:r>
    </w:p>
    <w:p>
      <w:pPr>
        <w:spacing w:after="0" w:line="206" w:lineRule="exact"/>
        <w:rPr>
          <w:rFonts w:ascii="Arial" w:cs="Arial" w:eastAsia="Arial" w:hAnsi="Arial"/>
          <w:sz w:val="18"/>
          <w:szCs w:val="18"/>
          <w:color w:val="auto"/>
        </w:rPr>
      </w:pPr>
    </w:p>
    <w:p>
      <w:pPr>
        <w:ind w:left="424" w:hanging="424"/>
        <w:spacing w:after="0"/>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Terms of employment</w:t>
      </w:r>
    </w:p>
    <w:p>
      <w:pPr>
        <w:spacing w:after="0" w:line="135" w:lineRule="exact"/>
        <w:rPr>
          <w:sz w:val="20"/>
          <w:szCs w:val="20"/>
          <w:color w:val="auto"/>
        </w:rPr>
      </w:pPr>
    </w:p>
    <w:p>
      <w:pPr>
        <w:ind w:left="424" w:hanging="431"/>
        <w:spacing w:after="0" w:line="279" w:lineRule="auto"/>
        <w:tabs>
          <w:tab w:leader="none" w:pos="40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The Grantee acknowledges that the terms of their employment shall not be affected in any way by her/his participation in the UK Sub-Plan, which shall not form part of such terms (either expressly or impliedly) nor in any way entitle him or her to take into account such participation in calculating any compensation or damages on the termination of her/his employment for whatever reason (whether lawful or unlawful) which might otherwise be payable to him or her, and the Grantee’s terms of employment shall be deemed to be varied accordingly.</w:t>
      </w:r>
    </w:p>
    <w:p>
      <w:pPr>
        <w:spacing w:after="0" w:line="198" w:lineRule="exact"/>
        <w:rPr>
          <w:sz w:val="20"/>
          <w:szCs w:val="20"/>
          <w:color w:val="auto"/>
        </w:rPr>
      </w:pPr>
    </w:p>
    <w:p>
      <w:pPr>
        <w:ind w:left="424" w:right="40" w:hanging="431"/>
        <w:spacing w:after="0" w:line="279" w:lineRule="auto"/>
        <w:tabs>
          <w:tab w:leader="none" w:pos="40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The Plan and the UK Sub-Plan is entirely discretionary and may be suspended or terminated by the Board (acting by the Committee or otherwise) at any time for any reason. Participation in the Plan is entirely discretionary and does not create any contractual or other right to receive future grants of awards or benefits in lieu of such awards. All determinations with respect to future Options or Restricted Stock Units will be at the sole discretion of the Board (acting by the Committee or otherwise). Rights under the Plan are not pensionable.</w:t>
      </w:r>
    </w:p>
    <w:p>
      <w:pPr>
        <w:spacing w:after="0" w:line="194" w:lineRule="exact"/>
        <w:rPr>
          <w:sz w:val="20"/>
          <w:szCs w:val="20"/>
          <w:color w:val="auto"/>
        </w:rPr>
      </w:pPr>
    </w:p>
    <w:p>
      <w:pPr>
        <w:ind w:left="424" w:hanging="424"/>
        <w:spacing w:after="0"/>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Data protection</w:t>
      </w:r>
    </w:p>
    <w:p>
      <w:pPr>
        <w:spacing w:after="0" w:line="135" w:lineRule="exact"/>
        <w:rPr>
          <w:sz w:val="20"/>
          <w:szCs w:val="20"/>
          <w:color w:val="auto"/>
        </w:rPr>
      </w:pPr>
    </w:p>
    <w:p>
      <w:pPr>
        <w:ind w:left="424" w:right="100" w:hanging="431"/>
        <w:spacing w:after="0" w:line="296" w:lineRule="auto"/>
        <w:rPr>
          <w:sz w:val="20"/>
          <w:szCs w:val="20"/>
          <w:color w:val="auto"/>
        </w:rPr>
      </w:pPr>
      <w:r>
        <w:rPr>
          <w:rFonts w:ascii="Arial" w:cs="Arial" w:eastAsia="Arial" w:hAnsi="Arial"/>
          <w:sz w:val="16"/>
          <w:szCs w:val="16"/>
          <w:color w:val="auto"/>
        </w:rPr>
        <w:t>10.1 The Company will collect, use, store, share and transfer Personal Data about the Grantee (“Data”) as necessary to facilitate the implementation, administration and management of the Plan and the UK Sub-Plan. The Company may collect and receive Data about the Grantee directly and/or from the relevant employing subsidiary. Full details about what Data the Company collects, how the Company collects, uses, stores, shares, transfers and protects that Data and the lawful basis that the Company relies on to do so under Data Protection Law, are set out in the Company’s privacy policy (“Privacy Policy”). The Privacy Policy is available upon request from the Company.</w:t>
      </w:r>
    </w:p>
    <w:p>
      <w:pPr>
        <w:spacing w:after="0" w:line="9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4" w:right="499" w:bottom="1440" w:gutter="0" w:footer="0" w:header="0"/>
        </w:sectPr>
      </w:pPr>
    </w:p>
    <w:bookmarkStart w:id="287" w:name="page288"/>
    <w:bookmarkEnd w:id="287"/>
    <w:p>
      <w:pPr>
        <w:ind w:left="420" w:right="4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10.2 The Grantee confirms that he or she has read and understood the Privacy Policy and acknowledges that the Company may collect, use, store, share and transfer the Grantee’s Data in accordance with the Privacy Policy.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Adopted by the Administrator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May 21,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INCENTIVE STOCK OPTION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MARQETA,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1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Name of Optionee:</w:t>
      </w:r>
      <w:r>
        <w:rPr>
          <w:sz w:val="20"/>
          <w:szCs w:val="20"/>
          <w:color w:val="auto"/>
        </w:rPr>
        <w:tab/>
      </w:r>
      <w:r>
        <w:rPr>
          <w:rFonts w:ascii="Arial" w:cs="Arial" w:eastAsia="Arial" w:hAnsi="Arial"/>
          <w:sz w:val="16"/>
          <w:szCs w:val="16"/>
          <w:i w:val="1"/>
          <w:iCs w:val="1"/>
          <w:u w:val="single" w:color="auto"/>
          <w:color w:val="auto"/>
        </w:rPr>
        <w:t>See Grant Notice provided by the Company to the Optionee through Equity Edge (the “EEO Grant Notice”)</w:t>
      </w:r>
    </w:p>
    <w:p>
      <w:pPr>
        <w:spacing w:after="0" w:line="252"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No. of Option Shares:</w:t>
      </w:r>
      <w:r>
        <w:rPr>
          <w:sz w:val="20"/>
          <w:szCs w:val="20"/>
          <w:color w:val="auto"/>
        </w:rPr>
        <w:tab/>
      </w:r>
      <w:r>
        <w:rPr>
          <w:rFonts w:ascii="Arial" w:cs="Arial" w:eastAsia="Arial" w:hAnsi="Arial"/>
          <w:sz w:val="16"/>
          <w:szCs w:val="16"/>
          <w:i w:val="1"/>
          <w:iCs w:val="1"/>
          <w:color w:val="auto"/>
        </w:rPr>
        <w:t>See EEO Grant Notice</w:t>
      </w:r>
    </w:p>
    <w:p>
      <w:pPr>
        <w:spacing w:after="0" w:line="117"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Option Exercise Price per Share:</w:t>
      </w:r>
      <w:r>
        <w:rPr>
          <w:sz w:val="20"/>
          <w:szCs w:val="20"/>
          <w:color w:val="auto"/>
        </w:rPr>
        <w:tab/>
      </w:r>
      <w:r>
        <w:rPr>
          <w:rFonts w:ascii="Arial" w:cs="Arial" w:eastAsia="Arial" w:hAnsi="Arial"/>
          <w:sz w:val="16"/>
          <w:szCs w:val="16"/>
          <w:i w:val="1"/>
          <w:iCs w:val="1"/>
          <w:color w:val="auto"/>
        </w:rPr>
        <w:t>See EEO Grant Notice Grant Date: See EEO Grant Notice</w:t>
      </w:r>
    </w:p>
    <w:p>
      <w:pPr>
        <w:spacing w:after="0" w:line="117"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Vesting Commencement Date:</w:t>
      </w:r>
      <w:r>
        <w:rPr>
          <w:sz w:val="20"/>
          <w:szCs w:val="20"/>
          <w:color w:val="auto"/>
        </w:rPr>
        <w:tab/>
      </w:r>
      <w:r>
        <w:rPr>
          <w:rFonts w:ascii="Arial" w:cs="Arial" w:eastAsia="Arial" w:hAnsi="Arial"/>
          <w:sz w:val="16"/>
          <w:szCs w:val="16"/>
          <w:i w:val="1"/>
          <w:iCs w:val="1"/>
          <w:color w:val="auto"/>
        </w:rPr>
        <w:t>See EEO Grant Notice</w:t>
      </w:r>
    </w:p>
    <w:p>
      <w:pPr>
        <w:spacing w:after="0" w:line="225"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Expiration Date: </w:t>
      </w:r>
      <w:r>
        <w:rPr>
          <w:rFonts w:ascii="Arial" w:cs="Arial" w:eastAsia="Arial" w:hAnsi="Arial"/>
          <w:sz w:val="16"/>
          <w:szCs w:val="16"/>
          <w:i w:val="1"/>
          <w:iCs w:val="1"/>
          <w:color w:val="auto"/>
        </w:rPr>
        <w:t>See EEO Grant Notice</w:t>
      </w:r>
      <w:r>
        <w:rPr>
          <w:rFonts w:ascii="Arial" w:cs="Arial" w:eastAsia="Arial" w:hAnsi="Arial"/>
          <w:sz w:val="16"/>
          <w:szCs w:val="16"/>
          <w:color w:val="auto"/>
        </w:rPr>
        <w:t xml:space="preserve"> Pursuant to the Marqeta, Inc. 2021 Stock Option and Incentive Plan as amended through the date hereof (the “Plan”), Marqeta, Inc. (the “Company”) hereby grants to the Optionee named above an option (the “Stock Option”) to purchase on or prior to the Expiration Date specified above all or part of the number of shares of Class A Common Stock, par value $0.0001 per share (the “Stock”), of the Company specified above at the Option Exercise Price per Share specified above subject to the terms and conditions set forth herein and in the Plan.</w:t>
      </w:r>
    </w:p>
    <w:p>
      <w:pPr>
        <w:spacing w:after="0" w:line="49" w:lineRule="exact"/>
        <w:rPr>
          <w:sz w:val="20"/>
          <w:szCs w:val="20"/>
          <w:color w:val="auto"/>
        </w:rPr>
      </w:pPr>
    </w:p>
    <w:p>
      <w:pPr>
        <w:ind w:right="20" w:firstLine="436"/>
        <w:spacing w:after="0" w:line="279" w:lineRule="auto"/>
        <w:tabs>
          <w:tab w:leader="none" w:pos="62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Exercisability Schedule</w:t>
      </w:r>
      <w:r>
        <w:rPr>
          <w:rFonts w:ascii="Arial" w:cs="Arial" w:eastAsia="Arial" w:hAnsi="Arial"/>
          <w:sz w:val="17"/>
          <w:szCs w:val="17"/>
          <w:color w:val="auto"/>
        </w:rPr>
        <w:t xml:space="preserve">.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maintains a continuous Service Relationship with the Company or a Subsidiary on such dates: </w:t>
      </w:r>
      <w:r>
        <w:rPr>
          <w:rFonts w:ascii="Arial" w:cs="Arial" w:eastAsia="Arial" w:hAnsi="Arial"/>
          <w:sz w:val="17"/>
          <w:szCs w:val="17"/>
          <w:i w:val="1"/>
          <w:iCs w:val="1"/>
          <w:color w:val="auto"/>
        </w:rPr>
        <w:t>See EEO Grant Notice</w:t>
      </w:r>
    </w:p>
    <w:p>
      <w:pPr>
        <w:spacing w:after="0" w:line="17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pacing w:after="0" w:line="62" w:lineRule="exact"/>
        <w:rPr>
          <w:sz w:val="20"/>
          <w:szCs w:val="20"/>
          <w:color w:val="auto"/>
        </w:rPr>
      </w:pPr>
    </w:p>
    <w:p>
      <w:pPr>
        <w:ind w:left="620" w:hanging="184"/>
        <w:spacing w:after="0"/>
        <w:tabs>
          <w:tab w:leader="none" w:pos="62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63" w:lineRule="auto"/>
        <w:tabs>
          <w:tab w:leader="none" w:pos="123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w:t>
      </w:r>
    </w:p>
    <w:p>
      <w:pPr>
        <w:sectPr>
          <w:pgSz w:w="11900" w:h="16838" w:orient="portrait"/>
          <w:cols w:equalWidth="0" w:num="1">
            <w:col w:w="10980"/>
          </w:cols>
          <w:pgMar w:left="440" w:top="270" w:right="479" w:bottom="1440" w:gutter="0" w:footer="0" w:header="0"/>
        </w:sectPr>
      </w:pPr>
    </w:p>
    <w:bookmarkStart w:id="289" w:name="page290"/>
    <w:bookmarkEnd w:id="28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Optionee and are not then subject to any restrictions under any Company plan and that otherwise satisfy any holding periods as may be required by the Administrator; 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7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69" w:lineRule="exact"/>
        <w:rPr>
          <w:sz w:val="20"/>
          <w:szCs w:val="20"/>
          <w:color w:val="auto"/>
        </w:rPr>
      </w:pPr>
    </w:p>
    <w:p>
      <w:pPr>
        <w:ind w:right="20" w:firstLine="987"/>
        <w:spacing w:after="0" w:line="291" w:lineRule="auto"/>
        <w:tabs>
          <w:tab w:leader="none" w:pos="1246"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58" w:lineRule="exact"/>
        <w:rPr>
          <w:rFonts w:ascii="Arial" w:cs="Arial" w:eastAsia="Arial" w:hAnsi="Arial"/>
          <w:sz w:val="16"/>
          <w:szCs w:val="16"/>
          <w:color w:val="auto"/>
        </w:rPr>
      </w:pPr>
    </w:p>
    <w:p>
      <w:pPr>
        <w:ind w:right="60" w:firstLine="987"/>
        <w:spacing w:after="0" w:line="263" w:lineRule="auto"/>
        <w:tabs>
          <w:tab w:leader="none" w:pos="123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 hereof.</w:t>
      </w:r>
    </w:p>
    <w:p>
      <w:pPr>
        <w:spacing w:after="0" w:line="102" w:lineRule="exact"/>
        <w:rPr>
          <w:rFonts w:ascii="Arial" w:cs="Arial" w:eastAsia="Arial" w:hAnsi="Arial"/>
          <w:sz w:val="17"/>
          <w:szCs w:val="17"/>
          <w:color w:val="auto"/>
        </w:rPr>
      </w:pPr>
    </w:p>
    <w:p>
      <w:pPr>
        <w:ind w:right="720" w:firstLine="436"/>
        <w:spacing w:after="0" w:line="308" w:lineRule="auto"/>
        <w:tabs>
          <w:tab w:leader="none" w:pos="62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Termination of Service Relationship</w:t>
      </w:r>
      <w:r>
        <w:rPr>
          <w:rFonts w:ascii="Arial" w:cs="Arial" w:eastAsia="Arial" w:hAnsi="Arial"/>
          <w:sz w:val="17"/>
          <w:szCs w:val="17"/>
          <w:color w:val="auto"/>
        </w:rPr>
        <w:t>. If the Optionee’s Service Relationship with the Company or a Subsidiary (as defined in the Plan) terminates, the period within which to exercise the Stock Option may be subject to earlier termination as set forth below.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90" w:name="page291"/>
    <w:bookmarkEnd w:id="290"/>
    <w:p>
      <w:pPr>
        <w:ind w:right="140" w:firstLine="987"/>
        <w:spacing w:after="0" w:line="301" w:lineRule="auto"/>
        <w:tabs>
          <w:tab w:leader="none" w:pos="1236"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Due to Death</w:t>
      </w:r>
      <w:r>
        <w:rPr>
          <w:rFonts w:ascii="Arial" w:cs="Arial" w:eastAsia="Arial" w:hAnsi="Arial"/>
          <w:sz w:val="16"/>
          <w:szCs w:val="16"/>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49" w:lineRule="exact"/>
        <w:rPr>
          <w:rFonts w:ascii="Arial" w:cs="Arial" w:eastAsia="Arial" w:hAnsi="Arial"/>
          <w:sz w:val="16"/>
          <w:szCs w:val="16"/>
          <w:color w:val="auto"/>
        </w:rPr>
      </w:pPr>
    </w:p>
    <w:p>
      <w:pPr>
        <w:ind w:right="140" w:firstLine="987"/>
        <w:spacing w:after="0" w:line="257" w:lineRule="auto"/>
        <w:tabs>
          <w:tab w:leader="none" w:pos="1246"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79" w:lineRule="exact"/>
        <w:rPr>
          <w:rFonts w:ascii="Arial" w:cs="Arial" w:eastAsia="Arial" w:hAnsi="Arial"/>
          <w:sz w:val="18"/>
          <w:szCs w:val="18"/>
          <w:color w:val="auto"/>
        </w:rPr>
      </w:pPr>
    </w:p>
    <w:p>
      <w:pPr>
        <w:ind w:right="100" w:firstLine="987"/>
        <w:spacing w:after="0" w:line="293" w:lineRule="auto"/>
        <w:tabs>
          <w:tab w:leader="none" w:pos="1236"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56" w:lineRule="exact"/>
        <w:rPr>
          <w:rFonts w:ascii="Arial" w:cs="Arial" w:eastAsia="Arial" w:hAnsi="Arial"/>
          <w:sz w:val="16"/>
          <w:szCs w:val="16"/>
          <w:color w:val="auto"/>
        </w:rPr>
      </w:pPr>
    </w:p>
    <w:p>
      <w:pPr>
        <w:ind w:firstLine="987"/>
        <w:spacing w:after="0" w:line="257" w:lineRule="auto"/>
        <w:tabs>
          <w:tab w:leader="none" w:pos="1246"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62" w:lineRule="exact"/>
        <w:rPr>
          <w:sz w:val="20"/>
          <w:szCs w:val="20"/>
          <w:color w:val="auto"/>
        </w:rPr>
      </w:pPr>
    </w:p>
    <w:p>
      <w:pPr>
        <w:ind w:right="20" w:firstLine="436"/>
        <w:spacing w:after="0" w:line="263" w:lineRule="auto"/>
        <w:tabs>
          <w:tab w:leader="none" w:pos="62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5" w:lineRule="exact"/>
        <w:rPr>
          <w:rFonts w:ascii="Arial" w:cs="Arial" w:eastAsia="Arial" w:hAnsi="Arial"/>
          <w:sz w:val="18"/>
          <w:szCs w:val="18"/>
          <w:color w:val="auto"/>
        </w:rPr>
      </w:pPr>
    </w:p>
    <w:p>
      <w:pPr>
        <w:ind w:right="360" w:firstLine="436"/>
        <w:spacing w:after="0" w:line="263" w:lineRule="auto"/>
        <w:tabs>
          <w:tab w:leader="none" w:pos="62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91" w:name="page292"/>
    <w:bookmarkEnd w:id="291"/>
    <w:p>
      <w:pPr>
        <w:ind w:right="40" w:firstLine="436"/>
        <w:spacing w:after="0" w:line="287" w:lineRule="auto"/>
        <w:tabs>
          <w:tab w:leader="none" w:pos="620"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Status of the Stock Option</w:t>
      </w:r>
      <w:r>
        <w:rPr>
          <w:rFonts w:ascii="Arial" w:cs="Arial" w:eastAsia="Arial" w:hAnsi="Arial"/>
          <w:sz w:val="16"/>
          <w:szCs w:val="16"/>
          <w:color w:val="auto"/>
        </w:rPr>
        <w:t xml:space="preserve">.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Arial" w:cs="Arial" w:eastAsia="Arial" w:hAnsi="Arial"/>
          <w:sz w:val="16"/>
          <w:szCs w:val="16"/>
          <w:b w:val="1"/>
          <w:bCs w:val="1"/>
          <w:i w:val="1"/>
          <w:iCs w:val="1"/>
          <w:color w:val="auto"/>
        </w:rPr>
        <w:t>this Stock Option must be exercised within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three months after termination of employment as an employee (or 12 months in the case of death or disability) to qualify as an “incentive stock option.</w:t>
      </w:r>
      <w:r>
        <w:rPr>
          <w:rFonts w:ascii="Arial" w:cs="Arial" w:eastAsia="Arial" w:hAnsi="Arial"/>
          <w:sz w:val="16"/>
          <w:szCs w:val="16"/>
          <w:color w:val="auto"/>
        </w:rPr>
        <w:t>” To the extent any portion of this Stock Option does not so qualify as an “incentive stock option,” such portion shall be deemed to be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 Further, to the extent this Stock Option and any other incentive stock options of the Optionee having an aggregate fair market value in excess of $100,000 (determined as of the grant date of such options) first become exercisable in any year, such options will not qualify as incentive stock options.</w:t>
      </w:r>
    </w:p>
    <w:p>
      <w:pPr>
        <w:spacing w:after="0" w:line="63" w:lineRule="exact"/>
        <w:rPr>
          <w:rFonts w:ascii="Arial" w:cs="Arial" w:eastAsia="Arial" w:hAnsi="Arial"/>
          <w:sz w:val="16"/>
          <w:szCs w:val="16"/>
          <w:color w:val="auto"/>
        </w:rPr>
      </w:pPr>
    </w:p>
    <w:p>
      <w:pPr>
        <w:ind w:right="60" w:firstLine="436"/>
        <w:spacing w:after="0" w:line="254" w:lineRule="auto"/>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86" w:lineRule="exact"/>
        <w:rPr>
          <w:rFonts w:ascii="Arial" w:cs="Arial" w:eastAsia="Arial" w:hAnsi="Arial"/>
          <w:sz w:val="18"/>
          <w:szCs w:val="18"/>
          <w:color w:val="auto"/>
        </w:rPr>
      </w:pPr>
    </w:p>
    <w:p>
      <w:pPr>
        <w:ind w:right="80" w:firstLine="436"/>
        <w:spacing w:after="0" w:line="259" w:lineRule="auto"/>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78" w:lineRule="exact"/>
        <w:rPr>
          <w:rFonts w:ascii="Arial" w:cs="Arial" w:eastAsia="Arial" w:hAnsi="Arial"/>
          <w:sz w:val="18"/>
          <w:szCs w:val="18"/>
          <w:color w:val="auto"/>
        </w:rPr>
      </w:pPr>
    </w:p>
    <w:p>
      <w:pPr>
        <w:ind w:firstLine="436"/>
        <w:spacing w:after="0" w:line="342" w:lineRule="auto"/>
        <w:tabs>
          <w:tab w:leader="none" w:pos="620"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including, without limitation, all exhibits attached hereto, constitutes the entire agreement between the parties with respect to this Stock Option and supersedes all prior agreements and discussions between the parties concerning such subject matter.</w:t>
      </w:r>
    </w:p>
    <w:p>
      <w:pPr>
        <w:spacing w:after="0" w:line="15" w:lineRule="exact"/>
        <w:rPr>
          <w:rFonts w:ascii="Arial" w:cs="Arial" w:eastAsia="Arial" w:hAnsi="Arial"/>
          <w:sz w:val="16"/>
          <w:szCs w:val="16"/>
          <w:color w:val="auto"/>
        </w:rPr>
      </w:pPr>
    </w:p>
    <w:p>
      <w:pPr>
        <w:ind w:right="60" w:firstLine="436"/>
        <w:spacing w:after="0" w:line="263" w:lineRule="auto"/>
        <w:tabs>
          <w:tab w:leader="none" w:pos="71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92" w:name="page293"/>
    <w:bookmarkEnd w:id="292"/>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w:t>
      </w:r>
    </w:p>
    <w:p>
      <w:pPr>
        <w:spacing w:after="0" w:line="2" w:lineRule="exact"/>
        <w:rPr>
          <w:sz w:val="20"/>
          <w:szCs w:val="20"/>
          <w:color w:val="auto"/>
        </w:rPr>
      </w:pPr>
    </w:p>
    <w:p>
      <w:pPr>
        <w:ind w:left="4" w:right="180" w:hanging="4"/>
        <w:spacing w:after="0" w:line="255" w:lineRule="auto"/>
        <w:tabs>
          <w:tab w:leader="none" w:pos="31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2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293" w:name="page294"/>
    <w:bookmarkEnd w:id="293"/>
    <w:p>
      <w:pPr>
        <w:ind w:firstLine="436"/>
        <w:spacing w:after="0" w:line="263" w:lineRule="auto"/>
        <w:tabs>
          <w:tab w:leader="none" w:pos="703"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65151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6515100" cy="8890"/>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Optionee’s Signature</w:t>
      </w:r>
    </w:p>
    <w:p>
      <w:pPr>
        <w:spacing w:after="0" w:line="11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220345</wp:posOffset>
            </wp:positionV>
            <wp:extent cx="39090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443230</wp:posOffset>
            </wp:positionV>
            <wp:extent cx="39090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666115</wp:posOffset>
            </wp:positionV>
            <wp:extent cx="39090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4" w:right="539" w:bottom="1440" w:gutter="0" w:footer="0" w:header="0"/>
        </w:sectPr>
      </w:pPr>
    </w:p>
    <w:bookmarkStart w:id="294" w:name="page295"/>
    <w:bookmarkEnd w:id="29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NON-EMPLOYEE DIRECTORS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MARQETA,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1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Name of Optionee:</w:t>
      </w:r>
      <w:r>
        <w:rPr>
          <w:sz w:val="20"/>
          <w:szCs w:val="20"/>
          <w:color w:val="auto"/>
        </w:rPr>
        <w:tab/>
      </w:r>
      <w:r>
        <w:rPr>
          <w:rFonts w:ascii="Arial" w:cs="Arial" w:eastAsia="Arial" w:hAnsi="Arial"/>
          <w:sz w:val="16"/>
          <w:szCs w:val="16"/>
          <w:i w:val="1"/>
          <w:iCs w:val="1"/>
          <w:u w:val="single" w:color="auto"/>
          <w:color w:val="auto"/>
        </w:rPr>
        <w:t>See Grant Notice provided by the Company to the Optionee through Equity Edge (the “EEO Grant Notice”)</w:t>
      </w:r>
    </w:p>
    <w:p>
      <w:pPr>
        <w:sectPr>
          <w:pgSz w:w="11900" w:h="16838" w:orient="portrait"/>
          <w:cols w:equalWidth="0" w:num="1">
            <w:col w:w="10960"/>
          </w:cols>
          <w:pgMar w:left="440" w:top="270" w:right="4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 of Option Shares: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Option 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See EEO Grant Notice</w:t>
      </w:r>
    </w:p>
    <w:p>
      <w:pPr>
        <w:spacing w:after="0" w:line="200"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line="4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Expiration Date: </w:t>
      </w:r>
      <w:r>
        <w:rPr>
          <w:rFonts w:ascii="Arial" w:cs="Arial" w:eastAsia="Arial" w:hAnsi="Arial"/>
          <w:sz w:val="17"/>
          <w:szCs w:val="17"/>
          <w:i w:val="1"/>
          <w:iCs w:val="1"/>
          <w:color w:val="auto"/>
        </w:rPr>
        <w:t>See EEO Grant Notice</w:t>
      </w:r>
      <w:r>
        <w:rPr>
          <w:rFonts w:ascii="Arial" w:cs="Arial" w:eastAsia="Arial" w:hAnsi="Arial"/>
          <w:sz w:val="17"/>
          <w:szCs w:val="17"/>
          <w:color w:val="auto"/>
        </w:rPr>
        <w:t xml:space="preserve"> Pursuant to the Marqeta, Inc. 2021 Stock Option and Incentive Plan as amended through the date hereof (the “Plan”),Marqeta, Inc. (the “Company”) hereby grants to the Optionee named above, who is a Non-Employee Director of the Company but is not an employee of the Company, an option (the “Stock Option”) to purchase on or prior to the Expiration Date specified above all or part of the number of shares of Class A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70" w:lineRule="exact"/>
        <w:rPr>
          <w:sz w:val="20"/>
          <w:szCs w:val="20"/>
          <w:color w:val="auto"/>
        </w:rPr>
      </w:pPr>
    </w:p>
    <w:p>
      <w:pPr>
        <w:ind w:firstLine="436"/>
        <w:spacing w:after="0" w:line="279" w:lineRule="auto"/>
        <w:tabs>
          <w:tab w:leader="none" w:pos="62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Exercisability Schedule</w:t>
      </w:r>
      <w:r>
        <w:rPr>
          <w:rFonts w:ascii="Arial" w:cs="Arial" w:eastAsia="Arial" w:hAnsi="Arial"/>
          <w:sz w:val="17"/>
          <w:szCs w:val="17"/>
          <w:color w:val="auto"/>
        </w:rPr>
        <w:t xml:space="preserve">.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maintains a continuous Service Relationship with the Company or a Subsidiary on such dates: </w:t>
      </w:r>
      <w:r>
        <w:rPr>
          <w:rFonts w:ascii="Arial" w:cs="Arial" w:eastAsia="Arial" w:hAnsi="Arial"/>
          <w:sz w:val="17"/>
          <w:szCs w:val="17"/>
          <w:i w:val="1"/>
          <w:iCs w:val="1"/>
          <w:color w:val="auto"/>
        </w:rPr>
        <w:t>See EEO Grant Notice</w:t>
      </w:r>
    </w:p>
    <w:p>
      <w:pPr>
        <w:spacing w:after="0" w:line="17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pacing w:after="0" w:line="62" w:lineRule="exact"/>
        <w:rPr>
          <w:sz w:val="20"/>
          <w:szCs w:val="20"/>
          <w:color w:val="auto"/>
        </w:rPr>
      </w:pPr>
    </w:p>
    <w:p>
      <w:pPr>
        <w:ind w:left="620" w:hanging="184"/>
        <w:spacing w:after="0"/>
        <w:tabs>
          <w:tab w:leader="none" w:pos="62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3" w:lineRule="auto"/>
        <w:tabs>
          <w:tab w:leader="none" w:pos="123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ectPr>
          <w:pgSz w:w="11900" w:h="16838" w:orient="portrait"/>
          <w:cols w:equalWidth="0" w:num="1">
            <w:col w:w="10960"/>
          </w:cols>
          <w:pgMar w:left="440" w:top="270" w:right="499" w:bottom="1440" w:gutter="0" w:footer="0" w:header="0"/>
          <w:type w:val="continuous"/>
        </w:sectPr>
      </w:pPr>
    </w:p>
    <w:bookmarkStart w:id="295" w:name="page296"/>
    <w:bookmarkEnd w:id="295"/>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69" w:lineRule="exact"/>
        <w:rPr>
          <w:sz w:val="20"/>
          <w:szCs w:val="20"/>
          <w:color w:val="auto"/>
        </w:rPr>
      </w:pPr>
    </w:p>
    <w:p>
      <w:pPr>
        <w:ind w:right="20" w:firstLine="987"/>
        <w:spacing w:after="0" w:line="291" w:lineRule="auto"/>
        <w:tabs>
          <w:tab w:leader="none" w:pos="124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58" w:lineRule="exact"/>
        <w:rPr>
          <w:rFonts w:ascii="Arial" w:cs="Arial" w:eastAsia="Arial" w:hAnsi="Arial"/>
          <w:sz w:val="16"/>
          <w:szCs w:val="16"/>
          <w:color w:val="auto"/>
        </w:rPr>
      </w:pPr>
    </w:p>
    <w:p>
      <w:pPr>
        <w:ind w:right="60" w:firstLine="987"/>
        <w:spacing w:after="0" w:line="263"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96" w:name="page297"/>
    <w:bookmarkEnd w:id="296"/>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Notwithstanding any other provision hereof or of the Plan, no portion of this Stock Option shall be exercisable after the Expiration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hereof.</w:t>
      </w:r>
    </w:p>
    <w:p>
      <w:pPr>
        <w:spacing w:after="0" w:line="103" w:lineRule="exact"/>
        <w:rPr>
          <w:sz w:val="20"/>
          <w:szCs w:val="20"/>
          <w:color w:val="auto"/>
        </w:rPr>
      </w:pPr>
    </w:p>
    <w:p>
      <w:pPr>
        <w:ind w:right="200" w:firstLine="436"/>
        <w:spacing w:after="0" w:line="277" w:lineRule="auto"/>
        <w:tabs>
          <w:tab w:leader="none" w:pos="6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Termination of as Non-EmployeeDirector</w:t>
      </w:r>
      <w:r>
        <w:rPr>
          <w:rFonts w:ascii="Arial" w:cs="Arial" w:eastAsia="Arial" w:hAnsi="Arial"/>
          <w:sz w:val="18"/>
          <w:szCs w:val="18"/>
          <w:color w:val="auto"/>
        </w:rPr>
        <w:t>. If the Optionee ceases to be a Non-Employee Director of the Company, the period within which to exercise the Stock Option may be subject to earlier termination as set forth below.</w:t>
      </w:r>
    </w:p>
    <w:p>
      <w:pPr>
        <w:spacing w:after="0" w:line="62" w:lineRule="exact"/>
        <w:rPr>
          <w:rFonts w:ascii="Arial" w:cs="Arial" w:eastAsia="Arial" w:hAnsi="Arial"/>
          <w:sz w:val="18"/>
          <w:szCs w:val="18"/>
          <w:color w:val="auto"/>
        </w:rPr>
      </w:pPr>
    </w:p>
    <w:p>
      <w:pPr>
        <w:ind w:right="120" w:firstLine="987"/>
        <w:spacing w:after="0" w:line="279" w:lineRule="auto"/>
        <w:tabs>
          <w:tab w:leader="none" w:pos="1236" w:val="left"/>
        </w:tabs>
        <w:numPr>
          <w:ilvl w:val="1"/>
          <w:numId w:val="191"/>
        </w:numPr>
        <w:rPr>
          <w:rFonts w:ascii="Arial" w:cs="Arial" w:eastAsia="Arial" w:hAnsi="Arial"/>
          <w:sz w:val="17"/>
          <w:szCs w:val="17"/>
          <w:color w:val="auto"/>
        </w:rPr>
      </w:pPr>
      <w:r>
        <w:rPr>
          <w:rFonts w:ascii="Arial" w:cs="Arial" w:eastAsia="Arial" w:hAnsi="Arial"/>
          <w:sz w:val="17"/>
          <w:szCs w:val="17"/>
          <w:u w:val="single" w:color="auto"/>
          <w:color w:val="auto"/>
        </w:rPr>
        <w:t>Termination Due to Death</w:t>
      </w:r>
      <w:r>
        <w:rPr>
          <w:rFonts w:ascii="Arial" w:cs="Arial" w:eastAsia="Arial" w:hAnsi="Arial"/>
          <w:sz w:val="17"/>
          <w:szCs w:val="17"/>
          <w:color w:val="auto"/>
        </w:rPr>
        <w:t>. If the Optionee’s Service Relationship as a Non-Employee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63" w:lineRule="exact"/>
        <w:rPr>
          <w:rFonts w:ascii="Arial" w:cs="Arial" w:eastAsia="Arial" w:hAnsi="Arial"/>
          <w:sz w:val="17"/>
          <w:szCs w:val="17"/>
          <w:color w:val="auto"/>
        </w:rPr>
      </w:pPr>
    </w:p>
    <w:p>
      <w:pPr>
        <w:ind w:firstLine="987"/>
        <w:spacing w:after="0" w:line="257" w:lineRule="auto"/>
        <w:tabs>
          <w:tab w:leader="none" w:pos="1246"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Optionee ceases to be a Non-Employee Director for any reason other than the Optionee’s death, any portion of this Stock Option outstanding on such date may be exercised, to the extent exercisable on the date the Optionee ceased to be a Non-Employee Director, for a period of 12 months from the date the Optionee ceased to be a Non-Employee Director or until the Expiration Date, if earlier. Any portion of this Stock Option that is not exercisable on the date the Optionee ceases to be a Non-Employee Director shall terminate immediately and be of no further force or effect.</w:t>
      </w:r>
    </w:p>
    <w:p>
      <w:pPr>
        <w:spacing w:after="0" w:line="79" w:lineRule="exact"/>
        <w:rPr>
          <w:rFonts w:ascii="Arial" w:cs="Arial" w:eastAsia="Arial" w:hAnsi="Arial"/>
          <w:sz w:val="18"/>
          <w:szCs w:val="18"/>
          <w:color w:val="auto"/>
        </w:rPr>
      </w:pPr>
    </w:p>
    <w:p>
      <w:pPr>
        <w:ind w:right="20" w:firstLine="436"/>
        <w:spacing w:after="0" w:line="263" w:lineRule="auto"/>
        <w:tabs>
          <w:tab w:leader="none" w:pos="6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5" w:lineRule="exact"/>
        <w:rPr>
          <w:rFonts w:ascii="Arial" w:cs="Arial" w:eastAsia="Arial" w:hAnsi="Arial"/>
          <w:sz w:val="18"/>
          <w:szCs w:val="18"/>
          <w:color w:val="auto"/>
        </w:rPr>
      </w:pPr>
    </w:p>
    <w:p>
      <w:pPr>
        <w:ind w:right="360" w:firstLine="436"/>
        <w:spacing w:after="0" w:line="263" w:lineRule="auto"/>
        <w:tabs>
          <w:tab w:leader="none" w:pos="6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5" w:lineRule="exact"/>
        <w:rPr>
          <w:rFonts w:ascii="Arial" w:cs="Arial" w:eastAsia="Arial" w:hAnsi="Arial"/>
          <w:sz w:val="18"/>
          <w:szCs w:val="18"/>
          <w:color w:val="auto"/>
        </w:rPr>
      </w:pPr>
    </w:p>
    <w:p>
      <w:pPr>
        <w:ind w:right="420" w:firstLine="436"/>
        <w:spacing w:after="0" w:line="277" w:lineRule="auto"/>
        <w:tabs>
          <w:tab w:leader="none" w:pos="6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as a Non-Employee Director</w:t>
      </w:r>
      <w:r>
        <w:rPr>
          <w:rFonts w:ascii="Arial" w:cs="Arial" w:eastAsia="Arial" w:hAnsi="Arial"/>
          <w:sz w:val="18"/>
          <w:szCs w:val="18"/>
          <w:color w:val="auto"/>
        </w:rPr>
        <w:t>. Neither the Plan nor this Stock Option confers upon the Optionee any rights with respect to continuance as a Non-Employee Director or other Service Relationship.</w:t>
      </w:r>
    </w:p>
    <w:p>
      <w:pPr>
        <w:spacing w:after="0" w:line="62" w:lineRule="exact"/>
        <w:rPr>
          <w:rFonts w:ascii="Arial" w:cs="Arial" w:eastAsia="Arial" w:hAnsi="Arial"/>
          <w:sz w:val="18"/>
          <w:szCs w:val="18"/>
          <w:color w:val="auto"/>
        </w:rPr>
      </w:pPr>
    </w:p>
    <w:p>
      <w:pPr>
        <w:ind w:firstLine="436"/>
        <w:spacing w:after="0" w:line="342" w:lineRule="auto"/>
        <w:tabs>
          <w:tab w:leader="none" w:pos="620"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including, without limitation, all exhibits attached hereto, constitutes the entire agreement between the parties with respect to this Stock Option and supersedes all prior agreements and discussions between the parties concerning such subject matter.</w:t>
      </w:r>
    </w:p>
    <w:p>
      <w:pPr>
        <w:spacing w:after="0" w:line="15" w:lineRule="exact"/>
        <w:rPr>
          <w:rFonts w:ascii="Arial" w:cs="Arial" w:eastAsia="Arial" w:hAnsi="Arial"/>
          <w:sz w:val="16"/>
          <w:szCs w:val="16"/>
          <w:color w:val="auto"/>
        </w:rPr>
      </w:pPr>
    </w:p>
    <w:p>
      <w:pPr>
        <w:jc w:val="both"/>
        <w:ind w:right="220" w:firstLine="436"/>
        <w:spacing w:after="0" w:line="259" w:lineRule="auto"/>
        <w:tabs>
          <w:tab w:leader="none" w:pos="6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applicable, the Optionee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97" w:name="page298"/>
    <w:bookmarkEnd w:id="29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79" w:lineRule="exact"/>
        <w:rPr>
          <w:sz w:val="20"/>
          <w:szCs w:val="20"/>
          <w:color w:val="auto"/>
        </w:rPr>
      </w:pPr>
    </w:p>
    <w:p>
      <w:pPr>
        <w:ind w:right="60" w:firstLine="436"/>
        <w:spacing w:after="0" w:line="270" w:lineRule="auto"/>
        <w:tabs>
          <w:tab w:leader="none" w:pos="62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Data Privacy Consent</w:t>
      </w:r>
      <w:r>
        <w:rPr>
          <w:rFonts w:ascii="Arial" w:cs="Arial" w:eastAsia="Arial" w:hAnsi="Arial"/>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98" w:name="page299"/>
    <w:bookmarkEnd w:id="298"/>
    <w:p>
      <w:pPr>
        <w:ind w:firstLine="436"/>
        <w:spacing w:after="0" w:line="263" w:lineRule="auto"/>
        <w:tabs>
          <w:tab w:leader="none" w:pos="71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14605</wp:posOffset>
            </wp:positionV>
            <wp:extent cx="65151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220345</wp:posOffset>
            </wp:positionV>
            <wp:extent cx="390906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3909060" cy="8890"/>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443230</wp:posOffset>
            </wp:positionV>
            <wp:extent cx="39090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666115</wp:posOffset>
            </wp:positionV>
            <wp:extent cx="39090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7800" w:type="dxa"/>
            <w:vAlign w:val="bottom"/>
          </w:tcPr>
          <w:p>
            <w:pPr>
              <w:jc w:val="center"/>
              <w:ind w:right="1670"/>
              <w:spacing w:after="0"/>
              <w:rPr>
                <w:sz w:val="20"/>
                <w:szCs w:val="20"/>
                <w:color w:val="auto"/>
              </w:rPr>
            </w:pPr>
            <w:r>
              <w:rPr>
                <w:rFonts w:ascii="Arial" w:cs="Arial" w:eastAsia="Arial" w:hAnsi="Arial"/>
                <w:sz w:val="18"/>
                <w:szCs w:val="18"/>
                <w:b w:val="1"/>
                <w:bCs w:val="1"/>
                <w:color w:val="auto"/>
              </w:rPr>
              <w:t>NON-QUALIFIED STOCK OPTION AGREEMENT</w:t>
            </w:r>
          </w:p>
        </w:tc>
      </w:tr>
      <w:tr>
        <w:trPr>
          <w:trHeight w:val="216"/>
        </w:trPr>
        <w:tc>
          <w:tcPr>
            <w:tcW w:w="2480" w:type="dxa"/>
            <w:vAlign w:val="bottom"/>
          </w:tcPr>
          <w:p>
            <w:pPr>
              <w:spacing w:after="0"/>
              <w:rPr>
                <w:sz w:val="18"/>
                <w:szCs w:val="18"/>
                <w:color w:val="auto"/>
              </w:rPr>
            </w:pPr>
          </w:p>
        </w:tc>
        <w:tc>
          <w:tcPr>
            <w:tcW w:w="7800" w:type="dxa"/>
            <w:vAlign w:val="bottom"/>
          </w:tcPr>
          <w:p>
            <w:pPr>
              <w:jc w:val="center"/>
              <w:ind w:right="1670"/>
              <w:spacing w:after="0"/>
              <w:rPr>
                <w:sz w:val="20"/>
                <w:szCs w:val="20"/>
                <w:color w:val="auto"/>
              </w:rPr>
            </w:pPr>
            <w:r>
              <w:rPr>
                <w:rFonts w:ascii="Arial" w:cs="Arial" w:eastAsia="Arial" w:hAnsi="Arial"/>
                <w:sz w:val="18"/>
                <w:szCs w:val="18"/>
                <w:b w:val="1"/>
                <w:bCs w:val="1"/>
                <w:color w:val="auto"/>
                <w:w w:val="99"/>
              </w:rPr>
              <w:t>FOR COMPANY EMPLOYEES</w:t>
            </w:r>
          </w:p>
        </w:tc>
      </w:tr>
      <w:tr>
        <w:trPr>
          <w:trHeight w:val="216"/>
        </w:trPr>
        <w:tc>
          <w:tcPr>
            <w:tcW w:w="2480" w:type="dxa"/>
            <w:vAlign w:val="bottom"/>
          </w:tcPr>
          <w:p>
            <w:pPr>
              <w:spacing w:after="0"/>
              <w:rPr>
                <w:sz w:val="18"/>
                <w:szCs w:val="18"/>
                <w:color w:val="auto"/>
              </w:rPr>
            </w:pPr>
          </w:p>
        </w:tc>
        <w:tc>
          <w:tcPr>
            <w:tcW w:w="7800" w:type="dxa"/>
            <w:vAlign w:val="bottom"/>
          </w:tcPr>
          <w:p>
            <w:pPr>
              <w:jc w:val="center"/>
              <w:ind w:right="1650"/>
              <w:spacing w:after="0"/>
              <w:rPr>
                <w:sz w:val="20"/>
                <w:szCs w:val="20"/>
                <w:color w:val="auto"/>
              </w:rPr>
            </w:pPr>
            <w:r>
              <w:rPr>
                <w:rFonts w:ascii="Arial" w:cs="Arial" w:eastAsia="Arial" w:hAnsi="Arial"/>
                <w:sz w:val="18"/>
                <w:szCs w:val="18"/>
                <w:b w:val="1"/>
                <w:bCs w:val="1"/>
                <w:color w:val="auto"/>
              </w:rPr>
              <w:t>UNDER THE MARQETA, INC.</w:t>
            </w:r>
          </w:p>
        </w:tc>
      </w:tr>
      <w:tr>
        <w:trPr>
          <w:trHeight w:val="234"/>
        </w:trPr>
        <w:tc>
          <w:tcPr>
            <w:tcW w:w="2480" w:type="dxa"/>
            <w:vAlign w:val="bottom"/>
          </w:tcPr>
          <w:p>
            <w:pPr>
              <w:spacing w:after="0"/>
              <w:rPr>
                <w:sz w:val="20"/>
                <w:szCs w:val="20"/>
                <w:color w:val="auto"/>
              </w:rPr>
            </w:pPr>
          </w:p>
        </w:tc>
        <w:tc>
          <w:tcPr>
            <w:tcW w:w="7800" w:type="dxa"/>
            <w:vAlign w:val="bottom"/>
          </w:tcPr>
          <w:p>
            <w:pPr>
              <w:jc w:val="center"/>
              <w:ind w:right="1650"/>
              <w:spacing w:after="0"/>
              <w:rPr>
                <w:sz w:val="20"/>
                <w:szCs w:val="20"/>
                <w:color w:val="auto"/>
              </w:rPr>
            </w:pPr>
            <w:r>
              <w:rPr>
                <w:rFonts w:ascii="Arial" w:cs="Arial" w:eastAsia="Arial" w:hAnsi="Arial"/>
                <w:sz w:val="18"/>
                <w:szCs w:val="18"/>
                <w:b w:val="1"/>
                <w:bCs w:val="1"/>
                <w:color w:val="auto"/>
              </w:rPr>
              <w:t>2021 STOCK OPTION AND INCENTIVE PLAN</w:t>
            </w:r>
          </w:p>
        </w:tc>
      </w:tr>
      <w:tr>
        <w:trPr>
          <w:trHeight w:val="418"/>
        </w:trPr>
        <w:tc>
          <w:tcPr>
            <w:tcW w:w="2480" w:type="dxa"/>
            <w:vAlign w:val="bottom"/>
          </w:tcPr>
          <w:p>
            <w:pPr>
              <w:spacing w:after="0"/>
              <w:rPr>
                <w:sz w:val="20"/>
                <w:szCs w:val="20"/>
                <w:color w:val="auto"/>
              </w:rPr>
            </w:pPr>
            <w:r>
              <w:rPr>
                <w:rFonts w:ascii="Arial" w:cs="Arial" w:eastAsia="Arial" w:hAnsi="Arial"/>
                <w:sz w:val="18"/>
                <w:szCs w:val="18"/>
                <w:i w:val="1"/>
                <w:iCs w:val="1"/>
                <w:color w:val="auto"/>
              </w:rPr>
              <w:t>Name of Optionee:</w:t>
            </w: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See Grant Notice provided by the Company to the Optionee through Equity Edge (the “EEO Grant Notice”)</w:t>
            </w:r>
          </w:p>
        </w:tc>
      </w:tr>
      <w:tr>
        <w:trPr>
          <w:trHeight w:val="345"/>
        </w:trPr>
        <w:tc>
          <w:tcPr>
            <w:tcW w:w="2480" w:type="dxa"/>
            <w:vAlign w:val="bottom"/>
          </w:tcPr>
          <w:p>
            <w:pPr>
              <w:spacing w:after="0"/>
              <w:rPr>
                <w:sz w:val="20"/>
                <w:szCs w:val="20"/>
                <w:color w:val="auto"/>
              </w:rPr>
            </w:pPr>
            <w:r>
              <w:rPr>
                <w:rFonts w:ascii="Arial" w:cs="Arial" w:eastAsia="Arial" w:hAnsi="Arial"/>
                <w:sz w:val="18"/>
                <w:szCs w:val="18"/>
                <w:color w:val="auto"/>
              </w:rPr>
              <w:t>No. of Option Shares:</w:t>
            </w:r>
          </w:p>
        </w:tc>
        <w:tc>
          <w:tcPr>
            <w:tcW w:w="7800" w:type="dxa"/>
            <w:vAlign w:val="bottom"/>
          </w:tcPr>
          <w:p>
            <w:pPr>
              <w:ind w:left="1720"/>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w w:val="93"/>
              </w:rPr>
              <w:t>Option Exercise Price per Share:</w:t>
            </w:r>
          </w:p>
        </w:tc>
        <w:tc>
          <w:tcPr>
            <w:tcW w:w="7800" w:type="dxa"/>
            <w:vAlign w:val="bottom"/>
          </w:tcPr>
          <w:p>
            <w:pPr>
              <w:ind w:left="1720"/>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Grant Date:</w:t>
            </w:r>
          </w:p>
        </w:tc>
        <w:tc>
          <w:tcPr>
            <w:tcW w:w="7800" w:type="dxa"/>
            <w:vAlign w:val="bottom"/>
          </w:tcPr>
          <w:p>
            <w:pPr>
              <w:ind w:left="1720"/>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7800" w:type="dxa"/>
            <w:vAlign w:val="bottom"/>
          </w:tcPr>
          <w:p>
            <w:pPr>
              <w:ind w:left="1720"/>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Expiration Date:</w:t>
            </w:r>
          </w:p>
        </w:tc>
        <w:tc>
          <w:tcPr>
            <w:tcW w:w="7800" w:type="dxa"/>
            <w:vAlign w:val="bottom"/>
          </w:tcPr>
          <w:p>
            <w:pPr>
              <w:ind w:left="1720"/>
              <w:spacing w:after="0"/>
              <w:rPr>
                <w:sz w:val="20"/>
                <w:szCs w:val="20"/>
                <w:color w:val="auto"/>
              </w:rPr>
            </w:pPr>
            <w:r>
              <w:rPr>
                <w:rFonts w:ascii="Arial" w:cs="Arial" w:eastAsia="Arial" w:hAnsi="Arial"/>
                <w:sz w:val="18"/>
                <w:szCs w:val="18"/>
                <w:i w:val="1"/>
                <w:iCs w:val="1"/>
                <w:color w:val="auto"/>
              </w:rPr>
              <w:t>See EEO Grant Notice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100" w:firstLine="440"/>
        <w:spacing w:after="0" w:line="275" w:lineRule="auto"/>
        <w:rPr>
          <w:sz w:val="20"/>
          <w:szCs w:val="20"/>
          <w:color w:val="auto"/>
        </w:rPr>
      </w:pPr>
      <w:r>
        <w:rPr>
          <w:rFonts w:ascii="Arial" w:cs="Arial" w:eastAsia="Arial" w:hAnsi="Arial"/>
          <w:sz w:val="17"/>
          <w:szCs w:val="17"/>
          <w:color w:val="auto"/>
        </w:rPr>
        <w:t>Pursuant to the Marqeta, Inc. 2021 Stock Option and Incentive Plan as amended through the date hereof (the “Plan”), Marqeta, Inc. (the “Company”) hereby grants to the Optionee named above an option (the “Stock Option”) to purchase on or prior to the Expiration Date specified above all or part of the number of shares of Class A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68" w:lineRule="exact"/>
        <w:rPr>
          <w:sz w:val="20"/>
          <w:szCs w:val="20"/>
          <w:color w:val="auto"/>
        </w:rPr>
      </w:pPr>
    </w:p>
    <w:p>
      <w:pPr>
        <w:ind w:firstLine="436"/>
        <w:spacing w:after="0" w:line="279" w:lineRule="auto"/>
        <w:tabs>
          <w:tab w:leader="none" w:pos="620"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Exercisability Schedule</w:t>
      </w:r>
      <w:r>
        <w:rPr>
          <w:rFonts w:ascii="Arial" w:cs="Arial" w:eastAsia="Arial" w:hAnsi="Arial"/>
          <w:sz w:val="17"/>
          <w:szCs w:val="17"/>
          <w:color w:val="auto"/>
        </w:rPr>
        <w:t xml:space="preserve">.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maintains a continuous Service Relationship with the Company or a Subsidiary on such dates: </w:t>
      </w:r>
      <w:r>
        <w:rPr>
          <w:rFonts w:ascii="Arial" w:cs="Arial" w:eastAsia="Arial" w:hAnsi="Arial"/>
          <w:sz w:val="17"/>
          <w:szCs w:val="17"/>
          <w:i w:val="1"/>
          <w:iCs w:val="1"/>
          <w:color w:val="auto"/>
        </w:rPr>
        <w:t>See EEO Grant Notice</w:t>
      </w:r>
    </w:p>
    <w:p>
      <w:pPr>
        <w:spacing w:after="0" w:line="17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pacing w:after="0" w:line="62" w:lineRule="exact"/>
        <w:rPr>
          <w:sz w:val="20"/>
          <w:szCs w:val="20"/>
          <w:color w:val="auto"/>
        </w:rPr>
      </w:pPr>
    </w:p>
    <w:p>
      <w:pPr>
        <w:ind w:left="620" w:hanging="184"/>
        <w:spacing w:after="0"/>
        <w:tabs>
          <w:tab w:leader="none" w:pos="62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3" w:lineRule="auto"/>
        <w:tabs>
          <w:tab w:leader="none" w:pos="123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ectPr>
          <w:pgSz w:w="11900" w:h="16838" w:orient="portrait"/>
          <w:cols w:equalWidth="0" w:num="1">
            <w:col w:w="10960"/>
          </w:cols>
          <w:pgMar w:left="440" w:top="270" w:right="499" w:bottom="1440" w:gutter="0" w:footer="0" w:header="0"/>
        </w:sectPr>
      </w:pPr>
    </w:p>
    <w:bookmarkStart w:id="300" w:name="page301"/>
    <w:bookmarkEnd w:id="300"/>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69" w:lineRule="exact"/>
        <w:rPr>
          <w:sz w:val="20"/>
          <w:szCs w:val="20"/>
          <w:color w:val="auto"/>
        </w:rPr>
      </w:pPr>
    </w:p>
    <w:p>
      <w:pPr>
        <w:ind w:right="20" w:firstLine="987"/>
        <w:spacing w:after="0" w:line="291" w:lineRule="auto"/>
        <w:tabs>
          <w:tab w:leader="none" w:pos="124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58" w:lineRule="exact"/>
        <w:rPr>
          <w:rFonts w:ascii="Arial" w:cs="Arial" w:eastAsia="Arial" w:hAnsi="Arial"/>
          <w:sz w:val="16"/>
          <w:szCs w:val="16"/>
          <w:color w:val="auto"/>
        </w:rPr>
      </w:pPr>
    </w:p>
    <w:p>
      <w:pPr>
        <w:ind w:right="60" w:firstLine="987"/>
        <w:spacing w:after="0" w:line="263" w:lineRule="auto"/>
        <w:tabs>
          <w:tab w:leader="none" w:pos="123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01" w:name="page302"/>
    <w:bookmarkEnd w:id="30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Notwithstanding any other provision hereof or of the Plan, no portion of this Stock Option shall be exercisable after the Expiration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hereof.</w:t>
      </w:r>
    </w:p>
    <w:p>
      <w:pPr>
        <w:spacing w:after="0" w:line="103" w:lineRule="exact"/>
        <w:rPr>
          <w:sz w:val="20"/>
          <w:szCs w:val="20"/>
          <w:color w:val="auto"/>
        </w:rPr>
      </w:pPr>
    </w:p>
    <w:p>
      <w:pPr>
        <w:ind w:right="720" w:firstLine="436"/>
        <w:spacing w:after="0" w:line="308" w:lineRule="auto"/>
        <w:tabs>
          <w:tab w:leader="none" w:pos="620"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Termination of Service Relationship</w:t>
      </w:r>
      <w:r>
        <w:rPr>
          <w:rFonts w:ascii="Arial" w:cs="Arial" w:eastAsia="Arial" w:hAnsi="Arial"/>
          <w:sz w:val="17"/>
          <w:szCs w:val="17"/>
          <w:color w:val="auto"/>
        </w:rPr>
        <w:t>. If the Optionee’s Service Relationship with the Company or a Subsidiary (as defined in the Plan) terminates, the period within which to exercise the Stock Option may be subject to earlier termination as set forth below.</w:t>
      </w:r>
    </w:p>
    <w:p>
      <w:pPr>
        <w:spacing w:after="0" w:line="38" w:lineRule="exact"/>
        <w:rPr>
          <w:rFonts w:ascii="Arial" w:cs="Arial" w:eastAsia="Arial" w:hAnsi="Arial"/>
          <w:sz w:val="17"/>
          <w:szCs w:val="17"/>
          <w:color w:val="auto"/>
        </w:rPr>
      </w:pPr>
    </w:p>
    <w:p>
      <w:pPr>
        <w:ind w:right="140" w:firstLine="987"/>
        <w:spacing w:after="0" w:line="301" w:lineRule="auto"/>
        <w:tabs>
          <w:tab w:leader="none" w:pos="1236"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49" w:lineRule="exact"/>
        <w:rPr>
          <w:rFonts w:ascii="Arial" w:cs="Arial" w:eastAsia="Arial" w:hAnsi="Arial"/>
          <w:sz w:val="16"/>
          <w:szCs w:val="16"/>
          <w:color w:val="auto"/>
        </w:rPr>
      </w:pPr>
    </w:p>
    <w:p>
      <w:pPr>
        <w:jc w:val="both"/>
        <w:ind w:right="340" w:firstLine="987"/>
        <w:spacing w:after="0" w:line="257" w:lineRule="auto"/>
        <w:tabs>
          <w:tab w:leader="none" w:pos="1246"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79" w:lineRule="exact"/>
        <w:rPr>
          <w:rFonts w:ascii="Arial" w:cs="Arial" w:eastAsia="Arial" w:hAnsi="Arial"/>
          <w:sz w:val="18"/>
          <w:szCs w:val="18"/>
          <w:color w:val="auto"/>
        </w:rPr>
      </w:pPr>
    </w:p>
    <w:p>
      <w:pPr>
        <w:ind w:right="40" w:firstLine="987"/>
        <w:spacing w:after="0" w:line="293" w:lineRule="auto"/>
        <w:tabs>
          <w:tab w:leader="none" w:pos="1236"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56" w:lineRule="exact"/>
        <w:rPr>
          <w:rFonts w:ascii="Arial" w:cs="Arial" w:eastAsia="Arial" w:hAnsi="Arial"/>
          <w:sz w:val="16"/>
          <w:szCs w:val="16"/>
          <w:color w:val="auto"/>
        </w:rPr>
      </w:pPr>
    </w:p>
    <w:p>
      <w:pPr>
        <w:ind w:firstLine="987"/>
        <w:spacing w:after="0" w:line="257" w:lineRule="auto"/>
        <w:tabs>
          <w:tab w:leader="none" w:pos="1246"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02" w:name="page303"/>
    <w:bookmarkEnd w:id="302"/>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Administrator’s determination of the reason for termination of the Optionee’s Service Relationship with the Company or a Subsidiary shall be conclusive and binding on the Optionee and his or her representatives or legatees.</w:t>
      </w:r>
    </w:p>
    <w:p>
      <w:pPr>
        <w:spacing w:after="0" w:line="62" w:lineRule="exact"/>
        <w:rPr>
          <w:sz w:val="20"/>
          <w:szCs w:val="20"/>
          <w:color w:val="auto"/>
        </w:rPr>
      </w:pPr>
    </w:p>
    <w:p>
      <w:pPr>
        <w:ind w:right="20" w:firstLine="436"/>
        <w:spacing w:after="0" w:line="263" w:lineRule="auto"/>
        <w:tabs>
          <w:tab w:leader="none" w:pos="62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5" w:lineRule="exact"/>
        <w:rPr>
          <w:rFonts w:ascii="Arial" w:cs="Arial" w:eastAsia="Arial" w:hAnsi="Arial"/>
          <w:sz w:val="18"/>
          <w:szCs w:val="18"/>
          <w:color w:val="auto"/>
        </w:rPr>
      </w:pPr>
    </w:p>
    <w:p>
      <w:pPr>
        <w:ind w:right="360" w:firstLine="436"/>
        <w:spacing w:after="0" w:line="263" w:lineRule="auto"/>
        <w:tabs>
          <w:tab w:leader="none" w:pos="62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5" w:lineRule="exact"/>
        <w:rPr>
          <w:rFonts w:ascii="Arial" w:cs="Arial" w:eastAsia="Arial" w:hAnsi="Arial"/>
          <w:sz w:val="18"/>
          <w:szCs w:val="18"/>
          <w:color w:val="auto"/>
        </w:rPr>
      </w:pPr>
    </w:p>
    <w:p>
      <w:pPr>
        <w:ind w:right="60" w:firstLine="436"/>
        <w:spacing w:after="0" w:line="254" w:lineRule="auto"/>
        <w:tabs>
          <w:tab w:leader="none" w:pos="62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86" w:lineRule="exact"/>
        <w:rPr>
          <w:rFonts w:ascii="Arial" w:cs="Arial" w:eastAsia="Arial" w:hAnsi="Arial"/>
          <w:sz w:val="18"/>
          <w:szCs w:val="18"/>
          <w:color w:val="auto"/>
        </w:rPr>
      </w:pPr>
    </w:p>
    <w:p>
      <w:pPr>
        <w:ind w:right="80" w:firstLine="436"/>
        <w:spacing w:after="0" w:line="259" w:lineRule="auto"/>
        <w:tabs>
          <w:tab w:leader="none" w:pos="62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78" w:lineRule="exact"/>
        <w:rPr>
          <w:rFonts w:ascii="Arial" w:cs="Arial" w:eastAsia="Arial" w:hAnsi="Arial"/>
          <w:sz w:val="18"/>
          <w:szCs w:val="18"/>
          <w:color w:val="auto"/>
        </w:rPr>
      </w:pPr>
    </w:p>
    <w:p>
      <w:pPr>
        <w:ind w:firstLine="436"/>
        <w:spacing w:after="0" w:line="342" w:lineRule="auto"/>
        <w:tabs>
          <w:tab w:leader="none" w:pos="620"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including, without limitation, all exhibits attached hereto, constitutes the entire agreement between the parties with respect to this Stock Option and supersedes all prior agreements and discussions between the parties concerning such subject matter.</w:t>
      </w:r>
    </w:p>
    <w:p>
      <w:pPr>
        <w:spacing w:after="0" w:line="15" w:lineRule="exact"/>
        <w:rPr>
          <w:rFonts w:ascii="Arial" w:cs="Arial" w:eastAsia="Arial" w:hAnsi="Arial"/>
          <w:sz w:val="16"/>
          <w:szCs w:val="16"/>
          <w:color w:val="auto"/>
        </w:rPr>
      </w:pPr>
    </w:p>
    <w:p>
      <w:pPr>
        <w:ind w:right="80" w:firstLine="436"/>
        <w:spacing w:after="0" w:line="255" w:lineRule="auto"/>
        <w:tabs>
          <w:tab w:leader="none" w:pos="62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03" w:name="page304"/>
    <w:bookmarkEnd w:id="30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79" w:lineRule="exact"/>
        <w:rPr>
          <w:sz w:val="20"/>
          <w:szCs w:val="20"/>
          <w:color w:val="auto"/>
        </w:rPr>
      </w:pPr>
    </w:p>
    <w:p>
      <w:pPr>
        <w:ind w:right="80" w:firstLine="436"/>
        <w:spacing w:after="0" w:line="263" w:lineRule="auto"/>
        <w:tabs>
          <w:tab w:leader="none" w:pos="71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65836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288925</wp:posOffset>
            </wp:positionV>
            <wp:extent cx="307721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580390</wp:posOffset>
            </wp:positionV>
            <wp:extent cx="30772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871855</wp:posOffset>
            </wp:positionV>
            <wp:extent cx="30772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20" w:type="dxa"/>
            <w:vAlign w:val="bottom"/>
          </w:tcPr>
          <w:p>
            <w:pPr>
              <w:jc w:val="center"/>
              <w:ind w:right="1810"/>
              <w:spacing w:after="0"/>
              <w:rPr>
                <w:sz w:val="20"/>
                <w:szCs w:val="20"/>
                <w:color w:val="auto"/>
              </w:rPr>
            </w:pPr>
            <w:r>
              <w:rPr>
                <w:rFonts w:ascii="Arial" w:cs="Arial" w:eastAsia="Arial" w:hAnsi="Arial"/>
                <w:sz w:val="18"/>
                <w:szCs w:val="18"/>
                <w:b w:val="1"/>
                <w:bCs w:val="1"/>
                <w:color w:val="auto"/>
              </w:rPr>
              <w:t>RESTRICTED STOCK UNIT AWARD AGREEMENT</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20" w:type="dxa"/>
            <w:vAlign w:val="bottom"/>
          </w:tcPr>
          <w:p>
            <w:pPr>
              <w:jc w:val="center"/>
              <w:ind w:right="1810"/>
              <w:spacing w:after="0"/>
              <w:rPr>
                <w:sz w:val="20"/>
                <w:szCs w:val="20"/>
                <w:color w:val="auto"/>
              </w:rPr>
            </w:pPr>
            <w:r>
              <w:rPr>
                <w:rFonts w:ascii="Arial" w:cs="Arial" w:eastAsia="Arial" w:hAnsi="Arial"/>
                <w:sz w:val="18"/>
                <w:szCs w:val="18"/>
                <w:b w:val="1"/>
                <w:bCs w:val="1"/>
                <w:color w:val="auto"/>
              </w:rPr>
              <w:t>FOR NON-EMPLOYEE DIRECTORS</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20" w:type="dxa"/>
            <w:vAlign w:val="bottom"/>
          </w:tcPr>
          <w:p>
            <w:pPr>
              <w:jc w:val="center"/>
              <w:ind w:right="1810"/>
              <w:spacing w:after="0"/>
              <w:rPr>
                <w:sz w:val="20"/>
                <w:szCs w:val="20"/>
                <w:color w:val="auto"/>
              </w:rPr>
            </w:pPr>
            <w:r>
              <w:rPr>
                <w:rFonts w:ascii="Arial" w:cs="Arial" w:eastAsia="Arial" w:hAnsi="Arial"/>
                <w:sz w:val="18"/>
                <w:szCs w:val="18"/>
                <w:b w:val="1"/>
                <w:bCs w:val="1"/>
                <w:color w:val="auto"/>
              </w:rPr>
              <w:t>UNDER THE MARQETA, INC.</w:t>
            </w:r>
          </w:p>
        </w:tc>
      </w:tr>
      <w:tr>
        <w:trPr>
          <w:trHeight w:val="234"/>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20" w:type="dxa"/>
            <w:vAlign w:val="bottom"/>
          </w:tcPr>
          <w:p>
            <w:pPr>
              <w:jc w:val="center"/>
              <w:ind w:right="1810"/>
              <w:spacing w:after="0"/>
              <w:rPr>
                <w:sz w:val="20"/>
                <w:szCs w:val="20"/>
                <w:color w:val="auto"/>
              </w:rPr>
            </w:pPr>
            <w:r>
              <w:rPr>
                <w:rFonts w:ascii="Arial" w:cs="Arial" w:eastAsia="Arial" w:hAnsi="Arial"/>
                <w:sz w:val="18"/>
                <w:szCs w:val="18"/>
                <w:b w:val="1"/>
                <w:bCs w:val="1"/>
                <w:color w:val="auto"/>
              </w:rPr>
              <w:t>2021 STOCK OPTION AND INCENTIVE PLAN</w:t>
            </w:r>
          </w:p>
        </w:tc>
      </w:tr>
      <w:tr>
        <w:trPr>
          <w:trHeight w:val="418"/>
        </w:trPr>
        <w:tc>
          <w:tcPr>
            <w:tcW w:w="2380" w:type="dxa"/>
            <w:vAlign w:val="bottom"/>
          </w:tcPr>
          <w:p>
            <w:pPr>
              <w:spacing w:after="0"/>
              <w:rPr>
                <w:sz w:val="20"/>
                <w:szCs w:val="20"/>
                <w:color w:val="auto"/>
              </w:rPr>
            </w:pPr>
            <w:r>
              <w:rPr>
                <w:rFonts w:ascii="Arial" w:cs="Arial" w:eastAsia="Arial" w:hAnsi="Arial"/>
                <w:sz w:val="18"/>
                <w:szCs w:val="18"/>
                <w:i w:val="1"/>
                <w:iCs w:val="1"/>
                <w:color w:val="auto"/>
              </w:rPr>
              <w:t>Name of Grantee:</w:t>
            </w:r>
          </w:p>
        </w:tc>
        <w:tc>
          <w:tcPr>
            <w:tcW w:w="7940" w:type="dxa"/>
            <w:vAlign w:val="bottom"/>
            <w:gridSpan w:val="2"/>
          </w:tcPr>
          <w:p>
            <w:pPr>
              <w:ind w:left="220"/>
              <w:spacing w:after="0"/>
              <w:rPr>
                <w:sz w:val="20"/>
                <w:szCs w:val="20"/>
                <w:color w:val="auto"/>
              </w:rPr>
            </w:pPr>
            <w:r>
              <w:rPr>
                <w:rFonts w:ascii="Arial" w:cs="Arial" w:eastAsia="Arial" w:hAnsi="Arial"/>
                <w:sz w:val="18"/>
                <w:szCs w:val="18"/>
                <w:i w:val="1"/>
                <w:iCs w:val="1"/>
                <w:color w:val="auto"/>
                <w:w w:val="91"/>
              </w:rPr>
              <w:t>See Grant Notice provided by the Company to the Grantee through Equity Edge (the “EEO Grant Notice”)</w:t>
            </w:r>
          </w:p>
        </w:tc>
      </w:tr>
      <w:tr>
        <w:trPr>
          <w:trHeight w:val="345"/>
        </w:trPr>
        <w:tc>
          <w:tcPr>
            <w:tcW w:w="2380" w:type="dxa"/>
            <w:vAlign w:val="bottom"/>
          </w:tcPr>
          <w:p>
            <w:pPr>
              <w:spacing w:after="0"/>
              <w:rPr>
                <w:sz w:val="20"/>
                <w:szCs w:val="20"/>
                <w:color w:val="auto"/>
              </w:rPr>
            </w:pPr>
            <w:r>
              <w:rPr>
                <w:rFonts w:ascii="Arial" w:cs="Arial" w:eastAsia="Arial" w:hAnsi="Arial"/>
                <w:sz w:val="18"/>
                <w:szCs w:val="18"/>
                <w:color w:val="auto"/>
              </w:rPr>
              <w:t>No. of Restricted Stock Units:</w:t>
            </w:r>
          </w:p>
        </w:tc>
        <w:tc>
          <w:tcPr>
            <w:tcW w:w="220" w:type="dxa"/>
            <w:vAlign w:val="bottom"/>
          </w:tcPr>
          <w:p>
            <w:pPr>
              <w:spacing w:after="0"/>
              <w:rPr>
                <w:sz w:val="24"/>
                <w:szCs w:val="24"/>
                <w:color w:val="auto"/>
              </w:rPr>
            </w:pPr>
          </w:p>
        </w:tc>
        <w:tc>
          <w:tcPr>
            <w:tcW w:w="7720" w:type="dxa"/>
            <w:vAlign w:val="bottom"/>
            <w:tcBorders>
              <w:top w:val="single" w:sz="8" w:color="auto"/>
            </w:tcBorders>
          </w:tcPr>
          <w:p>
            <w:pPr>
              <w:ind w:left="1600"/>
              <w:spacing w:after="0"/>
              <w:rPr>
                <w:sz w:val="20"/>
                <w:szCs w:val="20"/>
                <w:color w:val="auto"/>
              </w:rPr>
            </w:pPr>
            <w:r>
              <w:rPr>
                <w:rFonts w:ascii="Arial" w:cs="Arial" w:eastAsia="Arial" w:hAnsi="Arial"/>
                <w:sz w:val="18"/>
                <w:szCs w:val="18"/>
                <w:i w:val="1"/>
                <w:iCs w:val="1"/>
                <w:color w:val="auto"/>
              </w:rPr>
              <w:t>See EEO Grant Notice</w:t>
            </w: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Grant Date:</w:t>
            </w:r>
          </w:p>
        </w:tc>
        <w:tc>
          <w:tcPr>
            <w:tcW w:w="220" w:type="dxa"/>
            <w:vAlign w:val="bottom"/>
          </w:tcPr>
          <w:p>
            <w:pPr>
              <w:spacing w:after="0"/>
              <w:rPr>
                <w:sz w:val="24"/>
                <w:szCs w:val="24"/>
                <w:color w:val="auto"/>
              </w:rPr>
            </w:pPr>
          </w:p>
        </w:tc>
        <w:tc>
          <w:tcPr>
            <w:tcW w:w="7720" w:type="dxa"/>
            <w:vAlign w:val="bottom"/>
          </w:tcPr>
          <w:p>
            <w:pPr>
              <w:ind w:left="1600"/>
              <w:spacing w:after="0"/>
              <w:rPr>
                <w:sz w:val="20"/>
                <w:szCs w:val="20"/>
                <w:color w:val="auto"/>
              </w:rPr>
            </w:pPr>
            <w:r>
              <w:rPr>
                <w:rFonts w:ascii="Arial" w:cs="Arial" w:eastAsia="Arial" w:hAnsi="Arial"/>
                <w:sz w:val="18"/>
                <w:szCs w:val="18"/>
                <w:i w:val="1"/>
                <w:iCs w:val="1"/>
                <w:color w:val="auto"/>
              </w:rPr>
              <w:t>See EEO Grant Notice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20" w:firstLine="440"/>
        <w:spacing w:after="0" w:line="286" w:lineRule="auto"/>
        <w:rPr>
          <w:sz w:val="20"/>
          <w:szCs w:val="20"/>
          <w:color w:val="auto"/>
        </w:rPr>
      </w:pPr>
      <w:r>
        <w:rPr>
          <w:rFonts w:ascii="Arial" w:cs="Arial" w:eastAsia="Arial" w:hAnsi="Arial"/>
          <w:sz w:val="17"/>
          <w:szCs w:val="17"/>
          <w:color w:val="auto"/>
        </w:rPr>
        <w:t>Pursuant to the Marqeta, Inc. 2021 Stock Option and Incentive Plan as amended through the date hereof (the “Plan”), Marqeta, Inc. (the “Company”) hereby grants an award of the number of Restricted Stock Units listed above (an “Award”) to the Grantee named above. Each Restricted Stock Unit shall relate to one share of Class A Common Stock, par value $0.0001 per share (the “Stock”) of the Company.</w:t>
      </w:r>
    </w:p>
    <w:p>
      <w:pPr>
        <w:spacing w:after="0" w:line="57" w:lineRule="exact"/>
        <w:rPr>
          <w:sz w:val="20"/>
          <w:szCs w:val="20"/>
          <w:color w:val="auto"/>
        </w:rPr>
      </w:pPr>
    </w:p>
    <w:p>
      <w:pPr>
        <w:ind w:firstLine="436"/>
        <w:spacing w:after="0" w:line="259" w:lineRule="auto"/>
        <w:tabs>
          <w:tab w:leader="none" w:pos="6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78" w:lineRule="exact"/>
        <w:rPr>
          <w:rFonts w:ascii="Arial" w:cs="Arial" w:eastAsia="Arial" w:hAnsi="Arial"/>
          <w:sz w:val="18"/>
          <w:szCs w:val="18"/>
          <w:color w:val="auto"/>
        </w:rPr>
      </w:pPr>
    </w:p>
    <w:p>
      <w:pPr>
        <w:ind w:right="80" w:firstLine="436"/>
        <w:spacing w:after="0" w:line="259" w:lineRule="auto"/>
        <w:tabs>
          <w:tab w:leader="none" w:pos="6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EEO Grant Notice so long as the Grantee maintains a continuous Service Relationship with the Company or a Subsidiary on such Vesting Dates. If a series of Vesting Dates is specified, then the restrictions and conditions in Paragraph 1 shall lapse only with respect to the number of Restricted Stock Units specified as vested on such date.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117" w:lineRule="exact"/>
        <w:rPr>
          <w:sz w:val="20"/>
          <w:szCs w:val="20"/>
          <w:color w:val="auto"/>
        </w:rPr>
      </w:pPr>
    </w:p>
    <w:p>
      <w:pPr>
        <w:jc w:val="both"/>
        <w:ind w:right="40" w:firstLine="436"/>
        <w:spacing w:after="0" w:line="301" w:lineRule="auto"/>
        <w:tabs>
          <w:tab w:leader="none" w:pos="620"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Termination of Service as a Non-Employee Director</w:t>
      </w:r>
      <w:r>
        <w:rPr>
          <w:rFonts w:ascii="Arial" w:cs="Arial" w:eastAsia="Arial" w:hAnsi="Arial"/>
          <w:sz w:val="16"/>
          <w:szCs w:val="16"/>
          <w:color w:val="auto"/>
        </w:rPr>
        <w:t xml:space="preserve"> If the Grantee’s service with the Company and its Subsidiaries as a member of the Board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49" w:lineRule="exact"/>
        <w:rPr>
          <w:rFonts w:ascii="Arial" w:cs="Arial" w:eastAsia="Arial" w:hAnsi="Arial"/>
          <w:sz w:val="16"/>
          <w:szCs w:val="16"/>
          <w:color w:val="auto"/>
        </w:rPr>
      </w:pPr>
    </w:p>
    <w:p>
      <w:pPr>
        <w:ind w:right="100" w:firstLine="436"/>
        <w:spacing w:after="0" w:line="259" w:lineRule="auto"/>
        <w:tabs>
          <w:tab w:leader="none" w:pos="62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ectPr>
          <w:pgSz w:w="11900" w:h="16838" w:orient="portrait"/>
          <w:cols w:equalWidth="0" w:num="1">
            <w:col w:w="10980"/>
          </w:cols>
          <w:pgMar w:left="440" w:top="270" w:right="479" w:bottom="1440" w:gutter="0" w:footer="0" w:header="0"/>
        </w:sectPr>
      </w:pPr>
    </w:p>
    <w:bookmarkStart w:id="305" w:name="page306"/>
    <w:bookmarkEnd w:id="305"/>
    <w:p>
      <w:pPr>
        <w:ind w:right="20" w:firstLine="436"/>
        <w:spacing w:after="0" w:line="263" w:lineRule="auto"/>
        <w:tabs>
          <w:tab w:leader="none" w:pos="62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38" w:lineRule="exact"/>
        <w:rPr>
          <w:rFonts w:ascii="Arial" w:cs="Arial" w:eastAsia="Arial" w:hAnsi="Arial"/>
          <w:sz w:val="17"/>
          <w:szCs w:val="17"/>
          <w:color w:val="auto"/>
        </w:rPr>
      </w:pPr>
    </w:p>
    <w:p>
      <w:pPr>
        <w:ind w:right="840" w:firstLine="436"/>
        <w:spacing w:after="0" w:line="277" w:lineRule="auto"/>
        <w:tabs>
          <w:tab w:leader="none" w:pos="62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Plan nor this Award confers upon the Grantee any rights with respect to continuance as a Non-Employee Director or other Service Relationship with the Company.</w:t>
      </w:r>
    </w:p>
    <w:p>
      <w:pPr>
        <w:spacing w:after="0" w:line="62" w:lineRule="exact"/>
        <w:rPr>
          <w:rFonts w:ascii="Arial" w:cs="Arial" w:eastAsia="Arial" w:hAnsi="Arial"/>
          <w:sz w:val="18"/>
          <w:szCs w:val="18"/>
          <w:color w:val="auto"/>
        </w:rPr>
      </w:pPr>
    </w:p>
    <w:p>
      <w:pPr>
        <w:ind w:firstLine="436"/>
        <w:spacing w:after="0" w:line="308" w:lineRule="auto"/>
        <w:tabs>
          <w:tab w:leader="none" w:pos="62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including, without limitation, all exhibits attached hereto, constitutes the entire agreement between the parties with respect to this Award and supersedes all prior agreements and discussions between the parties concerning such subject matter.</w:t>
      </w:r>
    </w:p>
    <w:p>
      <w:pPr>
        <w:spacing w:after="0" w:line="38" w:lineRule="exact"/>
        <w:rPr>
          <w:rFonts w:ascii="Arial" w:cs="Arial" w:eastAsia="Arial" w:hAnsi="Arial"/>
          <w:sz w:val="17"/>
          <w:szCs w:val="17"/>
          <w:color w:val="auto"/>
        </w:rPr>
      </w:pPr>
    </w:p>
    <w:p>
      <w:pPr>
        <w:ind w:right="220" w:firstLine="436"/>
        <w:spacing w:after="0" w:line="272" w:lineRule="auto"/>
        <w:tabs>
          <w:tab w:leader="none" w:pos="62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To the extent applicable,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69" w:lineRule="exact"/>
        <w:rPr>
          <w:rFonts w:ascii="Arial" w:cs="Arial" w:eastAsia="Arial" w:hAnsi="Arial"/>
          <w:sz w:val="17"/>
          <w:szCs w:val="17"/>
          <w:color w:val="auto"/>
        </w:rPr>
      </w:pPr>
    </w:p>
    <w:p>
      <w:pPr>
        <w:ind w:firstLine="436"/>
        <w:spacing w:after="0" w:line="253" w:lineRule="auto"/>
        <w:tabs>
          <w:tab w:leader="none" w:pos="71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06" w:name="page307"/>
    <w:bookmarkEnd w:id="306"/>
    <w:p>
      <w:pPr>
        <w:jc w:val="both"/>
        <w:ind w:firstLine="436"/>
        <w:spacing w:after="0" w:line="263" w:lineRule="auto"/>
        <w:tabs>
          <w:tab w:leader="none" w:pos="703"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-10160</wp:posOffset>
            </wp:positionV>
            <wp:extent cx="231394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231394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288925</wp:posOffset>
            </wp:positionV>
            <wp:extent cx="328295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580390</wp:posOffset>
            </wp:positionV>
            <wp:extent cx="328295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871855</wp:posOffset>
            </wp:positionV>
            <wp:extent cx="328295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440" w:top="274" w:right="61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7740" w:type="dxa"/>
            <w:vAlign w:val="bottom"/>
          </w:tcPr>
          <w:p>
            <w:pPr>
              <w:jc w:val="center"/>
              <w:ind w:right="1430"/>
              <w:spacing w:after="0"/>
              <w:rPr>
                <w:sz w:val="20"/>
                <w:szCs w:val="20"/>
                <w:color w:val="auto"/>
              </w:rPr>
            </w:pPr>
            <w:r>
              <w:rPr>
                <w:rFonts w:ascii="Arial" w:cs="Arial" w:eastAsia="Arial" w:hAnsi="Arial"/>
                <w:sz w:val="18"/>
                <w:szCs w:val="18"/>
                <w:b w:val="1"/>
                <w:bCs w:val="1"/>
                <w:color w:val="auto"/>
              </w:rPr>
              <w:t>RESTRICTED STOCK UNIT AWARD AGREEMENT</w:t>
            </w:r>
          </w:p>
        </w:tc>
      </w:tr>
      <w:tr>
        <w:trPr>
          <w:trHeight w:val="216"/>
        </w:trPr>
        <w:tc>
          <w:tcPr>
            <w:tcW w:w="2400" w:type="dxa"/>
            <w:vAlign w:val="bottom"/>
          </w:tcPr>
          <w:p>
            <w:pPr>
              <w:spacing w:after="0"/>
              <w:rPr>
                <w:sz w:val="18"/>
                <w:szCs w:val="18"/>
                <w:color w:val="auto"/>
              </w:rPr>
            </w:pPr>
          </w:p>
        </w:tc>
        <w:tc>
          <w:tcPr>
            <w:tcW w:w="77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9"/>
              </w:rPr>
              <w:t>FOR COMPANY EMPLOYEES</w:t>
            </w:r>
          </w:p>
        </w:tc>
      </w:tr>
      <w:tr>
        <w:trPr>
          <w:trHeight w:val="216"/>
        </w:trPr>
        <w:tc>
          <w:tcPr>
            <w:tcW w:w="2400" w:type="dxa"/>
            <w:vAlign w:val="bottom"/>
          </w:tcPr>
          <w:p>
            <w:pPr>
              <w:spacing w:after="0"/>
              <w:rPr>
                <w:sz w:val="18"/>
                <w:szCs w:val="18"/>
                <w:color w:val="auto"/>
              </w:rPr>
            </w:pPr>
          </w:p>
        </w:tc>
        <w:tc>
          <w:tcPr>
            <w:tcW w:w="7740" w:type="dxa"/>
            <w:vAlign w:val="bottom"/>
          </w:tcPr>
          <w:p>
            <w:pPr>
              <w:jc w:val="center"/>
              <w:ind w:right="1430"/>
              <w:spacing w:after="0"/>
              <w:rPr>
                <w:sz w:val="20"/>
                <w:szCs w:val="20"/>
                <w:color w:val="auto"/>
              </w:rPr>
            </w:pPr>
            <w:r>
              <w:rPr>
                <w:rFonts w:ascii="Arial" w:cs="Arial" w:eastAsia="Arial" w:hAnsi="Arial"/>
                <w:sz w:val="18"/>
                <w:szCs w:val="18"/>
                <w:b w:val="1"/>
                <w:bCs w:val="1"/>
                <w:color w:val="auto"/>
              </w:rPr>
              <w:t>UNDER THE MARQETA, INC.</w:t>
            </w:r>
          </w:p>
        </w:tc>
      </w:tr>
      <w:tr>
        <w:trPr>
          <w:trHeight w:val="234"/>
        </w:trPr>
        <w:tc>
          <w:tcPr>
            <w:tcW w:w="2400" w:type="dxa"/>
            <w:vAlign w:val="bottom"/>
          </w:tcPr>
          <w:p>
            <w:pPr>
              <w:spacing w:after="0"/>
              <w:rPr>
                <w:sz w:val="20"/>
                <w:szCs w:val="20"/>
                <w:color w:val="auto"/>
              </w:rPr>
            </w:pPr>
          </w:p>
        </w:tc>
        <w:tc>
          <w:tcPr>
            <w:tcW w:w="7740" w:type="dxa"/>
            <w:vAlign w:val="bottom"/>
          </w:tcPr>
          <w:p>
            <w:pPr>
              <w:jc w:val="center"/>
              <w:ind w:right="1430"/>
              <w:spacing w:after="0"/>
              <w:rPr>
                <w:sz w:val="20"/>
                <w:szCs w:val="20"/>
                <w:color w:val="auto"/>
              </w:rPr>
            </w:pPr>
            <w:r>
              <w:rPr>
                <w:rFonts w:ascii="Arial" w:cs="Arial" w:eastAsia="Arial" w:hAnsi="Arial"/>
                <w:sz w:val="18"/>
                <w:szCs w:val="18"/>
                <w:b w:val="1"/>
                <w:bCs w:val="1"/>
                <w:color w:val="auto"/>
              </w:rPr>
              <w:t>2021 STOCK OPTION AND INCENTIVE PLAN</w:t>
            </w:r>
          </w:p>
        </w:tc>
      </w:tr>
      <w:tr>
        <w:trPr>
          <w:trHeight w:val="418"/>
        </w:trPr>
        <w:tc>
          <w:tcPr>
            <w:tcW w:w="2400" w:type="dxa"/>
            <w:vAlign w:val="bottom"/>
          </w:tcPr>
          <w:p>
            <w:pPr>
              <w:spacing w:after="0"/>
              <w:rPr>
                <w:sz w:val="20"/>
                <w:szCs w:val="20"/>
                <w:color w:val="auto"/>
              </w:rPr>
            </w:pPr>
            <w:r>
              <w:rPr>
                <w:rFonts w:ascii="Arial" w:cs="Arial" w:eastAsia="Arial" w:hAnsi="Arial"/>
                <w:sz w:val="18"/>
                <w:szCs w:val="18"/>
                <w:color w:val="auto"/>
              </w:rPr>
              <w:t>Name of Grantee:</w:t>
            </w: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See Grant Notice provided by the Company to the Grantee through Equity Edge (the “EEO Grant Notice”)</w:t>
            </w:r>
          </w:p>
        </w:tc>
      </w:tr>
      <w:tr>
        <w:trPr>
          <w:trHeight w:val="345"/>
        </w:trPr>
        <w:tc>
          <w:tcPr>
            <w:tcW w:w="2400" w:type="dxa"/>
            <w:vAlign w:val="bottom"/>
          </w:tcPr>
          <w:p>
            <w:pPr>
              <w:spacing w:after="0"/>
              <w:rPr>
                <w:sz w:val="20"/>
                <w:szCs w:val="20"/>
                <w:color w:val="auto"/>
              </w:rPr>
            </w:pPr>
            <w:r>
              <w:rPr>
                <w:rFonts w:ascii="Arial" w:cs="Arial" w:eastAsia="Arial" w:hAnsi="Arial"/>
                <w:sz w:val="18"/>
                <w:szCs w:val="18"/>
                <w:color w:val="auto"/>
              </w:rPr>
              <w:t>No. of Restricted Stock Units:</w:t>
            </w:r>
          </w:p>
        </w:tc>
        <w:tc>
          <w:tcPr>
            <w:tcW w:w="7740" w:type="dxa"/>
            <w:vAlign w:val="bottom"/>
          </w:tcPr>
          <w:p>
            <w:pPr>
              <w:ind w:left="360"/>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rPr>
              <w:t>Grant Date:</w:t>
            </w:r>
          </w:p>
        </w:tc>
        <w:tc>
          <w:tcPr>
            <w:tcW w:w="7740" w:type="dxa"/>
            <w:vAlign w:val="bottom"/>
          </w:tcPr>
          <w:p>
            <w:pPr>
              <w:ind w:left="360"/>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w w:val="97"/>
              </w:rPr>
              <w:t>Vesting Commencement Date:</w:t>
            </w:r>
          </w:p>
        </w:tc>
        <w:tc>
          <w:tcPr>
            <w:tcW w:w="7740" w:type="dxa"/>
            <w:vAlign w:val="bottom"/>
          </w:tcPr>
          <w:p>
            <w:pPr>
              <w:ind w:left="360"/>
              <w:spacing w:after="0"/>
              <w:rPr>
                <w:sz w:val="20"/>
                <w:szCs w:val="20"/>
                <w:color w:val="auto"/>
              </w:rPr>
            </w:pPr>
            <w:r>
              <w:rPr>
                <w:rFonts w:ascii="Arial" w:cs="Arial" w:eastAsia="Arial" w:hAnsi="Arial"/>
                <w:sz w:val="18"/>
                <w:szCs w:val="18"/>
                <w:i w:val="1"/>
                <w:iCs w:val="1"/>
                <w:color w:val="auto"/>
              </w:rPr>
              <w:t>See EEO Grant Notice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20" w:firstLine="440"/>
        <w:spacing w:after="0" w:line="286" w:lineRule="auto"/>
        <w:rPr>
          <w:sz w:val="20"/>
          <w:szCs w:val="20"/>
          <w:color w:val="auto"/>
        </w:rPr>
      </w:pPr>
      <w:r>
        <w:rPr>
          <w:rFonts w:ascii="Arial" w:cs="Arial" w:eastAsia="Arial" w:hAnsi="Arial"/>
          <w:sz w:val="17"/>
          <w:szCs w:val="17"/>
          <w:color w:val="auto"/>
        </w:rPr>
        <w:t>Pursuant to the Marqeta, Inc. 2021 Stock Option and Incentive Plan as amended through the date hereof (the “Plan”), Marqeta, Inc. (the “Company”) hereby grants an award of the number of Restricted Stock Units listed above (an “Award”) to the Grantee named above. Each Restricted Stock Unit shall relate to one share of Class A Common Stock, par value $0.0001 per share (the “Stock”) of the Company.</w:t>
      </w:r>
    </w:p>
    <w:p>
      <w:pPr>
        <w:spacing w:after="0" w:line="165" w:lineRule="exact"/>
        <w:rPr>
          <w:sz w:val="20"/>
          <w:szCs w:val="20"/>
          <w:color w:val="auto"/>
        </w:rPr>
      </w:pPr>
    </w:p>
    <w:p>
      <w:pPr>
        <w:ind w:firstLine="436"/>
        <w:spacing w:after="0" w:line="259" w:lineRule="auto"/>
        <w:tabs>
          <w:tab w:leader="none" w:pos="62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6" w:lineRule="exact"/>
        <w:rPr>
          <w:rFonts w:ascii="Arial" w:cs="Arial" w:eastAsia="Arial" w:hAnsi="Arial"/>
          <w:sz w:val="18"/>
          <w:szCs w:val="18"/>
          <w:color w:val="auto"/>
        </w:rPr>
      </w:pPr>
    </w:p>
    <w:p>
      <w:pPr>
        <w:ind w:right="20" w:firstLine="436"/>
        <w:spacing w:after="0" w:line="259" w:lineRule="auto"/>
        <w:tabs>
          <w:tab w:leader="none" w:pos="62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EEO Grant Notice so long as the Grantee maintains a continuous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225" w:lineRule="exact"/>
        <w:rPr>
          <w:sz w:val="20"/>
          <w:szCs w:val="20"/>
          <w:color w:val="auto"/>
        </w:rPr>
      </w:pPr>
    </w:p>
    <w:p>
      <w:pPr>
        <w:ind w:right="120" w:firstLine="436"/>
        <w:spacing w:after="0" w:line="301" w:lineRule="auto"/>
        <w:tabs>
          <w:tab w:leader="none" w:pos="620"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Termination of Service Relationship</w:t>
      </w:r>
      <w:r>
        <w:rPr>
          <w:rFonts w:ascii="Arial" w:cs="Arial" w:eastAsia="Arial" w:hAnsi="Arial"/>
          <w:sz w:val="16"/>
          <w:szCs w:val="16"/>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0980"/>
          </w:cols>
          <w:pgMar w:left="440" w:top="270" w:right="479" w:bottom="1440" w:gutter="0" w:footer="0" w:header="0"/>
        </w:sectPr>
      </w:pPr>
    </w:p>
    <w:bookmarkStart w:id="308" w:name="page309"/>
    <w:bookmarkEnd w:id="308"/>
    <w:p>
      <w:pPr>
        <w:ind w:left="-20" w:right="100" w:firstLine="436"/>
        <w:spacing w:after="0" w:line="259" w:lineRule="auto"/>
        <w:tabs>
          <w:tab w:leader="none" w:pos="60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86" w:lineRule="exact"/>
        <w:rPr>
          <w:rFonts w:ascii="Arial" w:cs="Arial" w:eastAsia="Arial" w:hAnsi="Arial"/>
          <w:sz w:val="18"/>
          <w:szCs w:val="18"/>
          <w:color w:val="auto"/>
        </w:rPr>
      </w:pPr>
    </w:p>
    <w:p>
      <w:pPr>
        <w:ind w:left="-20" w:firstLine="436"/>
        <w:spacing w:after="0" w:line="263" w:lineRule="auto"/>
        <w:tabs>
          <w:tab w:leader="none" w:pos="60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3" w:lineRule="exact"/>
        <w:rPr>
          <w:rFonts w:ascii="Arial" w:cs="Arial" w:eastAsia="Arial" w:hAnsi="Arial"/>
          <w:sz w:val="18"/>
          <w:szCs w:val="18"/>
          <w:color w:val="auto"/>
        </w:rPr>
      </w:pPr>
    </w:p>
    <w:p>
      <w:pPr>
        <w:ind w:left="-20" w:right="20" w:firstLine="436"/>
        <w:spacing w:after="0" w:line="268" w:lineRule="auto"/>
        <w:tabs>
          <w:tab w:leader="none" w:pos="600"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As a condition to the grant, vesting, and settlement of this Award and to the greatest extent permitted under the Plan and applicable laws, the Grantee authorizes the Company, in its discretion, to cause the required tax withholding obligation for payment of any Federal, state, and local taxes required by law to be satisfied, in whole or in part, by causing its transfer agent to sell from the number of shares of Stock to be issued to the Grantee, the number of shares of Stock necessary to satisfy the Federal, state and local taxes required by law to be withheld from the Grantee on account of such transfer. It is the Company’s intent that the mandatory sale to cover the required tax withholding obligation comply with the requirements of Rule 10b5-1(c)(1)(i)(B) under the Exchange Act and be interpreted to comply with the requirements of Rule 10b5-1(c). Notwithstanding the foregoing, in its sole discretion, pursuant to this Agreement, the Company may instead withhold from shares of Stock to be issued to the Grantee a number of shares of Stock with an aggregate Fair Market Value that would satisfy the withholding amount due and make payments from its own funds to the appropriate taxing authorities in an amount equal to the required tax withholding obligation, or may enter into any other arrangement with the Grantee to satisfy Grantee’s required tax withholding obligation in accordance with this section of the Agreement. Regardless of any action the Company takes with respect to any Federal, state, and local taxes on account of Grantee’s receipt of this Award, Grantee acknowledges and agrees that the ultimate tax liability is and remains Grantee’s responsibility and may exceed any amount actually withheld by the Company.</w:t>
      </w:r>
    </w:p>
    <w:p>
      <w:pPr>
        <w:spacing w:after="0" w:line="181" w:lineRule="exact"/>
        <w:rPr>
          <w:rFonts w:ascii="Arial" w:cs="Arial" w:eastAsia="Arial" w:hAnsi="Arial"/>
          <w:sz w:val="17"/>
          <w:szCs w:val="17"/>
          <w:color w:val="auto"/>
        </w:rPr>
      </w:pPr>
    </w:p>
    <w:p>
      <w:pPr>
        <w:ind w:left="-20" w:right="140" w:firstLine="436"/>
        <w:spacing w:after="0" w:line="308" w:lineRule="auto"/>
        <w:tabs>
          <w:tab w:leader="none" w:pos="600"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46" w:lineRule="exact"/>
        <w:rPr>
          <w:rFonts w:ascii="Arial" w:cs="Arial" w:eastAsia="Arial" w:hAnsi="Arial"/>
          <w:sz w:val="17"/>
          <w:szCs w:val="17"/>
          <w:color w:val="auto"/>
        </w:rPr>
      </w:pPr>
    </w:p>
    <w:p>
      <w:pPr>
        <w:ind w:left="-20" w:firstLine="436"/>
        <w:spacing w:after="0" w:line="311" w:lineRule="auto"/>
        <w:tabs>
          <w:tab w:leader="none" w:pos="600"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No Obligation to Continue Service Relationship</w:t>
      </w:r>
      <w:r>
        <w:rPr>
          <w:rFonts w:ascii="Arial" w:cs="Arial" w:eastAsia="Arial" w:hAnsi="Arial"/>
          <w:sz w:val="16"/>
          <w:szCs w:val="16"/>
          <w:color w:val="auto"/>
        </w:rPr>
        <w:t>. Neither the Company nor any Subsidiary is obligated by or as a result of the Plan or this Agreement to continue the Grantee’s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309" w:name="page310"/>
    <w:bookmarkEnd w:id="309"/>
    <w:p>
      <w:pPr>
        <w:ind w:firstLine="436"/>
        <w:spacing w:after="0" w:line="308" w:lineRule="auto"/>
        <w:tabs>
          <w:tab w:leader="none" w:pos="620"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Integration</w:t>
      </w:r>
      <w:r>
        <w:rPr>
          <w:rFonts w:ascii="Arial" w:cs="Arial" w:eastAsia="Arial" w:hAnsi="Arial"/>
          <w:sz w:val="17"/>
          <w:szCs w:val="17"/>
          <w:color w:val="auto"/>
        </w:rPr>
        <w:t>. This Agreement, including, without limitation, all exhibits attached hereto, constitutes the entire agreement between the parties with respect to this Award and supersedes all prior agreements and discussions between the parties concerning such subject matter.</w:t>
      </w:r>
    </w:p>
    <w:p>
      <w:pPr>
        <w:spacing w:after="0" w:line="146" w:lineRule="exact"/>
        <w:rPr>
          <w:rFonts w:ascii="Arial" w:cs="Arial" w:eastAsia="Arial" w:hAnsi="Arial"/>
          <w:sz w:val="17"/>
          <w:szCs w:val="17"/>
          <w:color w:val="auto"/>
        </w:rPr>
      </w:pPr>
    </w:p>
    <w:p>
      <w:pPr>
        <w:ind w:firstLine="436"/>
        <w:spacing w:after="0" w:line="253" w:lineRule="auto"/>
        <w:tabs>
          <w:tab w:leader="none" w:pos="71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10" w:name="page311"/>
    <w:bookmarkEnd w:id="310"/>
    <w:p>
      <w:pPr>
        <w:jc w:val="both"/>
        <w:ind w:firstLine="436"/>
        <w:spacing w:after="0" w:line="263" w:lineRule="auto"/>
        <w:tabs>
          <w:tab w:leader="none" w:pos="703"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14605</wp:posOffset>
            </wp:positionV>
            <wp:extent cx="300037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-10160</wp:posOffset>
            </wp:positionV>
            <wp:extent cx="185674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Grantee’s Signature</w:t>
      </w:r>
    </w:p>
    <w:p>
      <w:pPr>
        <w:spacing w:after="0" w:line="1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220345</wp:posOffset>
            </wp:positionV>
            <wp:extent cx="300037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6">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443230</wp:posOffset>
            </wp:positionV>
            <wp:extent cx="300037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7">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666115</wp:posOffset>
            </wp:positionV>
            <wp:extent cx="300037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440" w:top="274" w:right="619" w:bottom="1440" w:gutter="0" w:footer="0" w:header="0"/>
        </w:sectPr>
      </w:pPr>
    </w:p>
    <w:bookmarkStart w:id="311" w:name="page312"/>
    <w:bookmarkEnd w:id="3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AUS NON-QUALIFIED STOCK OPTION AGREEMENT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MARQETA,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38"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Name of Optionee:</w:t>
      </w:r>
      <w:r>
        <w:rPr>
          <w:sz w:val="20"/>
          <w:szCs w:val="20"/>
          <w:color w:val="auto"/>
        </w:rPr>
        <w:tab/>
      </w:r>
      <w:r>
        <w:rPr>
          <w:rFonts w:ascii="Arial" w:cs="Arial" w:eastAsia="Arial" w:hAnsi="Arial"/>
          <w:sz w:val="16"/>
          <w:szCs w:val="16"/>
          <w:i w:val="1"/>
          <w:iCs w:val="1"/>
          <w:u w:val="single" w:color="auto"/>
          <w:color w:val="auto"/>
        </w:rPr>
        <w:t>See Grant Notice provided by the Company to the Optionee through Equity Edge (the “EEO Grant Notice”)</w:t>
      </w:r>
    </w:p>
    <w:p>
      <w:pPr>
        <w:sectPr>
          <w:pgSz w:w="11900" w:h="16838" w:orient="portrait"/>
          <w:cols w:equalWidth="0" w:num="1">
            <w:col w:w="10960"/>
          </w:cols>
          <w:pgMar w:left="440" w:top="270" w:right="49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 of Option Shares: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2260" w:space="720"/>
            <w:col w:w="798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Option 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2360" w:space="620"/>
            <w:col w:w="798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2260" w:space="720"/>
            <w:col w:w="798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2260" w:space="720"/>
            <w:col w:w="798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See EEO Grant Notice</w:t>
      </w:r>
    </w:p>
    <w:p>
      <w:pPr>
        <w:spacing w:after="0" w:line="200" w:lineRule="exact"/>
        <w:rPr>
          <w:sz w:val="20"/>
          <w:szCs w:val="20"/>
          <w:color w:val="auto"/>
        </w:rPr>
      </w:pPr>
    </w:p>
    <w:p>
      <w:pPr>
        <w:sectPr>
          <w:pgSz w:w="11900" w:h="16838" w:orient="portrait"/>
          <w:cols w:equalWidth="0" w:num="2">
            <w:col w:w="2260" w:space="720"/>
            <w:col w:w="7980"/>
          </w:cols>
          <w:pgMar w:left="440" w:top="270" w:right="499" w:bottom="1440" w:gutter="0" w:footer="0" w:header="0"/>
          <w:type w:val="continuous"/>
        </w:sectPr>
      </w:pPr>
    </w:p>
    <w:p>
      <w:pPr>
        <w:spacing w:after="0" w:line="48"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Pursuant to the Marqeta, Inc. 2021 Stock Option and Incentive Plan as amended through the date hereof (the “Plan”), Marqeta, Inc. (the “Company”) hereby grants to the Optionee named above an option (the “Stock Option”) to purchase on or prior to the Expiration Date specified above all or part of the number of shares of Class A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76" w:lineRule="exact"/>
        <w:rPr>
          <w:sz w:val="20"/>
          <w:szCs w:val="20"/>
          <w:color w:val="auto"/>
        </w:rPr>
      </w:pPr>
    </w:p>
    <w:p>
      <w:pPr>
        <w:ind w:firstLine="436"/>
        <w:spacing w:after="0" w:line="279" w:lineRule="auto"/>
        <w:tabs>
          <w:tab w:leader="none" w:pos="620"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Exercisability Schedule</w:t>
      </w:r>
      <w:r>
        <w:rPr>
          <w:rFonts w:ascii="Arial" w:cs="Arial" w:eastAsia="Arial" w:hAnsi="Arial"/>
          <w:sz w:val="17"/>
          <w:szCs w:val="17"/>
          <w:color w:val="auto"/>
        </w:rPr>
        <w:t xml:space="preserve">.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maintains a continuous Service Relationship with the Company or a Subsidiary on such dates: </w:t>
      </w:r>
      <w:r>
        <w:rPr>
          <w:rFonts w:ascii="Arial" w:cs="Arial" w:eastAsia="Arial" w:hAnsi="Arial"/>
          <w:sz w:val="17"/>
          <w:szCs w:val="17"/>
          <w:i w:val="1"/>
          <w:iCs w:val="1"/>
          <w:color w:val="auto"/>
        </w:rPr>
        <w:t>See EEO Grant Notice</w:t>
      </w:r>
    </w:p>
    <w:p>
      <w:pPr>
        <w:spacing w:after="0" w:line="17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pacing w:after="0" w:line="170" w:lineRule="exact"/>
        <w:rPr>
          <w:sz w:val="20"/>
          <w:szCs w:val="20"/>
          <w:color w:val="auto"/>
        </w:rPr>
      </w:pPr>
    </w:p>
    <w:p>
      <w:pPr>
        <w:ind w:left="620" w:hanging="184"/>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63" w:lineRule="auto"/>
        <w:tabs>
          <w:tab w:leader="none" w:pos="123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ectPr>
          <w:pgSz w:w="11900" w:h="16838" w:orient="portrait"/>
          <w:cols w:equalWidth="0" w:num="1">
            <w:col w:w="10960"/>
          </w:cols>
          <w:pgMar w:left="440" w:top="270" w:right="499" w:bottom="1440" w:gutter="0" w:footer="0" w:header="0"/>
          <w:type w:val="continuous"/>
        </w:sectPr>
      </w:pPr>
    </w:p>
    <w:bookmarkStart w:id="312" w:name="page313"/>
    <w:bookmarkEnd w:id="312"/>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77" w:lineRule="exact"/>
        <w:rPr>
          <w:sz w:val="20"/>
          <w:szCs w:val="20"/>
          <w:color w:val="auto"/>
        </w:rPr>
      </w:pPr>
    </w:p>
    <w:p>
      <w:pPr>
        <w:ind w:right="20" w:firstLine="987"/>
        <w:spacing w:after="0" w:line="291" w:lineRule="auto"/>
        <w:tabs>
          <w:tab w:leader="none" w:pos="124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66" w:lineRule="exact"/>
        <w:rPr>
          <w:rFonts w:ascii="Arial" w:cs="Arial" w:eastAsia="Arial" w:hAnsi="Arial"/>
          <w:sz w:val="16"/>
          <w:szCs w:val="16"/>
          <w:color w:val="auto"/>
        </w:rPr>
      </w:pPr>
    </w:p>
    <w:p>
      <w:pPr>
        <w:ind w:right="60" w:firstLine="987"/>
        <w:spacing w:after="0" w:line="263" w:lineRule="auto"/>
        <w:tabs>
          <w:tab w:leader="none" w:pos="123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13" w:name="page314"/>
    <w:bookmarkEnd w:id="313"/>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Notwithstanding any other provision hereof or of the Plan, no portion of this Stock Option shall be exercisable after the Expiration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hereof.</w:t>
      </w:r>
    </w:p>
    <w:p>
      <w:pPr>
        <w:spacing w:after="0" w:line="211" w:lineRule="exact"/>
        <w:rPr>
          <w:sz w:val="20"/>
          <w:szCs w:val="20"/>
          <w:color w:val="auto"/>
        </w:rPr>
      </w:pPr>
    </w:p>
    <w:p>
      <w:pPr>
        <w:ind w:left="4" w:right="720" w:firstLine="436"/>
        <w:spacing w:after="0" w:line="308" w:lineRule="auto"/>
        <w:tabs>
          <w:tab w:leader="none" w:pos="624" w:val="left"/>
        </w:tabs>
        <w:numPr>
          <w:ilvl w:val="1"/>
          <w:numId w:val="212"/>
        </w:numPr>
        <w:rPr>
          <w:rFonts w:ascii="Arial" w:cs="Arial" w:eastAsia="Arial" w:hAnsi="Arial"/>
          <w:sz w:val="17"/>
          <w:szCs w:val="17"/>
          <w:color w:val="auto"/>
        </w:rPr>
      </w:pPr>
      <w:r>
        <w:rPr>
          <w:rFonts w:ascii="Arial" w:cs="Arial" w:eastAsia="Arial" w:hAnsi="Arial"/>
          <w:sz w:val="17"/>
          <w:szCs w:val="17"/>
          <w:u w:val="single" w:color="auto"/>
          <w:color w:val="auto"/>
        </w:rPr>
        <w:t>Termination of Service Relationship</w:t>
      </w:r>
      <w:r>
        <w:rPr>
          <w:rFonts w:ascii="Arial" w:cs="Arial" w:eastAsia="Arial" w:hAnsi="Arial"/>
          <w:sz w:val="17"/>
          <w:szCs w:val="17"/>
          <w:color w:val="auto"/>
        </w:rPr>
        <w:t>. If the Optionee’s Service Relationship with the Company or a Subsidiary (as defined in the Plan) terminates, the period within which to exercise the Stock Option may be subject to earlier termination as set forth below.</w:t>
      </w:r>
    </w:p>
    <w:p>
      <w:pPr>
        <w:spacing w:after="0" w:line="146" w:lineRule="exact"/>
        <w:rPr>
          <w:rFonts w:ascii="Arial" w:cs="Arial" w:eastAsia="Arial" w:hAnsi="Arial"/>
          <w:sz w:val="17"/>
          <w:szCs w:val="17"/>
          <w:color w:val="auto"/>
        </w:rPr>
      </w:pPr>
    </w:p>
    <w:p>
      <w:pPr>
        <w:ind w:left="4" w:right="140" w:firstLine="987"/>
        <w:spacing w:after="0" w:line="301" w:lineRule="auto"/>
        <w:tabs>
          <w:tab w:leader="none" w:pos="1240" w:val="left"/>
        </w:tabs>
        <w:numPr>
          <w:ilvl w:val="2"/>
          <w:numId w:val="212"/>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57" w:lineRule="exact"/>
        <w:rPr>
          <w:rFonts w:ascii="Arial" w:cs="Arial" w:eastAsia="Arial" w:hAnsi="Arial"/>
          <w:sz w:val="16"/>
          <w:szCs w:val="16"/>
          <w:color w:val="auto"/>
        </w:rPr>
      </w:pPr>
    </w:p>
    <w:p>
      <w:pPr>
        <w:ind w:left="4" w:right="140" w:firstLine="987"/>
        <w:spacing w:after="0" w:line="257" w:lineRule="auto"/>
        <w:tabs>
          <w:tab w:leader="none" w:pos="1250" w:val="left"/>
        </w:tabs>
        <w:numPr>
          <w:ilvl w:val="2"/>
          <w:numId w:val="212"/>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87" w:lineRule="exact"/>
        <w:rPr>
          <w:rFonts w:ascii="Arial" w:cs="Arial" w:eastAsia="Arial" w:hAnsi="Arial"/>
          <w:sz w:val="18"/>
          <w:szCs w:val="18"/>
          <w:color w:val="auto"/>
        </w:rPr>
      </w:pPr>
    </w:p>
    <w:p>
      <w:pPr>
        <w:jc w:val="both"/>
        <w:ind w:left="4" w:right="140" w:firstLine="987"/>
        <w:spacing w:after="0" w:line="286" w:lineRule="auto"/>
        <w:tabs>
          <w:tab w:leader="none" w:pos="1240" w:val="left"/>
        </w:tabs>
        <w:numPr>
          <w:ilvl w:val="2"/>
          <w:numId w:val="212"/>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w:t>
      </w:r>
    </w:p>
    <w:p>
      <w:pPr>
        <w:spacing w:after="0" w:line="1" w:lineRule="exact"/>
        <w:rPr>
          <w:rFonts w:ascii="Arial" w:cs="Arial" w:eastAsia="Arial" w:hAnsi="Arial"/>
          <w:sz w:val="16"/>
          <w:szCs w:val="16"/>
          <w:color w:val="auto"/>
        </w:rPr>
      </w:pPr>
    </w:p>
    <w:p>
      <w:pPr>
        <w:ind w:left="4" w:right="300" w:hanging="4"/>
        <w:spacing w:after="0" w:line="323" w:lineRule="auto"/>
        <w:tabs>
          <w:tab w:leader="none" w:pos="26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38" w:lineRule="exact"/>
        <w:rPr>
          <w:rFonts w:ascii="Arial" w:cs="Arial" w:eastAsia="Arial" w:hAnsi="Arial"/>
          <w:sz w:val="16"/>
          <w:szCs w:val="16"/>
          <w:color w:val="auto"/>
        </w:rPr>
      </w:pPr>
    </w:p>
    <w:p>
      <w:pPr>
        <w:ind w:left="4" w:firstLine="987"/>
        <w:spacing w:after="0" w:line="257" w:lineRule="auto"/>
        <w:tabs>
          <w:tab w:leader="none" w:pos="1250" w:val="left"/>
        </w:tabs>
        <w:numPr>
          <w:ilvl w:val="2"/>
          <w:numId w:val="213"/>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14" w:name="page315"/>
    <w:bookmarkEnd w:id="314"/>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Administrator’s determination of the reason for termination of the Optionee’s Service Relationship with the Company or a Subsidiary shall be conclusive and binding on the Optionee and his or her representatives or legatees.</w:t>
      </w:r>
    </w:p>
    <w:p>
      <w:pPr>
        <w:spacing w:after="0" w:line="170" w:lineRule="exact"/>
        <w:rPr>
          <w:sz w:val="20"/>
          <w:szCs w:val="20"/>
          <w:color w:val="auto"/>
        </w:rPr>
      </w:pPr>
    </w:p>
    <w:p>
      <w:pPr>
        <w:ind w:right="20" w:firstLine="436"/>
        <w:spacing w:after="0" w:line="279" w:lineRule="auto"/>
        <w:tabs>
          <w:tab w:leader="none" w:pos="620"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Further, Subdivision 83A-C of the </w:t>
      </w:r>
      <w:r>
        <w:rPr>
          <w:rFonts w:ascii="Arial" w:cs="Arial" w:eastAsia="Arial" w:hAnsi="Arial"/>
          <w:sz w:val="17"/>
          <w:szCs w:val="17"/>
          <w:i w:val="1"/>
          <w:iCs w:val="1"/>
          <w:color w:val="auto"/>
        </w:rPr>
        <w:t>Income Tax Assessment Act 1997</w:t>
      </w:r>
      <w:r>
        <w:rPr>
          <w:rFonts w:ascii="Arial" w:cs="Arial" w:eastAsia="Arial" w:hAnsi="Arial"/>
          <w:sz w:val="17"/>
          <w:szCs w:val="17"/>
          <w:color w:val="auto"/>
        </w:rPr>
        <w:t xml:space="preserve"> (Cth) applies to this Agreement and the Stock Option granted to Australian employees under this Agreement.</w:t>
      </w:r>
    </w:p>
    <w:p>
      <w:pPr>
        <w:spacing w:after="0" w:line="171" w:lineRule="exact"/>
        <w:rPr>
          <w:rFonts w:ascii="Arial" w:cs="Arial" w:eastAsia="Arial" w:hAnsi="Arial"/>
          <w:sz w:val="17"/>
          <w:szCs w:val="17"/>
          <w:color w:val="auto"/>
        </w:rPr>
      </w:pPr>
    </w:p>
    <w:p>
      <w:pPr>
        <w:ind w:right="80" w:firstLine="436"/>
        <w:spacing w:after="0" w:line="259" w:lineRule="auto"/>
        <w:tabs>
          <w:tab w:leader="none" w:pos="62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and the Stock Option the subject of this Agreement (whether vested or unvested) are personal to the Optionee, are non-assignable and are not transferable in any manner, by operation of law or otherwise, other than by will or the laws of descent and distribution. This Stock Option is exercisable, during the Optionee’s lifetime, only by the Optionee, and thereafter, only by the Optionee’s legal representative or legatee. Any breach of this provision will cause the Stock Option to be immediately forfeited.</w:t>
      </w:r>
    </w:p>
    <w:p>
      <w:pPr>
        <w:spacing w:after="0" w:line="186" w:lineRule="exact"/>
        <w:rPr>
          <w:rFonts w:ascii="Arial" w:cs="Arial" w:eastAsia="Arial" w:hAnsi="Arial"/>
          <w:sz w:val="18"/>
          <w:szCs w:val="18"/>
          <w:color w:val="auto"/>
        </w:rPr>
      </w:pPr>
    </w:p>
    <w:p>
      <w:pPr>
        <w:ind w:right="60" w:firstLine="436"/>
        <w:spacing w:after="0" w:line="254" w:lineRule="auto"/>
        <w:tabs>
          <w:tab w:leader="none" w:pos="62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You should provide your tax file number to the Company if you have not already done so in order to avoid withholding tax on the Stock Options granted to you. It is up to you as to whether you wish to disclose your TFN and you are not required by law to do so.</w:t>
      </w:r>
    </w:p>
    <w:p>
      <w:pPr>
        <w:spacing w:after="0" w:line="170" w:lineRule="exact"/>
        <w:rPr>
          <w:sz w:val="20"/>
          <w:szCs w:val="20"/>
          <w:color w:val="auto"/>
        </w:rPr>
      </w:pPr>
    </w:p>
    <w:p>
      <w:pPr>
        <w:ind w:right="80" w:firstLine="436"/>
        <w:spacing w:after="0" w:line="259" w:lineRule="auto"/>
        <w:tabs>
          <w:tab w:leader="none" w:pos="62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186" w:lineRule="exact"/>
        <w:rPr>
          <w:rFonts w:ascii="Arial" w:cs="Arial" w:eastAsia="Arial" w:hAnsi="Arial"/>
          <w:sz w:val="18"/>
          <w:szCs w:val="18"/>
          <w:color w:val="auto"/>
        </w:rPr>
      </w:pPr>
    </w:p>
    <w:p>
      <w:pPr>
        <w:ind w:firstLine="436"/>
        <w:spacing w:after="0" w:line="342" w:lineRule="auto"/>
        <w:tabs>
          <w:tab w:leader="none" w:pos="620"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including, without limitation, all exhibits attached hereto, constitutes the entire agreement between the parties with respect to this Stock Option and supersedes all prior agreements and discussions between the parties concerning such subject matter.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15" w:name="page316"/>
    <w:bookmarkEnd w:id="315"/>
    <w:p>
      <w:pPr>
        <w:ind w:firstLine="436"/>
        <w:spacing w:after="0" w:line="270" w:lineRule="auto"/>
        <w:tabs>
          <w:tab w:leader="none" w:pos="620"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Privacy Consent</w:t>
      </w:r>
      <w:r>
        <w:rPr>
          <w:rFonts w:ascii="Arial" w:cs="Arial" w:eastAsia="Arial" w:hAnsi="Arial"/>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0" w:lineRule="exact"/>
        <w:rPr>
          <w:rFonts w:ascii="Arial" w:cs="Arial" w:eastAsia="Arial" w:hAnsi="Arial"/>
          <w:sz w:val="17"/>
          <w:szCs w:val="17"/>
          <w:color w:val="auto"/>
        </w:rPr>
      </w:pPr>
    </w:p>
    <w:p>
      <w:pPr>
        <w:ind w:firstLine="436"/>
        <w:spacing w:after="0" w:line="263" w:lineRule="auto"/>
        <w:tabs>
          <w:tab w:leader="none" w:pos="71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14605</wp:posOffset>
            </wp:positionV>
            <wp:extent cx="300037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-10160</wp:posOffset>
            </wp:positionV>
            <wp:extent cx="185674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Optionee’s Signature</w:t>
      </w:r>
    </w:p>
    <w:p>
      <w:pPr>
        <w:spacing w:after="0" w:line="1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220345</wp:posOffset>
            </wp:positionV>
            <wp:extent cx="300037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443230</wp:posOffset>
            </wp:positionV>
            <wp:extent cx="300037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666115</wp:posOffset>
            </wp:positionV>
            <wp:extent cx="300037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7740" w:type="dxa"/>
            <w:vAlign w:val="bottom"/>
          </w:tcPr>
          <w:p>
            <w:pPr>
              <w:jc w:val="center"/>
              <w:ind w:right="1450"/>
              <w:spacing w:after="0"/>
              <w:rPr>
                <w:sz w:val="20"/>
                <w:szCs w:val="20"/>
                <w:color w:val="auto"/>
              </w:rPr>
            </w:pPr>
            <w:r>
              <w:rPr>
                <w:rFonts w:ascii="Arial" w:cs="Arial" w:eastAsia="Arial" w:hAnsi="Arial"/>
                <w:sz w:val="18"/>
                <w:szCs w:val="18"/>
                <w:b w:val="1"/>
                <w:bCs w:val="1"/>
                <w:color w:val="auto"/>
              </w:rPr>
              <w:t>AUS RESTRICTED STOCK UNIT AWARD AGREEMENT</w:t>
            </w:r>
          </w:p>
        </w:tc>
      </w:tr>
      <w:tr>
        <w:trPr>
          <w:trHeight w:val="216"/>
        </w:trPr>
        <w:tc>
          <w:tcPr>
            <w:tcW w:w="2400" w:type="dxa"/>
            <w:vAlign w:val="bottom"/>
          </w:tcPr>
          <w:p>
            <w:pPr>
              <w:spacing w:after="0"/>
              <w:rPr>
                <w:sz w:val="18"/>
                <w:szCs w:val="18"/>
                <w:color w:val="auto"/>
              </w:rPr>
            </w:pPr>
          </w:p>
        </w:tc>
        <w:tc>
          <w:tcPr>
            <w:tcW w:w="77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9"/>
              </w:rPr>
              <w:t>FOR COMPANY EMPLOYEES</w:t>
            </w:r>
          </w:p>
        </w:tc>
      </w:tr>
      <w:tr>
        <w:trPr>
          <w:trHeight w:val="216"/>
        </w:trPr>
        <w:tc>
          <w:tcPr>
            <w:tcW w:w="2400" w:type="dxa"/>
            <w:vAlign w:val="bottom"/>
          </w:tcPr>
          <w:p>
            <w:pPr>
              <w:spacing w:after="0"/>
              <w:rPr>
                <w:sz w:val="18"/>
                <w:szCs w:val="18"/>
                <w:color w:val="auto"/>
              </w:rPr>
            </w:pPr>
          </w:p>
        </w:tc>
        <w:tc>
          <w:tcPr>
            <w:tcW w:w="7740" w:type="dxa"/>
            <w:vAlign w:val="bottom"/>
          </w:tcPr>
          <w:p>
            <w:pPr>
              <w:jc w:val="center"/>
              <w:ind w:right="1430"/>
              <w:spacing w:after="0"/>
              <w:rPr>
                <w:sz w:val="20"/>
                <w:szCs w:val="20"/>
                <w:color w:val="auto"/>
              </w:rPr>
            </w:pPr>
            <w:r>
              <w:rPr>
                <w:rFonts w:ascii="Arial" w:cs="Arial" w:eastAsia="Arial" w:hAnsi="Arial"/>
                <w:sz w:val="18"/>
                <w:szCs w:val="18"/>
                <w:b w:val="1"/>
                <w:bCs w:val="1"/>
                <w:color w:val="auto"/>
              </w:rPr>
              <w:t>UNDER THE MARQETA, INC.</w:t>
            </w:r>
          </w:p>
        </w:tc>
      </w:tr>
      <w:tr>
        <w:trPr>
          <w:trHeight w:val="234"/>
        </w:trPr>
        <w:tc>
          <w:tcPr>
            <w:tcW w:w="2400" w:type="dxa"/>
            <w:vAlign w:val="bottom"/>
          </w:tcPr>
          <w:p>
            <w:pPr>
              <w:spacing w:after="0"/>
              <w:rPr>
                <w:sz w:val="20"/>
                <w:szCs w:val="20"/>
                <w:color w:val="auto"/>
              </w:rPr>
            </w:pPr>
          </w:p>
        </w:tc>
        <w:tc>
          <w:tcPr>
            <w:tcW w:w="7740" w:type="dxa"/>
            <w:vAlign w:val="bottom"/>
          </w:tcPr>
          <w:p>
            <w:pPr>
              <w:jc w:val="center"/>
              <w:ind w:right="1430"/>
              <w:spacing w:after="0"/>
              <w:rPr>
                <w:sz w:val="20"/>
                <w:szCs w:val="20"/>
                <w:color w:val="auto"/>
              </w:rPr>
            </w:pPr>
            <w:r>
              <w:rPr>
                <w:rFonts w:ascii="Arial" w:cs="Arial" w:eastAsia="Arial" w:hAnsi="Arial"/>
                <w:sz w:val="18"/>
                <w:szCs w:val="18"/>
                <w:b w:val="1"/>
                <w:bCs w:val="1"/>
                <w:color w:val="auto"/>
              </w:rPr>
              <w:t>2021 STOCK OPTION AND INCENTIVE PLAN</w:t>
            </w:r>
          </w:p>
        </w:tc>
      </w:tr>
      <w:tr>
        <w:trPr>
          <w:trHeight w:val="418"/>
        </w:trPr>
        <w:tc>
          <w:tcPr>
            <w:tcW w:w="2400" w:type="dxa"/>
            <w:vAlign w:val="bottom"/>
          </w:tcPr>
          <w:p>
            <w:pPr>
              <w:spacing w:after="0"/>
              <w:rPr>
                <w:sz w:val="20"/>
                <w:szCs w:val="20"/>
                <w:color w:val="auto"/>
              </w:rPr>
            </w:pPr>
            <w:r>
              <w:rPr>
                <w:rFonts w:ascii="Arial" w:cs="Arial" w:eastAsia="Arial" w:hAnsi="Arial"/>
                <w:sz w:val="18"/>
                <w:szCs w:val="18"/>
                <w:color w:val="auto"/>
              </w:rPr>
              <w:t>Name of Grantee:</w:t>
            </w: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See Grant Notice provided by the Company to the Grantee through Equity Edge (the “EEO Grant Notice”)</w:t>
            </w:r>
          </w:p>
        </w:tc>
      </w:tr>
      <w:tr>
        <w:trPr>
          <w:trHeight w:val="344"/>
        </w:trPr>
        <w:tc>
          <w:tcPr>
            <w:tcW w:w="2400" w:type="dxa"/>
            <w:vAlign w:val="bottom"/>
          </w:tcPr>
          <w:p>
            <w:pPr>
              <w:spacing w:after="0"/>
              <w:rPr>
                <w:sz w:val="20"/>
                <w:szCs w:val="20"/>
                <w:color w:val="auto"/>
              </w:rPr>
            </w:pPr>
            <w:r>
              <w:rPr>
                <w:rFonts w:ascii="Arial" w:cs="Arial" w:eastAsia="Arial" w:hAnsi="Arial"/>
                <w:sz w:val="18"/>
                <w:szCs w:val="18"/>
                <w:color w:val="auto"/>
              </w:rPr>
              <w:t>No. of Restricted Stock Units:</w:t>
            </w:r>
          </w:p>
        </w:tc>
        <w:tc>
          <w:tcPr>
            <w:tcW w:w="7740" w:type="dxa"/>
            <w:vAlign w:val="bottom"/>
          </w:tcPr>
          <w:p>
            <w:pPr>
              <w:ind w:left="360"/>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rPr>
              <w:t>Grant Date:</w:t>
            </w:r>
          </w:p>
        </w:tc>
        <w:tc>
          <w:tcPr>
            <w:tcW w:w="7740" w:type="dxa"/>
            <w:vAlign w:val="bottom"/>
          </w:tcPr>
          <w:p>
            <w:pPr>
              <w:ind w:left="360"/>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2400" w:type="dxa"/>
            <w:vAlign w:val="bottom"/>
          </w:tcPr>
          <w:p>
            <w:pPr>
              <w:spacing w:after="0"/>
              <w:rPr>
                <w:sz w:val="20"/>
                <w:szCs w:val="20"/>
                <w:color w:val="auto"/>
              </w:rPr>
            </w:pPr>
            <w:r>
              <w:rPr>
                <w:rFonts w:ascii="Arial" w:cs="Arial" w:eastAsia="Arial" w:hAnsi="Arial"/>
                <w:sz w:val="18"/>
                <w:szCs w:val="18"/>
                <w:color w:val="auto"/>
                <w:w w:val="97"/>
              </w:rPr>
              <w:t>Vesting Commencement Date:</w:t>
            </w:r>
          </w:p>
        </w:tc>
        <w:tc>
          <w:tcPr>
            <w:tcW w:w="7740" w:type="dxa"/>
            <w:vAlign w:val="bottom"/>
          </w:tcPr>
          <w:p>
            <w:pPr>
              <w:ind w:left="360"/>
              <w:spacing w:after="0"/>
              <w:rPr>
                <w:sz w:val="20"/>
                <w:szCs w:val="20"/>
                <w:color w:val="auto"/>
              </w:rPr>
            </w:pPr>
            <w:r>
              <w:rPr>
                <w:rFonts w:ascii="Arial" w:cs="Arial" w:eastAsia="Arial" w:hAnsi="Arial"/>
                <w:sz w:val="18"/>
                <w:szCs w:val="18"/>
                <w:i w:val="1"/>
                <w:iCs w:val="1"/>
                <w:color w:val="auto"/>
              </w:rPr>
              <w:t>See EEO Grant Notice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8"/>
          <w:szCs w:val="18"/>
          <w:color w:val="auto"/>
        </w:rPr>
        <w:t>Pursuant to the Marqeta, Inc. 2021 Stock Option and Incentive Plan as amended through the date hereof (the “Plan”), Marqeta, Inc. (the “Company”) hereby grants an award of the number of Restricted Stock Units listed above (an “Award”) to the Grantee named above. Each Restricted Stock Unit shall relate to one share of Class A Common Stock, par value $0.0001 per share (the “Stock”) of the Company.</w:t>
      </w:r>
    </w:p>
    <w:p>
      <w:pPr>
        <w:spacing w:after="0" w:line="184" w:lineRule="exact"/>
        <w:rPr>
          <w:sz w:val="20"/>
          <w:szCs w:val="20"/>
          <w:color w:val="auto"/>
        </w:rPr>
      </w:pPr>
    </w:p>
    <w:p>
      <w:pPr>
        <w:ind w:right="20" w:firstLine="436"/>
        <w:spacing w:after="0" w:line="259" w:lineRule="auto"/>
        <w:tabs>
          <w:tab w:leader="none" w:pos="6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6" w:lineRule="exact"/>
        <w:rPr>
          <w:rFonts w:ascii="Arial" w:cs="Arial" w:eastAsia="Arial" w:hAnsi="Arial"/>
          <w:sz w:val="18"/>
          <w:szCs w:val="18"/>
          <w:color w:val="auto"/>
        </w:rPr>
      </w:pPr>
    </w:p>
    <w:p>
      <w:pPr>
        <w:ind w:right="40" w:firstLine="436"/>
        <w:spacing w:after="0" w:line="259" w:lineRule="auto"/>
        <w:tabs>
          <w:tab w:leader="none" w:pos="6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EEO Grant Notice so long as the Grantee maintains a continuous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225" w:lineRule="exact"/>
        <w:rPr>
          <w:sz w:val="20"/>
          <w:szCs w:val="20"/>
          <w:color w:val="auto"/>
        </w:rPr>
      </w:pPr>
    </w:p>
    <w:p>
      <w:pPr>
        <w:ind w:right="140" w:firstLine="436"/>
        <w:spacing w:after="0" w:line="301" w:lineRule="auto"/>
        <w:tabs>
          <w:tab w:leader="none" w:pos="620"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Termination of Service Relationship</w:t>
      </w:r>
      <w:r>
        <w:rPr>
          <w:rFonts w:ascii="Arial" w:cs="Arial" w:eastAsia="Arial" w:hAnsi="Arial"/>
          <w:sz w:val="16"/>
          <w:szCs w:val="16"/>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1000"/>
          </w:cols>
          <w:pgMar w:left="440" w:top="270" w:right="459" w:bottom="1440" w:gutter="0" w:footer="0" w:header="0"/>
        </w:sectPr>
      </w:pPr>
    </w:p>
    <w:bookmarkStart w:id="317" w:name="page318"/>
    <w:bookmarkEnd w:id="317"/>
    <w:p>
      <w:pPr>
        <w:ind w:right="120" w:firstLine="436"/>
        <w:spacing w:after="0" w:line="259" w:lineRule="auto"/>
        <w:tabs>
          <w:tab w:leader="none" w:pos="62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86" w:lineRule="exact"/>
        <w:rPr>
          <w:rFonts w:ascii="Arial" w:cs="Arial" w:eastAsia="Arial" w:hAnsi="Arial"/>
          <w:sz w:val="18"/>
          <w:szCs w:val="18"/>
          <w:color w:val="auto"/>
        </w:rPr>
      </w:pPr>
    </w:p>
    <w:p>
      <w:pPr>
        <w:ind w:right="20" w:firstLine="436"/>
        <w:spacing w:after="0" w:line="279" w:lineRule="auto"/>
        <w:tabs>
          <w:tab w:leader="none" w:pos="620"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xml:space="preserve">.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Further, Subdivision 83A-C of the </w:t>
      </w:r>
      <w:r>
        <w:rPr>
          <w:rFonts w:ascii="Arial" w:cs="Arial" w:eastAsia="Arial" w:hAnsi="Arial"/>
          <w:sz w:val="17"/>
          <w:szCs w:val="17"/>
          <w:i w:val="1"/>
          <w:iCs w:val="1"/>
          <w:color w:val="auto"/>
        </w:rPr>
        <w:t>Income Tax Assessment Act 1997</w:t>
      </w:r>
      <w:r>
        <w:rPr>
          <w:rFonts w:ascii="Arial" w:cs="Arial" w:eastAsia="Arial" w:hAnsi="Arial"/>
          <w:sz w:val="17"/>
          <w:szCs w:val="17"/>
          <w:color w:val="auto"/>
        </w:rPr>
        <w:t xml:space="preserve"> (Cth) applies to this Agreement and the Stock Option granted to Australian employees under this Agreement.</w:t>
      </w:r>
    </w:p>
    <w:p>
      <w:pPr>
        <w:spacing w:after="0" w:line="171" w:lineRule="exact"/>
        <w:rPr>
          <w:rFonts w:ascii="Arial" w:cs="Arial" w:eastAsia="Arial" w:hAnsi="Arial"/>
          <w:sz w:val="17"/>
          <w:szCs w:val="17"/>
          <w:color w:val="auto"/>
        </w:rPr>
      </w:pPr>
    </w:p>
    <w:p>
      <w:pPr>
        <w:ind w:right="80" w:firstLine="436"/>
        <w:spacing w:after="0" w:line="254" w:lineRule="auto"/>
        <w:tabs>
          <w:tab w:leader="none" w:pos="62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You should provide your tax file number to the Company if you have not already done so in order to avoid withholding tax on the Stock granted to you.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is up to you as to whether you wish to disclose your TFN and you are not required by law to do so.</w:t>
      </w:r>
    </w:p>
    <w:p>
      <w:pPr>
        <w:spacing w:after="0" w:line="211" w:lineRule="exact"/>
        <w:rPr>
          <w:sz w:val="20"/>
          <w:szCs w:val="20"/>
          <w:color w:val="auto"/>
        </w:rPr>
      </w:pPr>
    </w:p>
    <w:p>
      <w:pPr>
        <w:ind w:right="160" w:firstLine="436"/>
        <w:spacing w:after="0" w:line="308" w:lineRule="auto"/>
        <w:tabs>
          <w:tab w:leader="none" w:pos="620"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46" w:lineRule="exact"/>
        <w:rPr>
          <w:rFonts w:ascii="Arial" w:cs="Arial" w:eastAsia="Arial" w:hAnsi="Arial"/>
          <w:sz w:val="17"/>
          <w:szCs w:val="17"/>
          <w:color w:val="auto"/>
        </w:rPr>
      </w:pPr>
    </w:p>
    <w:p>
      <w:pPr>
        <w:ind w:right="20" w:firstLine="436"/>
        <w:spacing w:after="0" w:line="311" w:lineRule="auto"/>
        <w:tabs>
          <w:tab w:leader="none" w:pos="620"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No Obligation to Continue Service Relationship</w:t>
      </w:r>
      <w:r>
        <w:rPr>
          <w:rFonts w:ascii="Arial" w:cs="Arial" w:eastAsia="Arial" w:hAnsi="Arial"/>
          <w:sz w:val="16"/>
          <w:szCs w:val="16"/>
          <w:color w:val="auto"/>
        </w:rPr>
        <w:t>. Neither the Company nor any Subsidiary is obligated by or as a result of the Plan or this Agreement to continue the Grantee’s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148" w:lineRule="exact"/>
        <w:rPr>
          <w:rFonts w:ascii="Arial" w:cs="Arial" w:eastAsia="Arial" w:hAnsi="Arial"/>
          <w:sz w:val="16"/>
          <w:szCs w:val="16"/>
          <w:color w:val="auto"/>
        </w:rPr>
      </w:pPr>
    </w:p>
    <w:p>
      <w:pPr>
        <w:ind w:firstLine="436"/>
        <w:spacing w:after="0" w:line="308" w:lineRule="auto"/>
        <w:tabs>
          <w:tab w:leader="none" w:pos="620"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including, without limitation, all exhibits attached hereto, constitutes the entire agreement between the parties with respect to this Award and supersedes all prior agreements and discussions between the parties concerning such subject matter.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18" w:name="page319"/>
    <w:bookmarkEnd w:id="318"/>
    <w:p>
      <w:pPr>
        <w:ind w:firstLine="436"/>
        <w:spacing w:after="0" w:line="253" w:lineRule="auto"/>
        <w:tabs>
          <w:tab w:leader="none" w:pos="71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96" w:lineRule="exact"/>
        <w:rPr>
          <w:rFonts w:ascii="Arial" w:cs="Arial" w:eastAsia="Arial" w:hAnsi="Arial"/>
          <w:sz w:val="18"/>
          <w:szCs w:val="18"/>
          <w:color w:val="auto"/>
        </w:rPr>
      </w:pPr>
    </w:p>
    <w:p>
      <w:pPr>
        <w:jc w:val="both"/>
        <w:ind w:right="160" w:firstLine="436"/>
        <w:spacing w:after="0" w:line="263" w:lineRule="auto"/>
        <w:tabs>
          <w:tab w:leader="none" w:pos="703"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14605</wp:posOffset>
            </wp:positionV>
            <wp:extent cx="300037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-10160</wp:posOffset>
            </wp:positionV>
            <wp:extent cx="185674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Grantee’s Signature</w:t>
      </w:r>
    </w:p>
    <w:p>
      <w:pPr>
        <w:spacing w:after="0" w:line="1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220345</wp:posOffset>
            </wp:positionV>
            <wp:extent cx="300037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443230</wp:posOffset>
            </wp:positionV>
            <wp:extent cx="30003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666115</wp:posOffset>
            </wp:positionV>
            <wp:extent cx="30003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7780" w:type="dxa"/>
            <w:vAlign w:val="bottom"/>
          </w:tcPr>
          <w:p>
            <w:pPr>
              <w:jc w:val="center"/>
              <w:ind w:right="3090"/>
              <w:spacing w:after="0"/>
              <w:rPr>
                <w:sz w:val="20"/>
                <w:szCs w:val="20"/>
                <w:color w:val="auto"/>
              </w:rPr>
            </w:pPr>
            <w:r>
              <w:rPr>
                <w:rFonts w:ascii="Arial" w:cs="Arial" w:eastAsia="Arial" w:hAnsi="Arial"/>
                <w:sz w:val="18"/>
                <w:szCs w:val="18"/>
                <w:b w:val="1"/>
                <w:bCs w:val="1"/>
                <w:color w:val="auto"/>
              </w:rPr>
              <w:t>NON-QUALIFIED STOCK OPTION AGREEMENT</w:t>
            </w:r>
          </w:p>
        </w:tc>
      </w:tr>
      <w:tr>
        <w:trPr>
          <w:trHeight w:val="216"/>
        </w:trPr>
        <w:tc>
          <w:tcPr>
            <w:tcW w:w="3200" w:type="dxa"/>
            <w:vAlign w:val="bottom"/>
          </w:tcPr>
          <w:p>
            <w:pPr>
              <w:spacing w:after="0"/>
              <w:rPr>
                <w:sz w:val="18"/>
                <w:szCs w:val="18"/>
                <w:color w:val="auto"/>
              </w:rPr>
            </w:pPr>
          </w:p>
        </w:tc>
        <w:tc>
          <w:tcPr>
            <w:tcW w:w="7780" w:type="dxa"/>
            <w:vAlign w:val="bottom"/>
          </w:tcPr>
          <w:p>
            <w:pPr>
              <w:jc w:val="center"/>
              <w:ind w:right="3070"/>
              <w:spacing w:after="0"/>
              <w:rPr>
                <w:sz w:val="20"/>
                <w:szCs w:val="20"/>
                <w:color w:val="auto"/>
              </w:rPr>
            </w:pPr>
            <w:r>
              <w:rPr>
                <w:rFonts w:ascii="Arial" w:cs="Arial" w:eastAsia="Arial" w:hAnsi="Arial"/>
                <w:sz w:val="18"/>
                <w:szCs w:val="18"/>
                <w:b w:val="1"/>
                <w:bCs w:val="1"/>
                <w:color w:val="auto"/>
              </w:rPr>
              <w:t>FOR COMPANY NETHERLANDS EMPLOYEES</w:t>
            </w:r>
          </w:p>
        </w:tc>
      </w:tr>
      <w:tr>
        <w:trPr>
          <w:trHeight w:val="216"/>
        </w:trPr>
        <w:tc>
          <w:tcPr>
            <w:tcW w:w="3200" w:type="dxa"/>
            <w:vAlign w:val="bottom"/>
          </w:tcPr>
          <w:p>
            <w:pPr>
              <w:spacing w:after="0"/>
              <w:rPr>
                <w:sz w:val="18"/>
                <w:szCs w:val="18"/>
                <w:color w:val="auto"/>
              </w:rPr>
            </w:pPr>
          </w:p>
        </w:tc>
        <w:tc>
          <w:tcPr>
            <w:tcW w:w="7780" w:type="dxa"/>
            <w:vAlign w:val="bottom"/>
          </w:tcPr>
          <w:p>
            <w:pPr>
              <w:jc w:val="center"/>
              <w:ind w:right="3070"/>
              <w:spacing w:after="0"/>
              <w:rPr>
                <w:sz w:val="20"/>
                <w:szCs w:val="20"/>
                <w:color w:val="auto"/>
              </w:rPr>
            </w:pPr>
            <w:r>
              <w:rPr>
                <w:rFonts w:ascii="Arial" w:cs="Arial" w:eastAsia="Arial" w:hAnsi="Arial"/>
                <w:sz w:val="18"/>
                <w:szCs w:val="18"/>
                <w:b w:val="1"/>
                <w:bCs w:val="1"/>
                <w:color w:val="auto"/>
              </w:rPr>
              <w:t>UNDER THE MARQETA, INC.</w:t>
            </w:r>
          </w:p>
        </w:tc>
      </w:tr>
      <w:tr>
        <w:trPr>
          <w:trHeight w:val="234"/>
        </w:trPr>
        <w:tc>
          <w:tcPr>
            <w:tcW w:w="3200" w:type="dxa"/>
            <w:vAlign w:val="bottom"/>
          </w:tcPr>
          <w:p>
            <w:pPr>
              <w:spacing w:after="0"/>
              <w:rPr>
                <w:sz w:val="20"/>
                <w:szCs w:val="20"/>
                <w:color w:val="auto"/>
              </w:rPr>
            </w:pPr>
          </w:p>
        </w:tc>
        <w:tc>
          <w:tcPr>
            <w:tcW w:w="7780" w:type="dxa"/>
            <w:vAlign w:val="bottom"/>
          </w:tcPr>
          <w:p>
            <w:pPr>
              <w:jc w:val="center"/>
              <w:ind w:right="3070"/>
              <w:spacing w:after="0"/>
              <w:rPr>
                <w:sz w:val="20"/>
                <w:szCs w:val="20"/>
                <w:color w:val="auto"/>
              </w:rPr>
            </w:pPr>
            <w:r>
              <w:rPr>
                <w:rFonts w:ascii="Arial" w:cs="Arial" w:eastAsia="Arial" w:hAnsi="Arial"/>
                <w:sz w:val="18"/>
                <w:szCs w:val="18"/>
                <w:b w:val="1"/>
                <w:bCs w:val="1"/>
                <w:color w:val="auto"/>
              </w:rPr>
              <w:t>2021 STOCK OPTION AND INCENTIVE PLAN</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Name of Optionee:</w:t>
            </w:r>
          </w:p>
        </w:tc>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See Grant Notice provided by the Company to the Optionee through Equity Edge (the “EEO Grant Notice”)</w:t>
            </w:r>
          </w:p>
        </w:tc>
      </w:tr>
      <w:tr>
        <w:trPr>
          <w:trHeight w:val="344"/>
        </w:trPr>
        <w:tc>
          <w:tcPr>
            <w:tcW w:w="3200" w:type="dxa"/>
            <w:vAlign w:val="bottom"/>
          </w:tcPr>
          <w:p>
            <w:pPr>
              <w:spacing w:after="0"/>
              <w:rPr>
                <w:sz w:val="20"/>
                <w:szCs w:val="20"/>
                <w:color w:val="auto"/>
              </w:rPr>
            </w:pPr>
            <w:r>
              <w:rPr>
                <w:rFonts w:ascii="Arial" w:cs="Arial" w:eastAsia="Arial" w:hAnsi="Arial"/>
                <w:sz w:val="18"/>
                <w:szCs w:val="18"/>
                <w:color w:val="auto"/>
              </w:rPr>
              <w:t>No. of Option Shares:</w:t>
            </w:r>
          </w:p>
        </w:tc>
        <w:tc>
          <w:tcPr>
            <w:tcW w:w="7780" w:type="dxa"/>
            <w:vAlign w:val="bottom"/>
          </w:tcPr>
          <w:p>
            <w:pPr>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7780" w:type="dxa"/>
            <w:vAlign w:val="bottom"/>
          </w:tcPr>
          <w:p>
            <w:pPr>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Grant Date:</w:t>
            </w:r>
          </w:p>
        </w:tc>
        <w:tc>
          <w:tcPr>
            <w:tcW w:w="7780" w:type="dxa"/>
            <w:vAlign w:val="bottom"/>
          </w:tcPr>
          <w:p>
            <w:pPr>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7780" w:type="dxa"/>
            <w:vAlign w:val="bottom"/>
          </w:tcPr>
          <w:p>
            <w:pPr>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Expiration Date:</w:t>
            </w:r>
          </w:p>
        </w:tc>
        <w:tc>
          <w:tcPr>
            <w:tcW w:w="7780" w:type="dxa"/>
            <w:vAlign w:val="bottom"/>
          </w:tcPr>
          <w:p>
            <w:pPr>
              <w:spacing w:after="0"/>
              <w:rPr>
                <w:sz w:val="20"/>
                <w:szCs w:val="20"/>
                <w:color w:val="auto"/>
              </w:rPr>
            </w:pPr>
            <w:r>
              <w:rPr>
                <w:rFonts w:ascii="Arial" w:cs="Arial" w:eastAsia="Arial" w:hAnsi="Arial"/>
                <w:sz w:val="18"/>
                <w:szCs w:val="18"/>
                <w:i w:val="1"/>
                <w:iCs w:val="1"/>
                <w:color w:val="auto"/>
              </w:rPr>
              <w:t>See EEO Grant Notice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20" w:firstLine="440"/>
        <w:spacing w:after="0" w:line="275" w:lineRule="auto"/>
        <w:rPr>
          <w:sz w:val="20"/>
          <w:szCs w:val="20"/>
          <w:color w:val="auto"/>
        </w:rPr>
      </w:pPr>
      <w:r>
        <w:rPr>
          <w:rFonts w:ascii="Arial" w:cs="Arial" w:eastAsia="Arial" w:hAnsi="Arial"/>
          <w:sz w:val="17"/>
          <w:szCs w:val="17"/>
          <w:color w:val="auto"/>
        </w:rPr>
        <w:t>Pursuant to the Marqeta, Inc. 2021 Stock Option and Incentive Plan as amended through the date hereof (the “Plan”), Marqeta, Inc. (the “Company”) hereby grants to the Optionee named above an option (the “Stock Option”) to purchase on or prior to the Expiration Date specified above all or part of the number of shares of Class A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68" w:lineRule="exact"/>
        <w:rPr>
          <w:sz w:val="20"/>
          <w:szCs w:val="20"/>
          <w:color w:val="auto"/>
        </w:rPr>
      </w:pPr>
    </w:p>
    <w:p>
      <w:pPr>
        <w:ind w:right="20" w:firstLine="436"/>
        <w:spacing w:after="0" w:line="279" w:lineRule="auto"/>
        <w:tabs>
          <w:tab w:leader="none" w:pos="620"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Exercisability Schedule</w:t>
      </w:r>
      <w:r>
        <w:rPr>
          <w:rFonts w:ascii="Arial" w:cs="Arial" w:eastAsia="Arial" w:hAnsi="Arial"/>
          <w:sz w:val="17"/>
          <w:szCs w:val="17"/>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maintains a continuous Service Relationship with the Company or a Subsidiary on such dates: See EEO Grant Notice.</w:t>
      </w:r>
    </w:p>
    <w:p>
      <w:pPr>
        <w:spacing w:after="0" w:line="17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pacing w:after="0" w:line="62" w:lineRule="exact"/>
        <w:rPr>
          <w:sz w:val="20"/>
          <w:szCs w:val="20"/>
          <w:color w:val="auto"/>
        </w:rPr>
      </w:pPr>
    </w:p>
    <w:p>
      <w:pPr>
        <w:ind w:left="620" w:hanging="184"/>
        <w:spacing w:after="0"/>
        <w:tabs>
          <w:tab w:leader="none" w:pos="62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63" w:lineRule="auto"/>
        <w:tabs>
          <w:tab w:leader="none" w:pos="123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ectPr>
          <w:pgSz w:w="11900" w:h="16838" w:orient="portrait"/>
          <w:cols w:equalWidth="0" w:num="1">
            <w:col w:w="10980"/>
          </w:cols>
          <w:pgMar w:left="440" w:top="270" w:right="479" w:bottom="1440" w:gutter="0" w:footer="0" w:header="0"/>
        </w:sectPr>
      </w:pPr>
    </w:p>
    <w:bookmarkStart w:id="320" w:name="page321"/>
    <w:bookmarkEnd w:id="320"/>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69" w:lineRule="exact"/>
        <w:rPr>
          <w:sz w:val="20"/>
          <w:szCs w:val="20"/>
          <w:color w:val="auto"/>
        </w:rPr>
      </w:pPr>
    </w:p>
    <w:p>
      <w:pPr>
        <w:ind w:right="20" w:firstLine="987"/>
        <w:spacing w:after="0" w:line="291" w:lineRule="auto"/>
        <w:tabs>
          <w:tab w:leader="none" w:pos="124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58" w:lineRule="exact"/>
        <w:rPr>
          <w:rFonts w:ascii="Arial" w:cs="Arial" w:eastAsia="Arial" w:hAnsi="Arial"/>
          <w:sz w:val="16"/>
          <w:szCs w:val="16"/>
          <w:color w:val="auto"/>
        </w:rPr>
      </w:pPr>
    </w:p>
    <w:p>
      <w:pPr>
        <w:ind w:right="60" w:firstLine="987"/>
        <w:spacing w:after="0" w:line="263" w:lineRule="auto"/>
        <w:tabs>
          <w:tab w:leader="none" w:pos="123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21" w:name="page322"/>
    <w:bookmarkEnd w:id="321"/>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Notwithstanding any other provision hereof or of the Plan, no portion of this Stock Option shall be exercisable after the Expiration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hereof.</w:t>
      </w:r>
    </w:p>
    <w:p>
      <w:pPr>
        <w:spacing w:after="0" w:line="103" w:lineRule="exact"/>
        <w:rPr>
          <w:sz w:val="20"/>
          <w:szCs w:val="20"/>
          <w:color w:val="auto"/>
        </w:rPr>
      </w:pPr>
    </w:p>
    <w:p>
      <w:pPr>
        <w:ind w:left="4" w:right="40" w:firstLine="436"/>
        <w:spacing w:after="0" w:line="263" w:lineRule="auto"/>
        <w:tabs>
          <w:tab w:leader="none" w:pos="624"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Optionee’s Service Relationship with the Company or a Subsidiary (as defined in the Plan) or a payroll firm as agreed upon between the Optionee and the Company terminates, the period within which to exercise the Stock Option may be subject to earlier termination as set forth below.</w:t>
      </w:r>
    </w:p>
    <w:p>
      <w:pPr>
        <w:spacing w:after="0" w:line="75" w:lineRule="exact"/>
        <w:rPr>
          <w:rFonts w:ascii="Arial" w:cs="Arial" w:eastAsia="Arial" w:hAnsi="Arial"/>
          <w:sz w:val="18"/>
          <w:szCs w:val="18"/>
          <w:color w:val="auto"/>
        </w:rPr>
      </w:pPr>
    </w:p>
    <w:p>
      <w:pPr>
        <w:ind w:left="4" w:right="60" w:firstLine="987"/>
        <w:spacing w:after="0" w:line="257" w:lineRule="auto"/>
        <w:tabs>
          <w:tab w:leader="none" w:pos="1240" w:val="left"/>
        </w:tabs>
        <w:numPr>
          <w:ilvl w:val="2"/>
          <w:numId w:val="225"/>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Service Relationship with the Company or a Subsidiary or a payroll firm as agreed upon between the Optionee and the Company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79" w:lineRule="exact"/>
        <w:rPr>
          <w:rFonts w:ascii="Arial" w:cs="Arial" w:eastAsia="Arial" w:hAnsi="Arial"/>
          <w:sz w:val="18"/>
          <w:szCs w:val="18"/>
          <w:color w:val="auto"/>
        </w:rPr>
      </w:pPr>
    </w:p>
    <w:p>
      <w:pPr>
        <w:ind w:left="4" w:right="120" w:firstLine="987"/>
        <w:spacing w:after="0" w:line="275" w:lineRule="auto"/>
        <w:tabs>
          <w:tab w:leader="none" w:pos="1250" w:val="left"/>
        </w:tabs>
        <w:numPr>
          <w:ilvl w:val="2"/>
          <w:numId w:val="225"/>
        </w:numPr>
        <w:rPr>
          <w:rFonts w:ascii="Arial" w:cs="Arial" w:eastAsia="Arial" w:hAnsi="Arial"/>
          <w:sz w:val="17"/>
          <w:szCs w:val="17"/>
          <w:color w:val="auto"/>
        </w:rPr>
      </w:pPr>
      <w:r>
        <w:rPr>
          <w:rFonts w:ascii="Arial" w:cs="Arial" w:eastAsia="Arial" w:hAnsi="Arial"/>
          <w:sz w:val="17"/>
          <w:szCs w:val="17"/>
          <w:u w:val="single" w:color="auto"/>
          <w:color w:val="auto"/>
        </w:rPr>
        <w:t>Termination Due to Disability</w:t>
      </w:r>
      <w:r>
        <w:rPr>
          <w:rFonts w:ascii="Arial" w:cs="Arial" w:eastAsia="Arial" w:hAnsi="Arial"/>
          <w:sz w:val="17"/>
          <w:szCs w:val="17"/>
          <w:color w:val="auto"/>
        </w:rPr>
        <w:t>. If the Optionee’s Service Relationship with the Company or a Subsidiary or a payroll firm as agreed upon between the Optionee and the Company terminates by reason of the Optionee’s disability (in accordance with article 7:669 under 3 sub b DCC),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76" w:lineRule="exact"/>
        <w:rPr>
          <w:rFonts w:ascii="Arial" w:cs="Arial" w:eastAsia="Arial" w:hAnsi="Arial"/>
          <w:sz w:val="17"/>
          <w:szCs w:val="17"/>
          <w:color w:val="auto"/>
        </w:rPr>
      </w:pPr>
    </w:p>
    <w:p>
      <w:pPr>
        <w:ind w:left="4" w:right="40" w:firstLine="987"/>
        <w:spacing w:after="0" w:line="285" w:lineRule="auto"/>
        <w:tabs>
          <w:tab w:leader="none" w:pos="1240" w:val="left"/>
        </w:tabs>
        <w:numPr>
          <w:ilvl w:val="2"/>
          <w:numId w:val="225"/>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 Optionee’s Service Relationship with the Company or a Subsidiary or a payroll firm as agreed upon between the Optionee and the Company,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that the Optionee shall be dismissed due to: (i) an urgent cause (article 7:677 jo. article 7:678 DCC), (ii) underperformance of the Optionee (article 7:669 under 3 sub d DCC) (iii) serious imputable acts of the Optionee (article 7:669 under 3 sub e DCC), or</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other reasons (article 7:669 under 3 sub h DCC).</w:t>
      </w:r>
    </w:p>
    <w:p>
      <w:pPr>
        <w:spacing w:after="0" w:line="102" w:lineRule="exact"/>
        <w:rPr>
          <w:rFonts w:ascii="Arial" w:cs="Arial" w:eastAsia="Arial" w:hAnsi="Arial"/>
          <w:sz w:val="18"/>
          <w:szCs w:val="18"/>
          <w:color w:val="auto"/>
        </w:rPr>
      </w:pPr>
    </w:p>
    <w:p>
      <w:pPr>
        <w:ind w:left="4" w:firstLine="987"/>
        <w:spacing w:after="0" w:line="275" w:lineRule="auto"/>
        <w:tabs>
          <w:tab w:leader="none" w:pos="1250" w:val="left"/>
        </w:tabs>
        <w:numPr>
          <w:ilvl w:val="2"/>
          <w:numId w:val="226"/>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If the Optionee’s Service Relationship with the Company or a Subsidiary or a payroll firm as agreed upon between the Optionee and the Company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0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4" w:right="519" w:bottom="1440" w:gutter="0" w:footer="0" w:header="0"/>
        </w:sectPr>
      </w:pPr>
    </w:p>
    <w:bookmarkStart w:id="322" w:name="page323"/>
    <w:bookmarkEnd w:id="322"/>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Administrator’s determination of the reason for termination</w:t>
      </w:r>
      <w:r>
        <w:rPr>
          <w:rFonts w:ascii="Arial" w:cs="Arial" w:eastAsia="Arial" w:hAnsi="Arial"/>
          <w:sz w:val="15"/>
          <w:szCs w:val="15"/>
          <w:color w:val="auto"/>
        </w:rPr>
        <w:t>1</w:t>
      </w:r>
      <w:r>
        <w:rPr>
          <w:rFonts w:ascii="Arial" w:cs="Arial" w:eastAsia="Arial" w:hAnsi="Arial"/>
          <w:sz w:val="18"/>
          <w:szCs w:val="18"/>
          <w:color w:val="auto"/>
        </w:rPr>
        <w:t xml:space="preserve"> of the Optionee’s Service Relationship with the Company or a Subsidiary shall be conclusive and binding on the Optionee and his or her representatives or legatees.</w:t>
      </w:r>
    </w:p>
    <w:p>
      <w:pPr>
        <w:spacing w:after="0" w:line="6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6"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6"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and/or local taxes required by law to be withheld from the Optionee on account of such transfer.</w:t>
      </w:r>
    </w:p>
    <w:p>
      <w:pPr>
        <w:spacing w:after="0" w:line="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79"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8.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including, without limitation, all exhibits attached hereto, constitutes the entire agreement between the parties with respect to this Stock Option and supersedes all prior agreements and discussions between the parties concerning such subject matter.</w:t>
      </w:r>
    </w:p>
    <w:p>
      <w:pPr>
        <w:spacing w:after="0" w:line="16"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 xml:space="preserve">9. </w:t>
      </w:r>
      <w:r>
        <w:rPr>
          <w:rFonts w:ascii="Arial" w:cs="Arial" w:eastAsia="Arial" w:hAnsi="Arial"/>
          <w:sz w:val="17"/>
          <w:szCs w:val="17"/>
          <w:u w:val="single" w:color="auto"/>
          <w:color w:val="auto"/>
        </w:rPr>
        <w:t>Data Privacy Consent.</w:t>
      </w:r>
      <w:r>
        <w:rPr>
          <w:rFonts w:ascii="Arial" w:cs="Arial" w:eastAsia="Arial" w:hAnsi="Arial"/>
          <w:sz w:val="17"/>
          <w:szCs w:val="17"/>
          <w:color w:val="auto"/>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715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The administrator will take into account the local law in order to determine the reason for termination.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23" w:name="page324"/>
    <w:bookmarkEnd w:id="323"/>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80" w:lineRule="exact"/>
        <w:rPr>
          <w:sz w:val="20"/>
          <w:szCs w:val="20"/>
          <w:color w:val="auto"/>
        </w:rPr>
      </w:pPr>
    </w:p>
    <w:p>
      <w:pPr>
        <w:ind w:firstLine="436"/>
        <w:spacing w:after="0" w:line="263" w:lineRule="auto"/>
        <w:tabs>
          <w:tab w:leader="none" w:pos="71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65665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Optionee’s Signature</w:t>
      </w:r>
    </w:p>
    <w:p>
      <w:pPr>
        <w:spacing w:after="0" w:line="11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220345</wp:posOffset>
            </wp:positionV>
            <wp:extent cx="328295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443230</wp:posOffset>
            </wp:positionV>
            <wp:extent cx="328295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666115</wp:posOffset>
            </wp:positionV>
            <wp:extent cx="328295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 Tax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NETHERLANDS – TAX SUMMARY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The following summary outlines certain material Dutch tax consequences that generally apply to Stock Options granted under the Plan and the sale of any Stock acquired pursuant to the exercise of such Stock Options. Please note that the specific Dutch tax consequences apply depending on the individual circumstances. All references in this summary to the Netherlands and Dutch law are to the European part of the Kingdom of the Netherlands and its law, respectively, only. The summary applies to Optionees who are tax resident in the Netherlands (</w:t>
      </w:r>
      <w:r>
        <w:rPr>
          <w:rFonts w:ascii="Arial" w:cs="Arial" w:eastAsia="Arial" w:hAnsi="Arial"/>
          <w:sz w:val="16"/>
          <w:szCs w:val="16"/>
          <w:b w:val="1"/>
          <w:bCs w:val="1"/>
          <w:color w:val="auto"/>
        </w:rPr>
        <w:t>Participant</w:t>
      </w:r>
      <w:r>
        <w:rPr>
          <w:rFonts w:ascii="Arial" w:cs="Arial" w:eastAsia="Arial" w:hAnsi="Arial"/>
          <w:sz w:val="16"/>
          <w:szCs w:val="16"/>
          <w:color w:val="auto"/>
        </w:rPr>
        <w:t>) and are employed by a Dutch Subsidiary or a Dutch payroll company (</w:t>
      </w:r>
      <w:r>
        <w:rPr>
          <w:rFonts w:ascii="Arial" w:cs="Arial" w:eastAsia="Arial" w:hAnsi="Arial"/>
          <w:sz w:val="16"/>
          <w:szCs w:val="16"/>
          <w:b w:val="1"/>
          <w:bCs w:val="1"/>
          <w:color w:val="auto"/>
        </w:rPr>
        <w:t>Dutch payroll company</w:t>
      </w:r>
      <w:r>
        <w:rPr>
          <w:rFonts w:ascii="Arial" w:cs="Arial" w:eastAsia="Arial" w:hAnsi="Arial"/>
          <w:sz w:val="16"/>
          <w:szCs w:val="16"/>
          <w:color w:val="auto"/>
        </w:rPr>
        <w:t>). This summary is based on the tax laws and practice of the Netherlands as in effect on the date hereof, which are subject to changes that could prospectively or retrospectively affect the Dutch tax consequences.</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Grants of Stock Option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granting of Stock Option should not lead to any Dutch wage withholding tax or income tax obligations.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Exercise of Stock Option</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Upon exercise of the Stock Option, the amount of the gain realized by the Dutch Participant (i.e., the difference between (i) the fair market value of the Stock acquired, and (ii) the Option Exercise Price) will be included in the Dutch Participant’s taxable wages (</w:t>
      </w:r>
      <w:r>
        <w:rPr>
          <w:rFonts w:ascii="Arial" w:cs="Arial" w:eastAsia="Arial" w:hAnsi="Arial"/>
          <w:sz w:val="18"/>
          <w:szCs w:val="18"/>
          <w:i w:val="1"/>
          <w:iCs w:val="1"/>
          <w:color w:val="auto"/>
        </w:rPr>
        <w:t>belastbaar loon</w:t>
      </w:r>
      <w:r>
        <w:rPr>
          <w:rFonts w:ascii="Arial" w:cs="Arial" w:eastAsia="Arial" w:hAnsi="Arial"/>
          <w:sz w:val="18"/>
          <w:szCs w:val="18"/>
          <w:color w:val="auto"/>
        </w:rPr>
        <w:t>) and be subject to wage withholding tax and social insurance contributions at progressive tax rates (to the extent the applicable contribution ceiling has not been exceeded). The Dutch Subsidiary or Dutch payroll company needs to withhold the wage withholding tax (and social security contributions, if applicable) from the Dutch Participant’s salary.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Owning and Selling Stock</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 Dutch Participant owning Stock would normally not be subject to tax on income and capital gains realized on the Stock. The Dutch Participant would generally be taxable at a flat rate of 30% on deemed income from savings and investments (</w:t>
      </w:r>
      <w:r>
        <w:rPr>
          <w:rFonts w:ascii="Arial" w:cs="Arial" w:eastAsia="Arial" w:hAnsi="Arial"/>
          <w:sz w:val="18"/>
          <w:szCs w:val="18"/>
          <w:i w:val="1"/>
          <w:iCs w:val="1"/>
          <w:color w:val="auto"/>
        </w:rPr>
        <w:t>inkomen uit sparen en beleggen</w:t>
      </w:r>
      <w:r>
        <w:rPr>
          <w:rFonts w:ascii="Arial" w:cs="Arial" w:eastAsia="Arial" w:hAnsi="Arial"/>
          <w:sz w:val="18"/>
          <w:szCs w:val="18"/>
          <w:color w:val="auto"/>
        </w:rPr>
        <w:t>). This deemed income ranges from 1.898% to 5.69% of the Dutch Participant’s yield basis (</w:t>
      </w:r>
      <w:r>
        <w:rPr>
          <w:rFonts w:ascii="Arial" w:cs="Arial" w:eastAsia="Arial" w:hAnsi="Arial"/>
          <w:sz w:val="18"/>
          <w:szCs w:val="18"/>
          <w:i w:val="1"/>
          <w:iCs w:val="1"/>
          <w:color w:val="auto"/>
        </w:rPr>
        <w:t>rendementsgrondslag</w:t>
      </w:r>
      <w:r>
        <w:rPr>
          <w:rFonts w:ascii="Arial" w:cs="Arial" w:eastAsia="Arial" w:hAnsi="Arial"/>
          <w:sz w:val="18"/>
          <w:szCs w:val="18"/>
          <w:color w:val="auto"/>
        </w:rPr>
        <w:t>, which would include the Stock) at the beginning of the calendar year.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7720" w:type="dxa"/>
            <w:vAlign w:val="bottom"/>
          </w:tcPr>
          <w:p>
            <w:pPr>
              <w:jc w:val="center"/>
              <w:ind w:right="3010"/>
              <w:spacing w:after="0"/>
              <w:rPr>
                <w:sz w:val="20"/>
                <w:szCs w:val="20"/>
                <w:color w:val="auto"/>
              </w:rPr>
            </w:pPr>
            <w:r>
              <w:rPr>
                <w:rFonts w:ascii="Arial" w:cs="Arial" w:eastAsia="Arial" w:hAnsi="Arial"/>
                <w:sz w:val="18"/>
                <w:szCs w:val="18"/>
                <w:b w:val="1"/>
                <w:bCs w:val="1"/>
                <w:color w:val="auto"/>
              </w:rPr>
              <w:t>RESTRICTED STOCK UNIT AWARD AGREEMENT</w:t>
            </w:r>
          </w:p>
        </w:tc>
      </w:tr>
      <w:tr>
        <w:trPr>
          <w:trHeight w:val="216"/>
        </w:trPr>
        <w:tc>
          <w:tcPr>
            <w:tcW w:w="3200" w:type="dxa"/>
            <w:vAlign w:val="bottom"/>
          </w:tcPr>
          <w:p>
            <w:pPr>
              <w:spacing w:after="0"/>
              <w:rPr>
                <w:sz w:val="18"/>
                <w:szCs w:val="18"/>
                <w:color w:val="auto"/>
              </w:rPr>
            </w:pPr>
          </w:p>
        </w:tc>
        <w:tc>
          <w:tcPr>
            <w:tcW w:w="7720" w:type="dxa"/>
            <w:vAlign w:val="bottom"/>
          </w:tcPr>
          <w:p>
            <w:pPr>
              <w:jc w:val="center"/>
              <w:ind w:right="3010"/>
              <w:spacing w:after="0"/>
              <w:rPr>
                <w:sz w:val="20"/>
                <w:szCs w:val="20"/>
                <w:color w:val="auto"/>
              </w:rPr>
            </w:pPr>
            <w:r>
              <w:rPr>
                <w:rFonts w:ascii="Arial" w:cs="Arial" w:eastAsia="Arial" w:hAnsi="Arial"/>
                <w:sz w:val="18"/>
                <w:szCs w:val="18"/>
                <w:b w:val="1"/>
                <w:bCs w:val="1"/>
                <w:color w:val="auto"/>
              </w:rPr>
              <w:t>FOR COMPANY NETHERLANDS EMPLOYEES</w:t>
            </w:r>
          </w:p>
        </w:tc>
      </w:tr>
      <w:tr>
        <w:trPr>
          <w:trHeight w:val="216"/>
        </w:trPr>
        <w:tc>
          <w:tcPr>
            <w:tcW w:w="3200" w:type="dxa"/>
            <w:vAlign w:val="bottom"/>
          </w:tcPr>
          <w:p>
            <w:pPr>
              <w:spacing w:after="0"/>
              <w:rPr>
                <w:sz w:val="18"/>
                <w:szCs w:val="18"/>
                <w:color w:val="auto"/>
              </w:rPr>
            </w:pPr>
          </w:p>
        </w:tc>
        <w:tc>
          <w:tcPr>
            <w:tcW w:w="7720" w:type="dxa"/>
            <w:vAlign w:val="bottom"/>
          </w:tcPr>
          <w:p>
            <w:pPr>
              <w:jc w:val="center"/>
              <w:ind w:right="3010"/>
              <w:spacing w:after="0"/>
              <w:rPr>
                <w:sz w:val="20"/>
                <w:szCs w:val="20"/>
                <w:color w:val="auto"/>
              </w:rPr>
            </w:pPr>
            <w:r>
              <w:rPr>
                <w:rFonts w:ascii="Arial" w:cs="Arial" w:eastAsia="Arial" w:hAnsi="Arial"/>
                <w:sz w:val="18"/>
                <w:szCs w:val="18"/>
                <w:b w:val="1"/>
                <w:bCs w:val="1"/>
                <w:color w:val="auto"/>
              </w:rPr>
              <w:t>UNDER THE MARQETA, INC.</w:t>
            </w:r>
          </w:p>
        </w:tc>
      </w:tr>
      <w:tr>
        <w:trPr>
          <w:trHeight w:val="234"/>
        </w:trPr>
        <w:tc>
          <w:tcPr>
            <w:tcW w:w="3200" w:type="dxa"/>
            <w:vAlign w:val="bottom"/>
          </w:tcPr>
          <w:p>
            <w:pPr>
              <w:spacing w:after="0"/>
              <w:rPr>
                <w:sz w:val="20"/>
                <w:szCs w:val="20"/>
                <w:color w:val="auto"/>
              </w:rPr>
            </w:pPr>
          </w:p>
        </w:tc>
        <w:tc>
          <w:tcPr>
            <w:tcW w:w="7720" w:type="dxa"/>
            <w:vAlign w:val="bottom"/>
          </w:tcPr>
          <w:p>
            <w:pPr>
              <w:jc w:val="center"/>
              <w:ind w:right="3010"/>
              <w:spacing w:after="0"/>
              <w:rPr>
                <w:sz w:val="20"/>
                <w:szCs w:val="20"/>
                <w:color w:val="auto"/>
              </w:rPr>
            </w:pPr>
            <w:r>
              <w:rPr>
                <w:rFonts w:ascii="Arial" w:cs="Arial" w:eastAsia="Arial" w:hAnsi="Arial"/>
                <w:sz w:val="18"/>
                <w:szCs w:val="18"/>
                <w:b w:val="1"/>
                <w:bCs w:val="1"/>
                <w:color w:val="auto"/>
              </w:rPr>
              <w:t>2021 STOCK OPTION AND INCENTIVE PLAN</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Name of Grantee:</w:t>
            </w:r>
          </w:p>
        </w:tc>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See Grant Notice provided by the Company to the Grantee through Equity Edge (the “EEO Grant Notice”)</w:t>
            </w:r>
          </w:p>
        </w:tc>
      </w:tr>
      <w:tr>
        <w:trPr>
          <w:trHeight w:val="344"/>
        </w:trPr>
        <w:tc>
          <w:tcPr>
            <w:tcW w:w="3200" w:type="dxa"/>
            <w:vAlign w:val="bottom"/>
          </w:tcPr>
          <w:p>
            <w:pPr>
              <w:spacing w:after="0"/>
              <w:rPr>
                <w:sz w:val="20"/>
                <w:szCs w:val="20"/>
                <w:color w:val="auto"/>
              </w:rPr>
            </w:pPr>
            <w:r>
              <w:rPr>
                <w:rFonts w:ascii="Arial" w:cs="Arial" w:eastAsia="Arial" w:hAnsi="Arial"/>
                <w:sz w:val="18"/>
                <w:szCs w:val="18"/>
                <w:color w:val="auto"/>
              </w:rPr>
              <w:t>No. of Restricted Stock Units:</w:t>
            </w:r>
          </w:p>
        </w:tc>
        <w:tc>
          <w:tcPr>
            <w:tcW w:w="7720" w:type="dxa"/>
            <w:vAlign w:val="bottom"/>
          </w:tcPr>
          <w:p>
            <w:pPr>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Grant Date:</w:t>
            </w:r>
          </w:p>
        </w:tc>
        <w:tc>
          <w:tcPr>
            <w:tcW w:w="7720" w:type="dxa"/>
            <w:vAlign w:val="bottom"/>
          </w:tcPr>
          <w:p>
            <w:pPr>
              <w:spacing w:after="0"/>
              <w:rPr>
                <w:sz w:val="20"/>
                <w:szCs w:val="20"/>
                <w:color w:val="auto"/>
              </w:rPr>
            </w:pPr>
            <w:r>
              <w:rPr>
                <w:rFonts w:ascii="Arial" w:cs="Arial" w:eastAsia="Arial" w:hAnsi="Arial"/>
                <w:sz w:val="18"/>
                <w:szCs w:val="18"/>
                <w:i w:val="1"/>
                <w:iCs w:val="1"/>
                <w:color w:val="auto"/>
              </w:rPr>
              <w:t>See EEO Grant Notice</w:t>
            </w:r>
          </w:p>
        </w:tc>
      </w:tr>
      <w:tr>
        <w:trPr>
          <w:trHeight w:val="324"/>
        </w:trPr>
        <w:tc>
          <w:tcPr>
            <w:tcW w:w="320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7720" w:type="dxa"/>
            <w:vAlign w:val="bottom"/>
          </w:tcPr>
          <w:p>
            <w:pPr>
              <w:spacing w:after="0"/>
              <w:rPr>
                <w:sz w:val="20"/>
                <w:szCs w:val="20"/>
                <w:color w:val="auto"/>
              </w:rPr>
            </w:pPr>
            <w:r>
              <w:rPr>
                <w:rFonts w:ascii="Arial" w:cs="Arial" w:eastAsia="Arial" w:hAnsi="Arial"/>
                <w:sz w:val="18"/>
                <w:szCs w:val="18"/>
                <w:i w:val="1"/>
                <w:iCs w:val="1"/>
                <w:color w:val="auto"/>
              </w:rPr>
              <w:t>See EEO Grant Notice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20" w:firstLine="440"/>
        <w:spacing w:after="0" w:line="286" w:lineRule="auto"/>
        <w:rPr>
          <w:sz w:val="20"/>
          <w:szCs w:val="20"/>
          <w:color w:val="auto"/>
        </w:rPr>
      </w:pPr>
      <w:r>
        <w:rPr>
          <w:rFonts w:ascii="Arial" w:cs="Arial" w:eastAsia="Arial" w:hAnsi="Arial"/>
          <w:sz w:val="17"/>
          <w:szCs w:val="17"/>
          <w:color w:val="auto"/>
        </w:rPr>
        <w:t>Pursuant to the Marqeta, Inc. 2021 Stock Option and Incentive Plan as amended through the date hereof (the “Plan”), Marqeta, Inc. (the “Company”) hereby grants an award of the number of Restricted Stock Units listed above (an “Award”) to the Grantee named above. Each Restricted Stock Unit shall relate to one share of Class A Common Stock, par value $0.0001 per share (the “Stock”) of the Company.</w:t>
      </w:r>
    </w:p>
    <w:p>
      <w:pPr>
        <w:spacing w:after="0" w:line="57" w:lineRule="exact"/>
        <w:rPr>
          <w:sz w:val="20"/>
          <w:szCs w:val="20"/>
          <w:color w:val="auto"/>
        </w:rPr>
      </w:pPr>
    </w:p>
    <w:p>
      <w:pPr>
        <w:ind w:firstLine="436"/>
        <w:spacing w:after="0" w:line="259" w:lineRule="auto"/>
        <w:tabs>
          <w:tab w:leader="none" w:pos="62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78" w:lineRule="exact"/>
        <w:rPr>
          <w:rFonts w:ascii="Arial" w:cs="Arial" w:eastAsia="Arial" w:hAnsi="Arial"/>
          <w:sz w:val="18"/>
          <w:szCs w:val="18"/>
          <w:color w:val="auto"/>
        </w:rPr>
      </w:pPr>
    </w:p>
    <w:p>
      <w:pPr>
        <w:jc w:val="both"/>
        <w:ind w:right="280" w:firstLine="436"/>
        <w:spacing w:after="0" w:line="301" w:lineRule="auto"/>
        <w:tabs>
          <w:tab w:leader="none" w:pos="620"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 The restrictions and conditions of Paragraph 1 of this Agreement shall lapse on the Vesting Date or Dates specified in the EEO Grant Notice so long as the Grantee maintains a continuous Service Relationship with the Company or a Subsidiary, or remains employed at a payroll firm as agreed upon between the Grantee and the Company on such Dates. If a series of Vesting Dates is specified, then the restrictions and conditions in Paragraph 1 shall lapse only with respect to the number of Restricted Stock Units specified as vested on such date.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117" w:lineRule="exact"/>
        <w:rPr>
          <w:sz w:val="20"/>
          <w:szCs w:val="20"/>
          <w:color w:val="auto"/>
        </w:rPr>
      </w:pPr>
    </w:p>
    <w:p>
      <w:pPr>
        <w:ind w:right="120" w:firstLine="436"/>
        <w:spacing w:after="0" w:line="301" w:lineRule="auto"/>
        <w:tabs>
          <w:tab w:leader="none" w:pos="62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Termination of Service Relationship</w:t>
      </w:r>
      <w:r>
        <w:rPr>
          <w:rFonts w:ascii="Arial" w:cs="Arial" w:eastAsia="Arial" w:hAnsi="Arial"/>
          <w:sz w:val="16"/>
          <w:szCs w:val="16"/>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0980"/>
          </w:cols>
          <w:pgMar w:left="440" w:top="270" w:right="479" w:bottom="1440" w:gutter="0" w:footer="0" w:header="0"/>
        </w:sectPr>
      </w:pPr>
    </w:p>
    <w:bookmarkStart w:id="326" w:name="page327"/>
    <w:bookmarkEnd w:id="326"/>
    <w:p>
      <w:pPr>
        <w:ind w:right="120" w:firstLine="436"/>
        <w:spacing w:after="0" w:line="259" w:lineRule="auto"/>
        <w:tabs>
          <w:tab w:leader="none" w:pos="62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78" w:lineRule="exact"/>
        <w:rPr>
          <w:rFonts w:ascii="Arial" w:cs="Arial" w:eastAsia="Arial" w:hAnsi="Arial"/>
          <w:sz w:val="18"/>
          <w:szCs w:val="18"/>
          <w:color w:val="auto"/>
        </w:rPr>
      </w:pPr>
    </w:p>
    <w:p>
      <w:pPr>
        <w:ind w:right="20" w:firstLine="436"/>
        <w:spacing w:after="0" w:line="263" w:lineRule="auto"/>
        <w:tabs>
          <w:tab w:leader="none" w:pos="62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5" w:lineRule="exact"/>
        <w:rPr>
          <w:rFonts w:ascii="Arial" w:cs="Arial" w:eastAsia="Arial" w:hAnsi="Arial"/>
          <w:sz w:val="18"/>
          <w:szCs w:val="18"/>
          <w:color w:val="auto"/>
        </w:rPr>
      </w:pPr>
    </w:p>
    <w:p>
      <w:pPr>
        <w:ind w:right="80" w:firstLine="436"/>
        <w:spacing w:after="0" w:line="254" w:lineRule="auto"/>
        <w:tabs>
          <w:tab w:leader="none" w:pos="62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86"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38" w:lineRule="exact"/>
        <w:rPr>
          <w:rFonts w:ascii="Arial" w:cs="Arial" w:eastAsia="Arial" w:hAnsi="Arial"/>
          <w:sz w:val="17"/>
          <w:szCs w:val="17"/>
          <w:color w:val="auto"/>
        </w:rPr>
      </w:pPr>
    </w:p>
    <w:p>
      <w:pPr>
        <w:ind w:right="20" w:firstLine="436"/>
        <w:spacing w:after="0" w:line="311" w:lineRule="auto"/>
        <w:tabs>
          <w:tab w:leader="none" w:pos="620"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No Obligation to Continue Service Relationship</w:t>
      </w:r>
      <w:r>
        <w:rPr>
          <w:rFonts w:ascii="Arial" w:cs="Arial" w:eastAsia="Arial" w:hAnsi="Arial"/>
          <w:sz w:val="16"/>
          <w:szCs w:val="16"/>
          <w:color w:val="auto"/>
        </w:rPr>
        <w:t>. Neither the Company nor any Subsidiary is obligated by or as a result of the Plan or this Agreement to continue the Grantee’s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40" w:lineRule="exact"/>
        <w:rPr>
          <w:rFonts w:ascii="Arial" w:cs="Arial" w:eastAsia="Arial" w:hAnsi="Arial"/>
          <w:sz w:val="16"/>
          <w:szCs w:val="16"/>
          <w:color w:val="auto"/>
        </w:rPr>
      </w:pPr>
    </w:p>
    <w:p>
      <w:pPr>
        <w:ind w:firstLine="436"/>
        <w:spacing w:after="0" w:line="308" w:lineRule="auto"/>
        <w:tabs>
          <w:tab w:leader="none" w:pos="620"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including, without limitation, all exhibits attached hereto, constitutes the entire agreement between the parties with respect to this Award and supersedes all prior agreements and discussions between the parties concerning such subject matter.</w:t>
      </w:r>
    </w:p>
    <w:p>
      <w:pPr>
        <w:spacing w:after="0" w:line="38" w:lineRule="exact"/>
        <w:rPr>
          <w:rFonts w:ascii="Arial" w:cs="Arial" w:eastAsia="Arial" w:hAnsi="Arial"/>
          <w:sz w:val="17"/>
          <w:szCs w:val="17"/>
          <w:color w:val="auto"/>
        </w:rPr>
      </w:pPr>
    </w:p>
    <w:p>
      <w:pPr>
        <w:ind w:firstLine="436"/>
        <w:spacing w:after="0" w:line="253" w:lineRule="auto"/>
        <w:tabs>
          <w:tab w:leader="none" w:pos="71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27" w:name="page328"/>
    <w:bookmarkEnd w:id="327"/>
    <w:p>
      <w:pPr>
        <w:jc w:val="both"/>
        <w:ind w:firstLine="436"/>
        <w:spacing w:after="0" w:line="263" w:lineRule="auto"/>
        <w:tabs>
          <w:tab w:leader="none" w:pos="703"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65665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Grantee’s Signature</w:t>
      </w:r>
    </w:p>
    <w:p>
      <w:pPr>
        <w:spacing w:after="0" w:line="11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220345</wp:posOffset>
            </wp:positionV>
            <wp:extent cx="328295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443230</wp:posOffset>
            </wp:positionV>
            <wp:extent cx="328295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7">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666115</wp:posOffset>
            </wp:positionV>
            <wp:extent cx="328295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440" w:top="274" w:right="61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 Tax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NETHERLANDS – TAX SUMMARY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following summary outlines certain material Dutch tax consequences that generally apply to Awards granted under the Plan. Please note that the specific Dutch tax consequences apply depending on the individual circumstances. All references in this summary to the Netherlands and Dutch law are to the European part of the Kingdom of the Netherlands and its law, respectively, only. The summary applies to Grantees who are tax resident in the Netherlands (</w:t>
      </w:r>
      <w:r>
        <w:rPr>
          <w:rFonts w:ascii="Arial" w:cs="Arial" w:eastAsia="Arial" w:hAnsi="Arial"/>
          <w:sz w:val="18"/>
          <w:szCs w:val="18"/>
          <w:b w:val="1"/>
          <w:bCs w:val="1"/>
          <w:color w:val="auto"/>
        </w:rPr>
        <w:t>Participant</w:t>
      </w:r>
      <w:r>
        <w:rPr>
          <w:rFonts w:ascii="Arial" w:cs="Arial" w:eastAsia="Arial" w:hAnsi="Arial"/>
          <w:sz w:val="18"/>
          <w:szCs w:val="18"/>
          <w:color w:val="auto"/>
        </w:rPr>
        <w:t>) and are employed by a Dutch Subsidiary or a Dutch payroll company (</w:t>
      </w:r>
      <w:r>
        <w:rPr>
          <w:rFonts w:ascii="Arial" w:cs="Arial" w:eastAsia="Arial" w:hAnsi="Arial"/>
          <w:sz w:val="18"/>
          <w:szCs w:val="18"/>
          <w:b w:val="1"/>
          <w:bCs w:val="1"/>
          <w:color w:val="auto"/>
        </w:rPr>
        <w:t>Dutch payroll company</w:t>
      </w:r>
      <w:r>
        <w:rPr>
          <w:rFonts w:ascii="Arial" w:cs="Arial" w:eastAsia="Arial" w:hAnsi="Arial"/>
          <w:sz w:val="18"/>
          <w:szCs w:val="18"/>
          <w:color w:val="auto"/>
        </w:rPr>
        <w:t>). This summary is based on the tax laws and practice of the Netherlands as in effect on the date hereof, which are subject to changes that could prospectively or retrospectively affect the Dutch tax consequences.</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Grants of Awards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granting of Awards under this Agreement should not lead to any Dutch wage withholding tax or income tax obligations.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Vesting of Restricted Stock Units</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Upon vesting of the Restricted Stock Units, the fair market value of the Restricted Stock Units will be included in the Dutch Participant’s taxable wages (</w:t>
      </w:r>
      <w:r>
        <w:rPr>
          <w:rFonts w:ascii="Arial" w:cs="Arial" w:eastAsia="Arial" w:hAnsi="Arial"/>
          <w:sz w:val="18"/>
          <w:szCs w:val="18"/>
          <w:i w:val="1"/>
          <w:iCs w:val="1"/>
          <w:color w:val="auto"/>
        </w:rPr>
        <w:t>belastbaar loon</w:t>
      </w:r>
      <w:r>
        <w:rPr>
          <w:rFonts w:ascii="Arial" w:cs="Arial" w:eastAsia="Arial" w:hAnsi="Arial"/>
          <w:sz w:val="18"/>
          <w:szCs w:val="18"/>
          <w:color w:val="auto"/>
        </w:rPr>
        <w:t>) and be subject to wage withholding tax and social insurance contributions at progressive tax rates (to the extent the applicable contribution ceiling has not been exceeded). The Dutch Subsidiary or the Dutch payroll company needs to withhold the wage withholding tax (and social security contributions, if applicable) from the Dutch Participant’s salary.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Owning and Selling Stock</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 Dutch Participant owning Stock would normally not be subject to tax on income and capital gains realized on the Stock. The Dutch Participant would generally be taxable at a flat rate of 30% on deemed income from savings and investments (</w:t>
      </w:r>
      <w:r>
        <w:rPr>
          <w:rFonts w:ascii="Arial" w:cs="Arial" w:eastAsia="Arial" w:hAnsi="Arial"/>
          <w:sz w:val="18"/>
          <w:szCs w:val="18"/>
          <w:i w:val="1"/>
          <w:iCs w:val="1"/>
          <w:color w:val="auto"/>
        </w:rPr>
        <w:t>inkomen uit sparen en beleggen</w:t>
      </w:r>
      <w:r>
        <w:rPr>
          <w:rFonts w:ascii="Arial" w:cs="Arial" w:eastAsia="Arial" w:hAnsi="Arial"/>
          <w:sz w:val="18"/>
          <w:szCs w:val="18"/>
          <w:color w:val="auto"/>
        </w:rPr>
        <w:t>). This deemed income ranges from 1.898% to 5.69% of the Dutch Participant’s yield basis (</w:t>
      </w:r>
      <w:r>
        <w:rPr>
          <w:rFonts w:ascii="Arial" w:cs="Arial" w:eastAsia="Arial" w:hAnsi="Arial"/>
          <w:sz w:val="18"/>
          <w:szCs w:val="18"/>
          <w:i w:val="1"/>
          <w:iCs w:val="1"/>
          <w:color w:val="auto"/>
        </w:rPr>
        <w:t>rendementsgrondslag</w:t>
      </w:r>
      <w:r>
        <w:rPr>
          <w:rFonts w:ascii="Arial" w:cs="Arial" w:eastAsia="Arial" w:hAnsi="Arial"/>
          <w:sz w:val="18"/>
          <w:szCs w:val="18"/>
          <w:color w:val="auto"/>
        </w:rPr>
        <w:t>, which would include the Stock) at the beginning of the calendar year.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329" w:name="page330"/>
    <w:bookmarkEnd w:id="3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UK NON-QUALIFIED STOCK OPTION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MARQETA,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STOCK OPTION AND INCENTIVE PLAN</w:t>
      </w:r>
    </w:p>
    <w:p>
      <w:pPr>
        <w:sectPr>
          <w:pgSz w:w="11900" w:h="16838" w:orient="portrait"/>
          <w:cols w:equalWidth="0" w:num="1">
            <w:col w:w="10960"/>
          </w:cols>
          <w:pgMar w:left="440" w:top="270" w:right="49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See Grant Notice provided by the Company to the Optionee through Equity Edge (the “EEO Grant Notice”)</w:t>
      </w:r>
    </w:p>
    <w:p>
      <w:pPr>
        <w:spacing w:after="0" w:line="62"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No. of Option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Option Exercise Price per Share:</w:t>
      </w:r>
    </w:p>
    <w:p>
      <w:pPr>
        <w:spacing w:after="0" w:line="20" w:lineRule="exact"/>
        <w:rPr>
          <w:sz w:val="20"/>
          <w:szCs w:val="20"/>
          <w:color w:val="auto"/>
        </w:rPr>
      </w:pPr>
      <w:r>
        <w:rPr>
          <w:sz w:val="20"/>
          <w:szCs w:val="20"/>
          <w:color w:val="auto"/>
        </w:rPr>
        <w:br w:type="column"/>
      </w:r>
    </w:p>
    <w:p>
      <w:pPr>
        <w:jc w:val="center"/>
        <w:ind w:right="3600"/>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jc w:val="center"/>
        <w:ind w:right="3600"/>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See EEO Grant Notice</w:t>
      </w:r>
    </w:p>
    <w:p>
      <w:pPr>
        <w:spacing w:after="0" w:line="200"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line="48" w:lineRule="exact"/>
        <w:rPr>
          <w:sz w:val="20"/>
          <w:szCs w:val="20"/>
          <w:color w:val="auto"/>
        </w:rPr>
      </w:pPr>
    </w:p>
    <w:p>
      <w:pPr>
        <w:ind w:right="280" w:firstLine="440"/>
        <w:spacing w:after="0" w:line="296" w:lineRule="auto"/>
        <w:rPr>
          <w:sz w:val="20"/>
          <w:szCs w:val="20"/>
          <w:color w:val="auto"/>
        </w:rPr>
      </w:pPr>
      <w:r>
        <w:rPr>
          <w:rFonts w:ascii="Arial" w:cs="Arial" w:eastAsia="Arial" w:hAnsi="Arial"/>
          <w:sz w:val="16"/>
          <w:szCs w:val="16"/>
          <w:color w:val="auto"/>
        </w:rPr>
        <w:t>Pursuant to the Marqeta, Inc. 2021 Stock Option and Incentive Plan (and the UK Sub-Plan) as amended through the date hereof (together, the “Plan”), Marqeta, Inc. (the “Company”) hereby grants to the Optionee named above an option (the “Stock Option”) to purchase on or prior to the Expiration Date specified above all or part of the number of shares of Class A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53" w:lineRule="exact"/>
        <w:rPr>
          <w:sz w:val="20"/>
          <w:szCs w:val="20"/>
          <w:color w:val="auto"/>
        </w:rPr>
      </w:pPr>
    </w:p>
    <w:p>
      <w:pPr>
        <w:ind w:firstLine="436"/>
        <w:spacing w:after="0" w:line="279" w:lineRule="auto"/>
        <w:tabs>
          <w:tab w:leader="none" w:pos="620"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Exercisability Schedule</w:t>
      </w:r>
      <w:r>
        <w:rPr>
          <w:rFonts w:ascii="Arial" w:cs="Arial" w:eastAsia="Arial" w:hAnsi="Arial"/>
          <w:sz w:val="17"/>
          <w:szCs w:val="17"/>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maintains a continuous Service Relationship with the Company or a Subsidiary on such dates: See EEO Grant Notice.</w:t>
      </w:r>
    </w:p>
    <w:p>
      <w:pPr>
        <w:spacing w:after="0" w:line="17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pacing w:after="0" w:line="62" w:lineRule="exact"/>
        <w:rPr>
          <w:sz w:val="20"/>
          <w:szCs w:val="20"/>
          <w:color w:val="auto"/>
        </w:rPr>
      </w:pPr>
    </w:p>
    <w:p>
      <w:pPr>
        <w:ind w:left="620" w:hanging="184"/>
        <w:spacing w:after="0"/>
        <w:tabs>
          <w:tab w:leader="none" w:pos="62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63" w:lineRule="auto"/>
        <w:tabs>
          <w:tab w:leader="none" w:pos="123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ectPr>
          <w:pgSz w:w="11900" w:h="16838" w:orient="portrait"/>
          <w:cols w:equalWidth="0" w:num="1">
            <w:col w:w="10960"/>
          </w:cols>
          <w:pgMar w:left="440" w:top="270" w:right="499" w:bottom="1440" w:gutter="0" w:footer="0" w:header="0"/>
          <w:type w:val="continuous"/>
        </w:sectPr>
      </w:pPr>
    </w:p>
    <w:bookmarkStart w:id="330" w:name="page331"/>
    <w:bookmarkEnd w:id="330"/>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the purchase price for the Option Shares (which, for the avoidance of doubt, shall be payable in US dollars) may be made by one or more of the following methods: (i) in cash, by certified or bank cheque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cheque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82"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69" w:lineRule="exact"/>
        <w:rPr>
          <w:sz w:val="20"/>
          <w:szCs w:val="20"/>
          <w:color w:val="auto"/>
        </w:rPr>
      </w:pPr>
    </w:p>
    <w:p>
      <w:pPr>
        <w:ind w:firstLine="987"/>
        <w:spacing w:after="0" w:line="291" w:lineRule="auto"/>
        <w:tabs>
          <w:tab w:leader="none" w:pos="1246"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58" w:lineRule="exact"/>
        <w:rPr>
          <w:rFonts w:ascii="Arial" w:cs="Arial" w:eastAsia="Arial" w:hAnsi="Arial"/>
          <w:sz w:val="16"/>
          <w:szCs w:val="16"/>
          <w:color w:val="auto"/>
        </w:rPr>
      </w:pPr>
    </w:p>
    <w:p>
      <w:pPr>
        <w:ind w:right="40" w:firstLine="987"/>
        <w:spacing w:after="0" w:line="263" w:lineRule="auto"/>
        <w:tabs>
          <w:tab w:leader="none" w:pos="123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31" w:name="page332"/>
    <w:bookmarkEnd w:id="331"/>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Notwithstanding any other provision hereof or of the Plan, no portion of this Stock Option shall be exercisable after the Expiration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hereof.</w:t>
      </w:r>
    </w:p>
    <w:p>
      <w:pPr>
        <w:spacing w:after="0" w:line="103" w:lineRule="exact"/>
        <w:rPr>
          <w:sz w:val="20"/>
          <w:szCs w:val="20"/>
          <w:color w:val="auto"/>
        </w:rPr>
      </w:pPr>
    </w:p>
    <w:p>
      <w:pPr>
        <w:ind w:left="4" w:right="720" w:firstLine="436"/>
        <w:spacing w:after="0" w:line="308" w:lineRule="auto"/>
        <w:tabs>
          <w:tab w:leader="none" w:pos="624"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Termination of Service Relationship</w:t>
      </w:r>
      <w:r>
        <w:rPr>
          <w:rFonts w:ascii="Arial" w:cs="Arial" w:eastAsia="Arial" w:hAnsi="Arial"/>
          <w:sz w:val="17"/>
          <w:szCs w:val="17"/>
          <w:color w:val="auto"/>
        </w:rPr>
        <w:t>. If the Optionee’s Service Relationship with the Company or a Subsidiary (as defined in the Plan) terminates, the period within which to exercise the Stock Option may be subject to earlier termination as set forth below.</w:t>
      </w:r>
    </w:p>
    <w:p>
      <w:pPr>
        <w:spacing w:after="0" w:line="38" w:lineRule="exact"/>
        <w:rPr>
          <w:rFonts w:ascii="Arial" w:cs="Arial" w:eastAsia="Arial" w:hAnsi="Arial"/>
          <w:sz w:val="17"/>
          <w:szCs w:val="17"/>
          <w:color w:val="auto"/>
        </w:rPr>
      </w:pPr>
    </w:p>
    <w:p>
      <w:pPr>
        <w:ind w:left="4" w:right="140" w:firstLine="987"/>
        <w:spacing w:after="0" w:line="301" w:lineRule="auto"/>
        <w:tabs>
          <w:tab w:leader="none" w:pos="1240" w:val="left"/>
        </w:tabs>
        <w:numPr>
          <w:ilvl w:val="2"/>
          <w:numId w:val="235"/>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49" w:lineRule="exact"/>
        <w:rPr>
          <w:rFonts w:ascii="Arial" w:cs="Arial" w:eastAsia="Arial" w:hAnsi="Arial"/>
          <w:sz w:val="16"/>
          <w:szCs w:val="16"/>
          <w:color w:val="auto"/>
        </w:rPr>
      </w:pPr>
    </w:p>
    <w:p>
      <w:pPr>
        <w:ind w:left="4" w:right="140" w:firstLine="987"/>
        <w:spacing w:after="0" w:line="257" w:lineRule="auto"/>
        <w:tabs>
          <w:tab w:leader="none" w:pos="1250" w:val="left"/>
        </w:tabs>
        <w:numPr>
          <w:ilvl w:val="2"/>
          <w:numId w:val="235"/>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79" w:lineRule="exact"/>
        <w:rPr>
          <w:rFonts w:ascii="Arial" w:cs="Arial" w:eastAsia="Arial" w:hAnsi="Arial"/>
          <w:sz w:val="18"/>
          <w:szCs w:val="18"/>
          <w:color w:val="auto"/>
        </w:rPr>
      </w:pPr>
    </w:p>
    <w:p>
      <w:pPr>
        <w:jc w:val="both"/>
        <w:ind w:left="4" w:right="140" w:firstLine="987"/>
        <w:spacing w:after="0" w:line="286" w:lineRule="auto"/>
        <w:tabs>
          <w:tab w:leader="none" w:pos="1240" w:val="left"/>
        </w:tabs>
        <w:numPr>
          <w:ilvl w:val="2"/>
          <w:numId w:val="235"/>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w:t>
      </w:r>
    </w:p>
    <w:p>
      <w:pPr>
        <w:spacing w:after="0" w:line="1" w:lineRule="exact"/>
        <w:rPr>
          <w:rFonts w:ascii="Arial" w:cs="Arial" w:eastAsia="Arial" w:hAnsi="Arial"/>
          <w:sz w:val="16"/>
          <w:szCs w:val="16"/>
          <w:color w:val="auto"/>
        </w:rPr>
      </w:pPr>
    </w:p>
    <w:p>
      <w:pPr>
        <w:ind w:left="4" w:right="300" w:hanging="4"/>
        <w:spacing w:after="0" w:line="323" w:lineRule="auto"/>
        <w:tabs>
          <w:tab w:leader="none" w:pos="26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30" w:lineRule="exact"/>
        <w:rPr>
          <w:rFonts w:ascii="Arial" w:cs="Arial" w:eastAsia="Arial" w:hAnsi="Arial"/>
          <w:sz w:val="16"/>
          <w:szCs w:val="16"/>
          <w:color w:val="auto"/>
        </w:rPr>
      </w:pPr>
    </w:p>
    <w:p>
      <w:pPr>
        <w:ind w:left="4" w:firstLine="987"/>
        <w:spacing w:after="0" w:line="257" w:lineRule="auto"/>
        <w:tabs>
          <w:tab w:leader="none" w:pos="1250" w:val="left"/>
        </w:tabs>
        <w:numPr>
          <w:ilvl w:val="2"/>
          <w:numId w:val="236"/>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32" w:name="page333"/>
    <w:bookmarkEnd w:id="332"/>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Administrator’s determination of the reason for termination of the Optionee’s Service Relationship with the Company or a Subsidiary shall be conclusive and binding on the Optionee and his or her representatives or legatees.</w:t>
      </w:r>
    </w:p>
    <w:p>
      <w:pPr>
        <w:spacing w:after="0" w:line="62" w:lineRule="exact"/>
        <w:rPr>
          <w:sz w:val="20"/>
          <w:szCs w:val="20"/>
          <w:color w:val="auto"/>
        </w:rPr>
      </w:pPr>
    </w:p>
    <w:p>
      <w:pPr>
        <w:ind w:right="20" w:firstLine="436"/>
        <w:spacing w:after="0" w:line="263" w:lineRule="auto"/>
        <w:tabs>
          <w:tab w:leader="none" w:pos="62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5" w:lineRule="exact"/>
        <w:rPr>
          <w:rFonts w:ascii="Arial" w:cs="Arial" w:eastAsia="Arial" w:hAnsi="Arial"/>
          <w:sz w:val="18"/>
          <w:szCs w:val="18"/>
          <w:color w:val="auto"/>
        </w:rPr>
      </w:pPr>
    </w:p>
    <w:p>
      <w:pPr>
        <w:ind w:right="160" w:firstLine="436"/>
        <w:spacing w:after="0" w:line="263" w:lineRule="auto"/>
        <w:tabs>
          <w:tab w:leader="none" w:pos="62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to the Optionee’s personal representative on their death. This Stock Option is exercisable, during the Optionee’s lifetime, only by the Optionee, and thereafter, only by the Optionee’s personal representative.</w:t>
      </w:r>
    </w:p>
    <w:p>
      <w:pPr>
        <w:spacing w:after="0" w:line="75" w:lineRule="exact"/>
        <w:rPr>
          <w:rFonts w:ascii="Arial" w:cs="Arial" w:eastAsia="Arial" w:hAnsi="Arial"/>
          <w:sz w:val="18"/>
          <w:szCs w:val="18"/>
          <w:color w:val="auto"/>
        </w:rPr>
      </w:pPr>
    </w:p>
    <w:p>
      <w:pPr>
        <w:ind w:left="620" w:hanging="184"/>
        <w:spacing w:after="0"/>
        <w:tabs>
          <w:tab w:leader="none" w:pos="620"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As a condition to the grant and/or exercise of any Stock Options under this Agreement, in accordance with rule 6 of the</w:t>
      </w:r>
    </w:p>
    <w:p>
      <w:pPr>
        <w:spacing w:after="0" w:line="3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Sub-Plan the Optionee agrees to make adequate provision for the satisfaction of (and will indemnify the Company or Subsidiary employing the Optionee) for any Tax Liabilities, including but not limited to, income tax liability which falls to be paid to HMRC by the Company (or Subsidiary employing the Optionee) under the PAYE system as it applies to income tax under ITEPA and PAYE regulations referred to in ITEPA, any employee’s primary national insurance contributions liability and any employer’s secondary national insurance contributions liability which falls to be paid to HMRC by the Company (or Subsidiary employing the Optionee) under the modified PAYE system as it applies for national insurance purposes under the Social Security Contributions and Benefits Act 1992 and regulations referred to in it.</w:t>
      </w:r>
    </w:p>
    <w:p>
      <w:pPr>
        <w:spacing w:after="0" w:line="70" w:lineRule="exact"/>
        <w:rPr>
          <w:sz w:val="20"/>
          <w:szCs w:val="20"/>
          <w:color w:val="auto"/>
        </w:rPr>
      </w:pPr>
    </w:p>
    <w:p>
      <w:pPr>
        <w:ind w:right="60" w:firstLine="436"/>
        <w:spacing w:after="0" w:line="259" w:lineRule="auto"/>
        <w:tabs>
          <w:tab w:leader="none" w:pos="62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Section 431 Election</w:t>
      </w:r>
      <w:r>
        <w:rPr>
          <w:rFonts w:ascii="Arial" w:cs="Arial" w:eastAsia="Arial" w:hAnsi="Arial"/>
          <w:sz w:val="18"/>
          <w:szCs w:val="18"/>
          <w:color w:val="auto"/>
        </w:rPr>
        <w:t>. If so required by the Company, and if the shares of Stock are considered to be “restricted securities” for the purposes of Part 7, Chapter 2 ITEPA (such determination to be made by the Company in its discretion), exercise of the Stock Options is conditional on the Optionee executing a joint election pursuant to section 431 ITEPA together with the employer electing that the market value of the shares of Stock be calculated as if they were not “restricted securities”.</w:t>
      </w:r>
    </w:p>
    <w:p>
      <w:pPr>
        <w:spacing w:after="0" w:line="78" w:lineRule="exact"/>
        <w:rPr>
          <w:rFonts w:ascii="Arial" w:cs="Arial" w:eastAsia="Arial" w:hAnsi="Arial"/>
          <w:sz w:val="18"/>
          <w:szCs w:val="18"/>
          <w:color w:val="auto"/>
        </w:rPr>
      </w:pPr>
    </w:p>
    <w:p>
      <w:pPr>
        <w:ind w:right="80" w:firstLine="436"/>
        <w:spacing w:after="0" w:line="259" w:lineRule="auto"/>
        <w:tabs>
          <w:tab w:leader="none" w:pos="62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78" w:lineRule="exact"/>
        <w:rPr>
          <w:rFonts w:ascii="Arial" w:cs="Arial" w:eastAsia="Arial" w:hAnsi="Arial"/>
          <w:sz w:val="18"/>
          <w:szCs w:val="18"/>
          <w:color w:val="auto"/>
        </w:rPr>
      </w:pPr>
    </w:p>
    <w:p>
      <w:pPr>
        <w:ind w:firstLine="436"/>
        <w:spacing w:after="0" w:line="342" w:lineRule="auto"/>
        <w:tabs>
          <w:tab w:leader="none" w:pos="620"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including, without limitation, all exhibits attached hereto, constitutes the entire agreement between the parties with respect to this Stock Option and supersedes all prior agreements and discussions between the parties concerning such subject matter.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33" w:name="page334"/>
    <w:bookmarkEnd w:id="333"/>
    <w:p>
      <w:pPr>
        <w:ind w:firstLine="436"/>
        <w:spacing w:after="0" w:line="270" w:lineRule="auto"/>
        <w:tabs>
          <w:tab w:leader="none" w:pos="710"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Privacy Consent</w:t>
      </w:r>
      <w:r>
        <w:rPr>
          <w:rFonts w:ascii="Arial" w:cs="Arial" w:eastAsia="Arial" w:hAnsi="Arial"/>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72" w:lineRule="exact"/>
        <w:rPr>
          <w:rFonts w:ascii="Arial" w:cs="Arial" w:eastAsia="Arial" w:hAnsi="Arial"/>
          <w:sz w:val="17"/>
          <w:szCs w:val="17"/>
          <w:color w:val="auto"/>
        </w:rPr>
      </w:pPr>
    </w:p>
    <w:p>
      <w:pPr>
        <w:ind w:right="20" w:firstLine="436"/>
        <w:spacing w:after="0" w:line="263" w:lineRule="auto"/>
        <w:tabs>
          <w:tab w:leader="none" w:pos="703"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65836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151765</wp:posOffset>
            </wp:positionV>
            <wp:extent cx="300037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306070</wp:posOffset>
            </wp:positionV>
            <wp:extent cx="300037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460375</wp:posOffset>
            </wp:positionV>
            <wp:extent cx="300037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334" w:name="page335"/>
    <w:bookmarkEnd w:id="3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UK RESTRICTED STOCK UNIT AWARD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MARQETA,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STOCK OPTION AND INCENTIVE PLAN</w:t>
      </w:r>
    </w:p>
    <w:p>
      <w:pPr>
        <w:sectPr>
          <w:pgSz w:w="11900" w:h="16838" w:orient="portrait"/>
          <w:cols w:equalWidth="0" w:num="1">
            <w:col w:w="10980"/>
          </w:cols>
          <w:pgMar w:left="440" w:top="270" w:right="47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Name of Grantee: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Grant Notice provided by the Company to the Grantee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Edge (the “EEO Grant Notice”)</w:t>
      </w:r>
    </w:p>
    <w:p>
      <w:pPr>
        <w:spacing w:after="0" w:line="103"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No. of Restricted Stock Units:</w:t>
      </w:r>
    </w:p>
    <w:p>
      <w:pPr>
        <w:spacing w:after="0" w:line="20" w:lineRule="exact"/>
        <w:rPr>
          <w:sz w:val="20"/>
          <w:szCs w:val="20"/>
          <w:color w:val="auto"/>
        </w:rPr>
      </w:pPr>
      <w:r>
        <w:rPr>
          <w:sz w:val="20"/>
          <w:szCs w:val="20"/>
          <w:color w:val="auto"/>
        </w:rPr>
        <w:br w:type="column"/>
      </w:r>
    </w:p>
    <w:p>
      <w:pPr>
        <w:jc w:val="center"/>
        <w:ind w:right="3620"/>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See EEO Grant Notice</w:t>
      </w:r>
    </w:p>
    <w:p>
      <w:pPr>
        <w:spacing w:after="0" w:line="140"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jc w:val="center"/>
        <w:ind w:right="3620"/>
        <w:spacing w:after="0"/>
        <w:rPr>
          <w:sz w:val="20"/>
          <w:szCs w:val="20"/>
          <w:color w:val="auto"/>
        </w:rPr>
      </w:pPr>
      <w:r>
        <w:rPr>
          <w:rFonts w:ascii="Arial" w:cs="Arial" w:eastAsia="Arial" w:hAnsi="Arial"/>
          <w:sz w:val="16"/>
          <w:szCs w:val="16"/>
          <w:i w:val="1"/>
          <w:iCs w:val="1"/>
          <w:color w:val="auto"/>
        </w:rPr>
        <w:t>See EEO Grant Notice</w:t>
      </w:r>
    </w:p>
    <w:p>
      <w:pPr>
        <w:spacing w:after="0" w:line="200"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line="48"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Pursuant to the Marqeta, Inc. 2021 Stock Option and Incentive Plan (and the UK Sub-Plan) as amended through the date hereof (together, the “Plan”), Marqeta, Inc. (the “Company”) hereby grants an award of the number of Restricted Stock Units listed above (an “Award”) to the Grantee named above. Each Restricted Stock Unit shall relate to one share of Class A Common Stock, par value $0.0001 per share (the “Stock”) of the Company.</w:t>
      </w:r>
    </w:p>
    <w:p>
      <w:pPr>
        <w:spacing w:after="0" w:line="79" w:lineRule="exact"/>
        <w:rPr>
          <w:sz w:val="20"/>
          <w:szCs w:val="20"/>
          <w:color w:val="auto"/>
        </w:rPr>
      </w:pPr>
    </w:p>
    <w:p>
      <w:pPr>
        <w:ind w:firstLine="436"/>
        <w:spacing w:after="0" w:line="259" w:lineRule="auto"/>
        <w:tabs>
          <w:tab w:leader="none" w:pos="62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78" w:lineRule="exact"/>
        <w:rPr>
          <w:rFonts w:ascii="Arial" w:cs="Arial" w:eastAsia="Arial" w:hAnsi="Arial"/>
          <w:sz w:val="18"/>
          <w:szCs w:val="18"/>
          <w:color w:val="auto"/>
        </w:rPr>
      </w:pPr>
    </w:p>
    <w:p>
      <w:pPr>
        <w:ind w:right="20" w:firstLine="436"/>
        <w:spacing w:after="0" w:line="259" w:lineRule="auto"/>
        <w:tabs>
          <w:tab w:leader="none" w:pos="62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EEO Grant Notice so long as the Grantee maintains a continuous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117" w:lineRule="exact"/>
        <w:rPr>
          <w:sz w:val="20"/>
          <w:szCs w:val="20"/>
          <w:color w:val="auto"/>
        </w:rPr>
      </w:pPr>
    </w:p>
    <w:p>
      <w:pPr>
        <w:ind w:right="120" w:firstLine="436"/>
        <w:spacing w:after="0" w:line="301" w:lineRule="auto"/>
        <w:tabs>
          <w:tab w:leader="none" w:pos="62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Termination of Service Relationship</w:t>
      </w:r>
      <w:r>
        <w:rPr>
          <w:rFonts w:ascii="Arial" w:cs="Arial" w:eastAsia="Arial" w:hAnsi="Arial"/>
          <w:sz w:val="16"/>
          <w:szCs w:val="16"/>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0980"/>
          </w:cols>
          <w:pgMar w:left="440" w:top="270" w:right="479" w:bottom="1440" w:gutter="0" w:footer="0" w:header="0"/>
          <w:type w:val="continuous"/>
        </w:sectPr>
      </w:pPr>
    </w:p>
    <w:bookmarkStart w:id="335" w:name="page336"/>
    <w:bookmarkEnd w:id="335"/>
    <w:p>
      <w:pPr>
        <w:ind w:left="-20" w:right="100" w:firstLine="436"/>
        <w:spacing w:after="0" w:line="259" w:lineRule="auto"/>
        <w:tabs>
          <w:tab w:leader="none" w:pos="6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78" w:lineRule="exact"/>
        <w:rPr>
          <w:rFonts w:ascii="Arial" w:cs="Arial" w:eastAsia="Arial" w:hAnsi="Arial"/>
          <w:sz w:val="18"/>
          <w:szCs w:val="18"/>
          <w:color w:val="auto"/>
        </w:rPr>
      </w:pPr>
    </w:p>
    <w:p>
      <w:pPr>
        <w:ind w:left="-20" w:firstLine="436"/>
        <w:spacing w:after="0" w:line="263" w:lineRule="auto"/>
        <w:tabs>
          <w:tab w:leader="none" w:pos="6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5" w:lineRule="exact"/>
        <w:rPr>
          <w:rFonts w:ascii="Arial" w:cs="Arial" w:eastAsia="Arial" w:hAnsi="Arial"/>
          <w:sz w:val="18"/>
          <w:szCs w:val="18"/>
          <w:color w:val="auto"/>
        </w:rPr>
      </w:pPr>
    </w:p>
    <w:p>
      <w:pPr>
        <w:ind w:left="-20" w:right="40" w:firstLine="436"/>
        <w:spacing w:after="0" w:line="272" w:lineRule="auto"/>
        <w:tabs>
          <w:tab w:leader="none" w:pos="600"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As a condition to the grant and/or vesting of any Restricted Stock Units under this Agreement, in accordance with rule 6 of the Sub-Plan the Grantee agrees to make adequate provision for the satisfaction of (and will indemnify the Company or Subsidiary employing the Grantee) for any Tax Liabilities, including but not limited to, income tax liability which falls to be paid to HMRC by the Company (or Subsidiary employing the Grantee) under the PAYE system as it applies to income tax under ITEPA and PAYE regulations referred to in ITEPA, any employee’s primary national insurance contributions liability and any employer’s secondary national insurance contributions liability which falls to be paid to HMRC by the Company (or Subsidiary employing the Grantee) under the modified PAYE system as it applies for national insurance purposes under the Social Security Contributions and Benefits Act 1992 and regulations referred to in it.</w:t>
      </w:r>
    </w:p>
    <w:p>
      <w:pPr>
        <w:spacing w:after="0" w:line="69" w:lineRule="exact"/>
        <w:rPr>
          <w:rFonts w:ascii="Arial" w:cs="Arial" w:eastAsia="Arial" w:hAnsi="Arial"/>
          <w:sz w:val="17"/>
          <w:szCs w:val="17"/>
          <w:color w:val="auto"/>
        </w:rPr>
      </w:pPr>
    </w:p>
    <w:p>
      <w:pPr>
        <w:jc w:val="both"/>
        <w:ind w:left="-20" w:right="180" w:firstLine="436"/>
        <w:spacing w:after="0" w:line="259" w:lineRule="auto"/>
        <w:tabs>
          <w:tab w:leader="none" w:pos="6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Section 431 Election</w:t>
      </w:r>
      <w:r>
        <w:rPr>
          <w:rFonts w:ascii="Arial" w:cs="Arial" w:eastAsia="Arial" w:hAnsi="Arial"/>
          <w:sz w:val="18"/>
          <w:szCs w:val="18"/>
          <w:color w:val="auto"/>
        </w:rPr>
        <w:t>. If so required by the Company, and if the shares of Stock are considered to be “restricted securities” for the purposes of Part 7, Chapter 2 ITEPA (such determination to be made by the Company in its discretion), vesting of the Restricted Stock Units is conditional on the Grantee executing a joint election pursuant to section 431 ITEPA together with the employer electing that the market value of the shares of Stock be calculated as if they were not “restricted securities”.</w:t>
      </w:r>
    </w:p>
    <w:p>
      <w:pPr>
        <w:spacing w:after="0" w:line="78" w:lineRule="exact"/>
        <w:rPr>
          <w:rFonts w:ascii="Arial" w:cs="Arial" w:eastAsia="Arial" w:hAnsi="Arial"/>
          <w:sz w:val="18"/>
          <w:szCs w:val="18"/>
          <w:color w:val="auto"/>
        </w:rPr>
      </w:pPr>
    </w:p>
    <w:p>
      <w:pPr>
        <w:ind w:left="-20" w:right="140" w:firstLine="436"/>
        <w:spacing w:after="0" w:line="308" w:lineRule="auto"/>
        <w:tabs>
          <w:tab w:leader="none" w:pos="600"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38" w:lineRule="exact"/>
        <w:rPr>
          <w:rFonts w:ascii="Arial" w:cs="Arial" w:eastAsia="Arial" w:hAnsi="Arial"/>
          <w:sz w:val="17"/>
          <w:szCs w:val="17"/>
          <w:color w:val="auto"/>
        </w:rPr>
      </w:pPr>
    </w:p>
    <w:p>
      <w:pPr>
        <w:ind w:left="-20" w:firstLine="436"/>
        <w:spacing w:after="0" w:line="311" w:lineRule="auto"/>
        <w:tabs>
          <w:tab w:leader="none" w:pos="600"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No Obligation to Continue Service Relationship</w:t>
      </w:r>
      <w:r>
        <w:rPr>
          <w:rFonts w:ascii="Arial" w:cs="Arial" w:eastAsia="Arial" w:hAnsi="Arial"/>
          <w:sz w:val="16"/>
          <w:szCs w:val="16"/>
          <w:color w:val="auto"/>
        </w:rPr>
        <w:t>. Neither the Company nor any Subsidiary is obligated by or as a result of the Plan or this Agreement to continue the Grantee’s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40" w:lineRule="exact"/>
        <w:rPr>
          <w:rFonts w:ascii="Arial" w:cs="Arial" w:eastAsia="Arial" w:hAnsi="Arial"/>
          <w:sz w:val="16"/>
          <w:szCs w:val="16"/>
          <w:color w:val="auto"/>
        </w:rPr>
      </w:pPr>
    </w:p>
    <w:p>
      <w:pPr>
        <w:ind w:left="-20" w:right="240" w:firstLine="436"/>
        <w:spacing w:after="0" w:line="308" w:lineRule="auto"/>
        <w:tabs>
          <w:tab w:leader="none" w:pos="690"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including, without limitation, all exhibits attached hereto, constitutes the entire agreement between the parties with respect to this Award and supersedes all prior agreements and discussions between the parties concerning such subject matter.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336" w:name="page337"/>
    <w:bookmarkEnd w:id="336"/>
    <w:p>
      <w:pPr>
        <w:ind w:firstLine="436"/>
        <w:spacing w:after="0" w:line="253" w:lineRule="auto"/>
        <w:tabs>
          <w:tab w:leader="none" w:pos="703"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88" w:lineRule="exact"/>
        <w:rPr>
          <w:rFonts w:ascii="Arial" w:cs="Arial" w:eastAsia="Arial" w:hAnsi="Arial"/>
          <w:sz w:val="18"/>
          <w:szCs w:val="18"/>
          <w:color w:val="auto"/>
        </w:rPr>
      </w:pPr>
    </w:p>
    <w:p>
      <w:pPr>
        <w:jc w:val="both"/>
        <w:ind w:right="160" w:firstLine="436"/>
        <w:spacing w:after="0" w:line="263" w:lineRule="auto"/>
        <w:tabs>
          <w:tab w:leader="none" w:pos="71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MARQETA,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65836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151765</wp:posOffset>
            </wp:positionV>
            <wp:extent cx="300037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306070</wp:posOffset>
            </wp:positionV>
            <wp:extent cx="300037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460375</wp:posOffset>
            </wp:positionV>
            <wp:extent cx="300037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37" w:name="page338"/>
    <w:bookmarkEnd w:id="33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MARQETA, INC. 2021 STOCK OPTION AND INCENTIVE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Addendum Germany</w:t>
      </w:r>
    </w:p>
    <w:p>
      <w:pPr>
        <w:spacing w:after="0" w:line="131" w:lineRule="exact"/>
        <w:rPr>
          <w:sz w:val="20"/>
          <w:szCs w:val="20"/>
          <w:color w:val="auto"/>
        </w:rPr>
      </w:pPr>
    </w:p>
    <w:p>
      <w:pPr>
        <w:ind w:left="424" w:hanging="424"/>
        <w:spacing w:after="0"/>
        <w:tabs>
          <w:tab w:leader="none" w:pos="424"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Addendum</w:t>
      </w:r>
    </w:p>
    <w:p>
      <w:pPr>
        <w:spacing w:after="0" w:line="117" w:lineRule="exact"/>
        <w:rPr>
          <w:sz w:val="20"/>
          <w:szCs w:val="20"/>
          <w:color w:val="auto"/>
        </w:rPr>
      </w:pPr>
    </w:p>
    <w:p>
      <w:pPr>
        <w:ind w:left="4"/>
        <w:spacing w:after="0" w:line="298" w:lineRule="auto"/>
        <w:rPr>
          <w:sz w:val="20"/>
          <w:szCs w:val="20"/>
          <w:color w:val="auto"/>
        </w:rPr>
      </w:pPr>
      <w:r>
        <w:rPr>
          <w:rFonts w:ascii="Arial" w:cs="Arial" w:eastAsia="Arial" w:hAnsi="Arial"/>
          <w:sz w:val="16"/>
          <w:szCs w:val="16"/>
          <w:color w:val="auto"/>
        </w:rPr>
        <w:t>The purpose of this Addendum is to set out the specific terms relating to the participation by German resident employees (the “</w:t>
      </w:r>
      <w:r>
        <w:rPr>
          <w:rFonts w:ascii="Arial" w:cs="Arial" w:eastAsia="Arial" w:hAnsi="Arial"/>
          <w:sz w:val="16"/>
          <w:szCs w:val="16"/>
          <w:b w:val="1"/>
          <w:bCs w:val="1"/>
          <w:color w:val="auto"/>
        </w:rPr>
        <w:t>German Participants</w:t>
      </w:r>
      <w:r>
        <w:rPr>
          <w:rFonts w:ascii="Arial" w:cs="Arial" w:eastAsia="Arial" w:hAnsi="Arial"/>
          <w:sz w:val="16"/>
          <w:szCs w:val="16"/>
          <w:color w:val="auto"/>
        </w:rPr>
        <w:t>”, irrespective of nationality) in the MARQETA, INC. 2021 STOCK OPTION AND INCENTIVE PLAN (the “</w:t>
      </w:r>
      <w:r>
        <w:rPr>
          <w:rFonts w:ascii="Arial" w:cs="Arial" w:eastAsia="Arial" w:hAnsi="Arial"/>
          <w:sz w:val="16"/>
          <w:szCs w:val="16"/>
          <w:b w:val="1"/>
          <w:bCs w:val="1"/>
          <w:color w:val="auto"/>
        </w:rPr>
        <w:t>Plan</w:t>
      </w:r>
      <w:r>
        <w:rPr>
          <w:rFonts w:ascii="Arial" w:cs="Arial" w:eastAsia="Arial" w:hAnsi="Arial"/>
          <w:sz w:val="16"/>
          <w:szCs w:val="16"/>
          <w:color w:val="auto"/>
        </w:rPr>
        <w:t>”) of Marqeta, Inc. (the “</w:t>
      </w:r>
      <w:r>
        <w:rPr>
          <w:rFonts w:ascii="Arial" w:cs="Arial" w:eastAsia="Arial" w:hAnsi="Arial"/>
          <w:sz w:val="16"/>
          <w:szCs w:val="16"/>
          <w:b w:val="1"/>
          <w:bCs w:val="1"/>
          <w:color w:val="auto"/>
        </w:rPr>
        <w:t>Company</w:t>
      </w:r>
      <w:r>
        <w:rPr>
          <w:rFonts w:ascii="Arial" w:cs="Arial" w:eastAsia="Arial" w:hAnsi="Arial"/>
          <w:sz w:val="16"/>
          <w:szCs w:val="16"/>
          <w:color w:val="auto"/>
        </w:rPr>
        <w:t>”). The Plan, as amended by this Addendum, will apply to any German Participants who are resident in Germany who are granted Awards pursuant to the Plan. For the German Participants, this Addendum is part of the Plan and any other agreement and documents related to the Plan. The German Participants will take part in the program under the Plan, and no separate program will be adopted by the Company for them.</w:t>
      </w:r>
    </w:p>
    <w:p>
      <w:pPr>
        <w:spacing w:after="0" w:line="158"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Please note, this MARQETA, INC. 2021 STOCK OPTION AND INCENTIVE PLAN Addendum Germany replaces any previous Addendums between the German Participant and the Company regarding the German Participant’s eligibility to participate in the Company’s equity scheme, especially also the MARQETA, INC. 2011 EQUITY INCENTIVE PLAN Addendum Germany dated January 22, 2021.</w:t>
      </w:r>
    </w:p>
    <w:p>
      <w:pPr>
        <w:spacing w:after="0" w:line="165"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Unless otherwise defined in this Addendum, the terms used in this Addendum shall have the meaning defined in the Plan. In the event of a conflict between the terms of the Plan and the terms of this Addendum, the terms of the Plan shall prevail.</w:t>
      </w:r>
    </w:p>
    <w:p>
      <w:pPr>
        <w:spacing w:after="0" w:line="193" w:lineRule="exact"/>
        <w:rPr>
          <w:sz w:val="20"/>
          <w:szCs w:val="20"/>
          <w:color w:val="auto"/>
        </w:rPr>
      </w:pPr>
    </w:p>
    <w:p>
      <w:pPr>
        <w:ind w:left="424" w:hanging="424"/>
        <w:spacing w:after="0"/>
        <w:tabs>
          <w:tab w:leader="none" w:pos="424"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Rights</w:t>
      </w:r>
    </w:p>
    <w:p>
      <w:pPr>
        <w:spacing w:after="0" w:line="121"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The German Participants are employees of a direct or indirect Subsidiary of the Company only. They have no employment or any other contractual relationship with the Company, and no such relationship shall be created or implied by either their participation in the program or by this Addendum or any other document related hereto. Neither this Addendum nor any other document shall confer upon any German Participant any right with respect to continuation of an existing relationship, nor shall it interfere in any way with such German Participant’s right or the Subsidiaries’ right to terminate the relationship at any time, with or without cause, in accordance with the applicable legal provisions.</w:t>
      </w:r>
    </w:p>
    <w:p>
      <w:pPr>
        <w:sectPr>
          <w:pgSz w:w="11900" w:h="16838" w:orient="portrait"/>
          <w:cols w:equalWidth="0" w:num="1">
            <w:col w:w="10944"/>
          </w:cols>
          <w:pgMar w:left="436" w:top="270" w:right="519" w:bottom="1440" w:gutter="0" w:footer="0" w:header="0"/>
        </w:sectPr>
      </w:pPr>
    </w:p>
    <w:bookmarkStart w:id="338" w:name="page339"/>
    <w:bookmarkEnd w:id="338"/>
    <w:p>
      <w:pPr>
        <w:ind w:left="424" w:hanging="424"/>
        <w:spacing w:after="0"/>
        <w:tabs>
          <w:tab w:leader="none" w:pos="42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w:t>
      </w:r>
    </w:p>
    <w:p>
      <w:pPr>
        <w:spacing w:after="0" w:line="131" w:lineRule="exact"/>
        <w:rPr>
          <w:sz w:val="20"/>
          <w:szCs w:val="20"/>
          <w:color w:val="auto"/>
        </w:rPr>
      </w:pPr>
    </w:p>
    <w:p>
      <w:pPr>
        <w:jc w:val="both"/>
        <w:ind w:left="424" w:hanging="431"/>
        <w:spacing w:after="0" w:line="261" w:lineRule="auto"/>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color w:val="auto"/>
        </w:rPr>
        <w:t xml:space="preserve">General. </w:t>
      </w:r>
      <w:r>
        <w:rPr>
          <w:rFonts w:ascii="Arial" w:cs="Arial" w:eastAsia="Arial" w:hAnsi="Arial"/>
          <w:sz w:val="18"/>
          <w:szCs w:val="18"/>
          <w:color w:val="auto"/>
        </w:rPr>
        <w:t>Below is a brief summary as of the date of this Addendum of certain German tax consequences under the laws in effect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Addendum. This summary does not purport to be a complete statement of existing tax laws and regulations by which the German Participants may or could be affected, and the tax laws and regulations are subject to change. The German Participants should consult with a tax advisor before taking any measures under the Plan.</w:t>
      </w:r>
    </w:p>
    <w:p>
      <w:pPr>
        <w:spacing w:after="0" w:line="85" w:lineRule="exact"/>
        <w:rPr>
          <w:sz w:val="20"/>
          <w:szCs w:val="20"/>
          <w:color w:val="auto"/>
        </w:rPr>
      </w:pPr>
    </w:p>
    <w:p>
      <w:pPr>
        <w:ind w:left="424" w:right="60" w:hanging="431"/>
        <w:spacing w:after="0" w:line="273" w:lineRule="auto"/>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color w:val="auto"/>
        </w:rPr>
        <w:t>Individual Income Tax</w:t>
      </w:r>
      <w:r>
        <w:rPr>
          <w:rFonts w:ascii="Arial" w:cs="Arial" w:eastAsia="Arial" w:hAnsi="Arial"/>
          <w:sz w:val="17"/>
          <w:szCs w:val="17"/>
          <w:color w:val="auto"/>
        </w:rPr>
        <w:t>. According to the relevant provisions of the German Income Tax Act, individuals whose domicile or customary place of</w:t>
      </w:r>
      <w:r>
        <w:rPr>
          <w:rFonts w:ascii="Arial" w:cs="Arial" w:eastAsia="Arial" w:hAnsi="Arial"/>
          <w:sz w:val="17"/>
          <w:szCs w:val="17"/>
          <w:b w:val="1"/>
          <w:bCs w:val="1"/>
          <w:color w:val="auto"/>
        </w:rPr>
        <w:t xml:space="preserve"> </w:t>
      </w:r>
      <w:r>
        <w:rPr>
          <w:rFonts w:ascii="Arial" w:cs="Arial" w:eastAsia="Arial" w:hAnsi="Arial"/>
          <w:sz w:val="17"/>
          <w:szCs w:val="17"/>
          <w:color w:val="auto"/>
        </w:rPr>
        <w:t>abode is located within Germany are subject to unlimited taxation in Germany on their worldwide income. Income is deemed to be any form of consideration in cash and/or any other benefit received for services, capital gains, employment, etc. The Plan, in certain circumstances, might result in a non-cash benefit for a German Participant insofar as he receives Stocks below the fair market value at the date Stocks are transferred to him. For tax purposes, such a discount would be considered an advantage and a taxable non-cash benefit for the German Participants, equal to the difference between the price effectively paid by the German Participants (if any) and the fair market value of the Stocks received at the date they are transferred. Such advantage would be subject to income tax.</w:t>
      </w:r>
    </w:p>
    <w:p>
      <w:pPr>
        <w:spacing w:after="0" w:line="68" w:lineRule="exact"/>
        <w:rPr>
          <w:sz w:val="20"/>
          <w:szCs w:val="20"/>
          <w:color w:val="auto"/>
        </w:rPr>
      </w:pPr>
    </w:p>
    <w:p>
      <w:pPr>
        <w:ind w:left="444" w:right="240"/>
        <w:spacing w:after="0" w:line="259" w:lineRule="auto"/>
        <w:rPr>
          <w:sz w:val="20"/>
          <w:szCs w:val="20"/>
          <w:color w:val="auto"/>
        </w:rPr>
      </w:pPr>
      <w:r>
        <w:rPr>
          <w:rFonts w:ascii="Arial" w:cs="Arial" w:eastAsia="Arial" w:hAnsi="Arial"/>
          <w:sz w:val="18"/>
          <w:szCs w:val="18"/>
          <w:color w:val="auto"/>
        </w:rPr>
        <w:t>The same holds true, if Stocks are transferred after the exercise of a stock option or Stock Appreciation Right pursuant to the Plan, or after the lapse of the non-transferability of the respective Restricted Award (i.e. Restricted Stock Units, Restricted Stock Awards). The grant of a stock option or Restricted Award generally does not trigger any taxation. This is because, a taxation of a non-cash benefit presupposes that it is at the German Participant’s disposal, i.e. that the Stocks are at his disposal.</w:t>
      </w:r>
    </w:p>
    <w:p>
      <w:pPr>
        <w:spacing w:after="0" w:line="88" w:lineRule="exact"/>
        <w:rPr>
          <w:sz w:val="20"/>
          <w:szCs w:val="20"/>
          <w:color w:val="auto"/>
        </w:rPr>
      </w:pPr>
    </w:p>
    <w:p>
      <w:pPr>
        <w:ind w:left="424" w:hanging="431"/>
        <w:spacing w:after="0" w:line="294" w:lineRule="auto"/>
        <w:tabs>
          <w:tab w:leader="none" w:pos="40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Avoiding Double Taxation</w:t>
      </w:r>
      <w:r>
        <w:rPr>
          <w:rFonts w:ascii="Arial" w:cs="Arial" w:eastAsia="Arial" w:hAnsi="Arial"/>
          <w:sz w:val="16"/>
          <w:szCs w:val="16"/>
          <w:color w:val="auto"/>
        </w:rPr>
        <w:t>. Germany is a party to multiple conventions for the avoidance of double taxation (“</w:t>
      </w:r>
      <w:r>
        <w:rPr>
          <w:rFonts w:ascii="Arial" w:cs="Arial" w:eastAsia="Arial" w:hAnsi="Arial"/>
          <w:sz w:val="16"/>
          <w:szCs w:val="16"/>
          <w:b w:val="1"/>
          <w:bCs w:val="1"/>
          <w:color w:val="auto"/>
        </w:rPr>
        <w:t>Tax Treaties</w:t>
      </w:r>
      <w:r>
        <w:rPr>
          <w:rFonts w:ascii="Arial" w:cs="Arial" w:eastAsia="Arial" w:hAnsi="Arial"/>
          <w:sz w:val="16"/>
          <w:szCs w:val="16"/>
          <w:color w:val="auto"/>
        </w:rPr>
        <w:t>”). The Tax Treaties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establish the principle that employment income can be taxed by the country in which the employee has his, her or their domicile or customary place of abode or by the country in which the employee usually works. In case of a German Participant who is an employee of the Company or of a direct or indirect Subsidiary and who has his, her or their domicile or customary place of abode in Germany and usually works in Germany, this principle will give rise to taxation in Germany. However, the Tax Treaties provide for numerous exceptions. Subject to the personal situation of the German Participants, special rules of the Tax Treaties will apply, which might have different consequences.</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0984"/>
          </w:cols>
          <w:pgMar w:left="436" w:top="270" w:right="479" w:bottom="1440" w:gutter="0" w:footer="0" w:header="0"/>
        </w:sectPr>
      </w:pPr>
    </w:p>
    <w:bookmarkStart w:id="339" w:name="page340"/>
    <w:bookmarkEnd w:id="339"/>
    <w:p>
      <w:pPr>
        <w:ind w:left="424" w:hanging="431"/>
        <w:spacing w:after="0" w:line="255"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3.4</w:t>
      </w:r>
      <w:r>
        <w:rPr>
          <w:sz w:val="20"/>
          <w:szCs w:val="20"/>
          <w:color w:val="auto"/>
        </w:rPr>
        <w:tab/>
      </w:r>
      <w:r>
        <w:rPr>
          <w:rFonts w:ascii="Arial" w:cs="Arial" w:eastAsia="Arial" w:hAnsi="Arial"/>
          <w:sz w:val="18"/>
          <w:szCs w:val="18"/>
          <w:b w:val="1"/>
          <w:bCs w:val="1"/>
          <w:color w:val="auto"/>
        </w:rPr>
        <w:t>Wage Tax</w:t>
      </w:r>
      <w:r>
        <w:rPr>
          <w:rFonts w:ascii="Arial" w:cs="Arial" w:eastAsia="Arial" w:hAnsi="Arial"/>
          <w:sz w:val="18"/>
          <w:szCs w:val="18"/>
          <w:color w:val="auto"/>
        </w:rPr>
        <w:t>. If a German Participant is an employee of a German Subsidiary or, e.g., of a foreign direct/indirect subsidiary of the Company, which</w:t>
      </w:r>
      <w:r>
        <w:rPr>
          <w:rFonts w:ascii="Arial" w:cs="Arial" w:eastAsia="Arial" w:hAnsi="Arial"/>
          <w:sz w:val="18"/>
          <w:szCs w:val="18"/>
          <w:b w:val="1"/>
          <w:bCs w:val="1"/>
          <w:color w:val="auto"/>
        </w:rPr>
        <w:t xml:space="preserve"> </w:t>
      </w:r>
      <w:r>
        <w:rPr>
          <w:rFonts w:ascii="Arial" w:cs="Arial" w:eastAsia="Arial" w:hAnsi="Arial"/>
          <w:sz w:val="18"/>
          <w:szCs w:val="18"/>
          <w:color w:val="auto"/>
        </w:rPr>
        <w:t>has a permanent establishment or a permanent agent in Germany, such Subsidiary is subject to German tax duties with respect to such German Participant. Under German law, the Subsidiary must withhold tax, i.e. income tax, including maybe, solidarity surcharge, social security contributions and church tax (“</w:t>
      </w:r>
      <w:r>
        <w:rPr>
          <w:rFonts w:ascii="Arial" w:cs="Arial" w:eastAsia="Arial" w:hAnsi="Arial"/>
          <w:sz w:val="18"/>
          <w:szCs w:val="18"/>
          <w:b w:val="1"/>
          <w:bCs w:val="1"/>
          <w:color w:val="auto"/>
        </w:rPr>
        <w:t>Wage Tax</w:t>
      </w:r>
      <w:r>
        <w:rPr>
          <w:rFonts w:ascii="Arial" w:cs="Arial" w:eastAsia="Arial" w:hAnsi="Arial"/>
          <w:sz w:val="18"/>
          <w:szCs w:val="18"/>
          <w:color w:val="auto"/>
        </w:rPr>
        <w:t>”) from the employee’s salary. When calculating the amount of Wage Tax, the Subsidiary has to take into account the entire remuneration, including any advantages granted to employees other than the normal salary. This also comprises any non-cash benefit as mentioned above. The Wage Tax, so calculated, has to be deducted for the account of the employee and the respective amount be forwarded to the tax authorities.</w:t>
      </w:r>
    </w:p>
    <w:p>
      <w:pPr>
        <w:spacing w:after="0" w:line="94" w:lineRule="exact"/>
        <w:rPr>
          <w:sz w:val="20"/>
          <w:szCs w:val="20"/>
          <w:color w:val="auto"/>
        </w:rPr>
      </w:pPr>
    </w:p>
    <w:p>
      <w:pPr>
        <w:ind w:left="424" w:hanging="431"/>
        <w:spacing w:after="0" w:line="261" w:lineRule="auto"/>
        <w:tabs>
          <w:tab w:leader="none" w:pos="404"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b w:val="1"/>
          <w:bCs w:val="1"/>
          <w:color w:val="auto"/>
        </w:rPr>
        <w:t xml:space="preserve">Please note: </w:t>
      </w:r>
      <w:r>
        <w:rPr>
          <w:rFonts w:ascii="Arial" w:cs="Arial" w:eastAsia="Arial" w:hAnsi="Arial"/>
          <w:sz w:val="18"/>
          <w:szCs w:val="18"/>
          <w:color w:val="auto"/>
        </w:rPr>
        <w:t>There is a legislative draft pending which provides for a favourable tax regime for employee stock ownership plans under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prerequisites. The current draft postpones in effect a taxation to a point of a time after the Stocks have been granted, e.g. lapse of 10 years after the grant at the latest. According to the draft law, these tax privileges shall apply from 1</w:t>
      </w:r>
      <w:r>
        <w:rPr>
          <w:rFonts w:ascii="Arial" w:cs="Arial" w:eastAsia="Arial" w:hAnsi="Arial"/>
          <w:sz w:val="15"/>
          <w:szCs w:val="15"/>
          <w:color w:val="auto"/>
        </w:rPr>
        <w:t>st</w:t>
      </w:r>
      <w:r>
        <w:rPr>
          <w:rFonts w:ascii="Arial" w:cs="Arial" w:eastAsia="Arial" w:hAnsi="Arial"/>
          <w:sz w:val="18"/>
          <w:szCs w:val="18"/>
          <w:color w:val="auto"/>
        </w:rPr>
        <w:t xml:space="preserve"> July 2021 onwards. Whether and to which extent the draft will be enacted is, however, uncertain.</w:t>
      </w:r>
    </w:p>
    <w:p>
      <w:pPr>
        <w:spacing w:after="0" w:line="85" w:lineRule="exact"/>
        <w:rPr>
          <w:sz w:val="20"/>
          <w:szCs w:val="20"/>
          <w:color w:val="auto"/>
        </w:rPr>
      </w:pPr>
    </w:p>
    <w:p>
      <w:pPr>
        <w:jc w:val="center"/>
        <w:ind w:right="416"/>
        <w:spacing w:after="0"/>
        <w:tabs>
          <w:tab w:leader="none" w:pos="1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 xml:space="preserve">Co-operation. </w:t>
      </w:r>
      <w:r>
        <w:rPr>
          <w:rFonts w:ascii="Arial" w:cs="Arial" w:eastAsia="Arial" w:hAnsi="Arial"/>
          <w:sz w:val="16"/>
          <w:szCs w:val="16"/>
          <w:color w:val="auto"/>
        </w:rPr>
        <w:t>The German Participants shall co-operate with the Company and the Subsidiary, with a view to making such arrangements as</w:t>
      </w:r>
    </w:p>
    <w:p>
      <w:pPr>
        <w:spacing w:after="0" w:line="27" w:lineRule="exact"/>
        <w:rPr>
          <w:sz w:val="20"/>
          <w:szCs w:val="20"/>
          <w:color w:val="auto"/>
        </w:rPr>
      </w:pPr>
    </w:p>
    <w:p>
      <w:pPr>
        <w:jc w:val="both"/>
        <w:ind w:left="424" w:right="860"/>
        <w:spacing w:after="0" w:line="255" w:lineRule="auto"/>
        <w:rPr>
          <w:sz w:val="20"/>
          <w:szCs w:val="20"/>
          <w:color w:val="auto"/>
        </w:rPr>
      </w:pPr>
      <w:r>
        <w:rPr>
          <w:rFonts w:ascii="Arial" w:cs="Arial" w:eastAsia="Arial" w:hAnsi="Arial"/>
          <w:sz w:val="18"/>
          <w:szCs w:val="18"/>
          <w:color w:val="auto"/>
        </w:rPr>
        <w:t>required by German tax law. In particular, the German Participants shall provide the Company and the Subsidiary in due time with any information reasonably relevant to ensure proper taxation in Germany. Compliance with German tax provisions relating to the German Participants is the sole responsibility of the German Participants.</w:t>
      </w:r>
    </w:p>
    <w:p>
      <w:pPr>
        <w:spacing w:after="0" w:line="91" w:lineRule="exact"/>
        <w:rPr>
          <w:sz w:val="20"/>
          <w:szCs w:val="20"/>
          <w:color w:val="auto"/>
        </w:rPr>
      </w:pPr>
    </w:p>
    <w:p>
      <w:pPr>
        <w:ind w:left="424" w:right="60" w:hanging="431"/>
        <w:spacing w:after="0" w:line="266" w:lineRule="auto"/>
        <w:tabs>
          <w:tab w:leader="none" w:pos="404"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b w:val="1"/>
          <w:bCs w:val="1"/>
          <w:color w:val="auto"/>
        </w:rPr>
        <w:t xml:space="preserve">Sale of Stocks. </w:t>
      </w:r>
      <w:r>
        <w:rPr>
          <w:rFonts w:ascii="Arial" w:cs="Arial" w:eastAsia="Arial" w:hAnsi="Arial"/>
          <w:sz w:val="18"/>
          <w:szCs w:val="18"/>
          <w:color w:val="auto"/>
        </w:rPr>
        <w:t>The German Participant will recognize a capital gain to the extent the amount realized upon the sale of such Stocks exceeds the</w:t>
      </w:r>
      <w:r>
        <w:rPr>
          <w:rFonts w:ascii="Arial" w:cs="Arial" w:eastAsia="Arial" w:hAnsi="Arial"/>
          <w:sz w:val="18"/>
          <w:szCs w:val="18"/>
          <w:b w:val="1"/>
          <w:bCs w:val="1"/>
          <w:color w:val="auto"/>
        </w:rPr>
        <w:t xml:space="preserve"> </w:t>
      </w:r>
      <w:r>
        <w:rPr>
          <w:rFonts w:ascii="Arial" w:cs="Arial" w:eastAsia="Arial" w:hAnsi="Arial"/>
          <w:sz w:val="18"/>
          <w:szCs w:val="18"/>
          <w:color w:val="auto"/>
        </w:rPr>
        <w:t>fair market value at the time the Stocks are transferred to him. The German Participant will be required to report the gain in his tax return and pay any tax applicable to this amount.</w:t>
      </w:r>
    </w:p>
    <w:p>
      <w:pPr>
        <w:spacing w:after="0" w:line="81" w:lineRule="exact"/>
        <w:rPr>
          <w:sz w:val="20"/>
          <w:szCs w:val="20"/>
          <w:color w:val="auto"/>
        </w:rPr>
      </w:pPr>
    </w:p>
    <w:p>
      <w:pPr>
        <w:ind w:left="444" w:right="8520" w:hanging="444"/>
        <w:spacing w:after="0" w:line="400" w:lineRule="auto"/>
        <w:tabs>
          <w:tab w:leader="none" w:pos="436"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Language / Sprachfassung English</w:t>
      </w:r>
      <w:r>
        <w:rPr>
          <w:rFonts w:ascii="Arial" w:cs="Arial" w:eastAsia="Arial" w:hAnsi="Arial"/>
          <w:sz w:val="17"/>
          <w:szCs w:val="17"/>
          <w:color w:val="auto"/>
        </w:rPr>
        <w:t>:</w:t>
      </w:r>
    </w:p>
    <w:p>
      <w:pPr>
        <w:ind w:left="444" w:right="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The German Participant declares that he has read and fully understood the Plan, the applicable Stock Option Agreement, Restricted Stock Unit Agreement, or Stock Award Agreement (or similar agreement, as appropriate) and this Addendum in the English language. He hereby irrevocably waives any right he may have to request a German translation of these documents and any other document related to the Plan.</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0984"/>
          </w:cols>
          <w:pgMar w:left="436" w:top="270" w:right="479" w:bottom="1440" w:gutter="0" w:footer="0" w:header="0"/>
        </w:sectPr>
      </w:pPr>
    </w:p>
    <w:bookmarkStart w:id="340" w:name="page341"/>
    <w:bookmarkEnd w:id="340"/>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w:t>
      </w:r>
      <w:r>
        <w:rPr>
          <w:rFonts w:ascii="Arial" w:cs="Arial" w:eastAsia="Arial" w:hAnsi="Arial"/>
          <w:sz w:val="18"/>
          <w:szCs w:val="18"/>
          <w:color w:val="auto"/>
        </w:rPr>
        <w:t>:</w:t>
      </w:r>
    </w:p>
    <w:p>
      <w:pPr>
        <w:spacing w:after="0" w:line="121" w:lineRule="exact"/>
        <w:rPr>
          <w:sz w:val="20"/>
          <w:szCs w:val="20"/>
          <w:color w:val="auto"/>
        </w:rPr>
      </w:pPr>
    </w:p>
    <w:p>
      <w:pPr>
        <w:ind w:left="444"/>
        <w:spacing w:after="0" w:line="275" w:lineRule="auto"/>
        <w:rPr>
          <w:sz w:val="20"/>
          <w:szCs w:val="20"/>
          <w:color w:val="auto"/>
        </w:rPr>
      </w:pPr>
      <w:r>
        <w:rPr>
          <w:rFonts w:ascii="Arial" w:cs="Arial" w:eastAsia="Arial" w:hAnsi="Arial"/>
          <w:sz w:val="17"/>
          <w:szCs w:val="17"/>
          <w:color w:val="auto"/>
        </w:rPr>
        <w:t>Der deutsche Teilnehmer erklärt, dass er die englischsprachigen Versionen des MARQETA, INC. 2021 STOCK OPTION AND INCENTIVE PLAN, den Vertrag über RESTRICTED STOCK UNIT AWARD (RSU) oder den Vertrag über NON-QUALIFIED STOCK OPTION (NSO) (oder gegebenenfalls einen ähnlichen Vertrag) und dieser Anlage für Deutschland (Addendum Germany) gelesen und vollständig verstanden hat. Der Teilnehmer verzichtet ausdrücklich auf den Erhalt einer deutschen Übersetzung für die vorgenannten Dokumente und sonstiger mit dem MARQETA, INC. 2021 STOCK OPTION AND INCENTIVE PLAN im Zusammenhang stehender Dokumente.</w:t>
      </w:r>
    </w:p>
    <w:p>
      <w:pPr>
        <w:spacing w:after="0" w:line="78" w:lineRule="exact"/>
        <w:rPr>
          <w:sz w:val="20"/>
          <w:szCs w:val="20"/>
          <w:color w:val="auto"/>
        </w:rPr>
      </w:pPr>
    </w:p>
    <w:p>
      <w:pPr>
        <w:ind w:left="424" w:hanging="424"/>
        <w:spacing w:after="0"/>
        <w:tabs>
          <w:tab w:leader="none" w:pos="424"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 w:right="100"/>
        <w:spacing w:after="0" w:line="286" w:lineRule="auto"/>
        <w:rPr>
          <w:sz w:val="20"/>
          <w:szCs w:val="20"/>
          <w:color w:val="auto"/>
        </w:rPr>
      </w:pPr>
      <w:r>
        <w:rPr>
          <w:rFonts w:ascii="Arial" w:cs="Arial" w:eastAsia="Arial" w:hAnsi="Arial"/>
          <w:sz w:val="17"/>
          <w:szCs w:val="17"/>
          <w:color w:val="auto"/>
        </w:rPr>
        <w:t>The entire relationship between the German Participant and the Company regarding the Plan, as amended by this Addendum, and all acts and transactions related thereto between them and the rights and the obligations thereunder shall be governed, construed and interpreted in accordance with the laws of the State of California without giving effect to the conflict of law principles, as far as this is legally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27946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Location,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27946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Print name</w:t>
      </w:r>
      <w:r>
        <w:rPr>
          <w:rFonts w:ascii="Arial" w:cs="Arial" w:eastAsia="Arial" w:hAnsi="Arial"/>
          <w:sz w:val="18"/>
          <w:szCs w:val="18"/>
          <w:color w:val="auto"/>
        </w:rPr>
        <w: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German Participant</w:t>
      </w:r>
    </w:p>
    <w:p>
      <w:pPr>
        <w:spacing w:after="0" w:line="15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4 of 4</w:t>
      </w:r>
    </w:p>
    <w:p>
      <w:pPr>
        <w:sectPr>
          <w:pgSz w:w="11900" w:h="16838" w:orient="portrait"/>
          <w:cols w:equalWidth="0" w:num="1">
            <w:col w:w="10984"/>
          </w:cols>
          <w:pgMar w:left="436" w:top="270" w:right="47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229"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The purpose of the Marqeta, Inc. 2021 Employee Stock Purchase Plan (the “Plan”) is to provide eligible employees of Marqeta, Inc. (the “Company”) and each Designated Subsidiary (as defined in Section 11) with opportunities to purchase shares of the Company’s Class A common stock, par value $0.001 per share (the “Common Stock”). 6,000,000 shares of Common Stock in the aggregate have been approved and reserved for this purpose, plus on January 1, 2022 and each January 1 thereafter until the Plan terminates pursuant to Section 20, the number of shares of Common Stock reserved and available for issuance under the Plan shall be cumulatively increased by the lesser of (i) 12,000,000 shares of Common Stock, (ii) 1 percent of the number of shares of Class A and Class B common stock of the Company issued and outstanding on the immediately preceding December 31, or (iii) such lesser number of shares of Common Stock as determined by the Administrator (as defined in Section 1).</w:t>
      </w:r>
    </w:p>
    <w:p>
      <w:pPr>
        <w:spacing w:after="0" w:line="166"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 Plan includes two components: a Code Section 423 Component (the “423 Component”) and a non-Code Section 423 Component (the “Non-423 Component”). It is intended for the 423 Component to constitute an “employee stock purchase plan” within the meaning of Section 423(b) of the Internal Revenue Code of 1986, as amended (the “Code”), and the 423 Component shall be interpreted in accordance with that intent. Under the Non-423 Component, which does not qualify as an “employee stock purchase plan” within the meaning of Section 423(b) of the Code, options will be granted pursuant to rules, procedures or sub-plans adopted by the Administrator designed to achieve tax, securities laws or other objectives for eligible employees. Except as otherwise provided herein, the Non-423 Component will operate and be administered in the same manner as the 423 Component.</w:t>
      </w:r>
    </w:p>
    <w:p>
      <w:pPr>
        <w:sectPr>
          <w:pgSz w:w="11900" w:h="16838" w:orient="portrait"/>
          <w:cols w:equalWidth="0" w:num="1">
            <w:col w:w="11020"/>
          </w:cols>
          <w:pgMar w:left="440" w:top="121" w:right="439" w:bottom="1440" w:gutter="0" w:footer="0" w:header="0"/>
        </w:sectPr>
      </w:pPr>
    </w:p>
    <w:bookmarkStart w:id="342" w:name="page343"/>
    <w:bookmarkEnd w:id="34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herein, capitalized terms in this Plan shall have the meaning ascribed to them in Section 11.</w:t>
      </w:r>
    </w:p>
    <w:p>
      <w:pPr>
        <w:spacing w:after="0" w:line="225" w:lineRule="exact"/>
        <w:rPr>
          <w:sz w:val="20"/>
          <w:szCs w:val="20"/>
          <w:color w:val="auto"/>
        </w:rPr>
      </w:pPr>
    </w:p>
    <w:p>
      <w:pPr>
        <w:ind w:left="-436" w:right="80" w:firstLine="436"/>
        <w:spacing w:after="0" w:line="290" w:lineRule="auto"/>
        <w:tabs>
          <w:tab w:leader="none" w:pos="184"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including to accommodate the specific requirements of applicable laws, regulations and procedures in jurisdictions outside the United States;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65" w:lineRule="exact"/>
        <w:rPr>
          <w:rFonts w:ascii="Arial" w:cs="Arial" w:eastAsia="Arial" w:hAnsi="Arial"/>
          <w:sz w:val="16"/>
          <w:szCs w:val="16"/>
          <w:color w:val="auto"/>
        </w:rPr>
      </w:pPr>
    </w:p>
    <w:p>
      <w:pPr>
        <w:ind w:left="-436" w:firstLine="436"/>
        <w:spacing w:after="0" w:line="273" w:lineRule="auto"/>
        <w:tabs>
          <w:tab w:leader="none" w:pos="184"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Offerings</w:t>
      </w:r>
      <w:r>
        <w:rPr>
          <w:rFonts w:ascii="Arial" w:cs="Arial" w:eastAsia="Arial" w:hAnsi="Arial"/>
          <w:sz w:val="17"/>
          <w:szCs w:val="17"/>
          <w:color w:val="auto"/>
        </w:rPr>
        <w:t>. The Company may make one or more offerings to eligible employees to purchase Common Stock under the Plan (“Offerings”). Unless otherwise determined by the Administrator, the initial Offering will begin on the Registration Date and will end on the last business day occurring on or before the following November 15 (the “Initial Offering”). Thereafter, unless otherwise determined by the Administrator, an Offering will begin on the first business day occurring on or after each November 16 and May 16 and will end on the last business day occurring on or before the following May 15 and November 15, respectively. The Administrator may, in its discretion, designate a different period for any Offering, provided that no Offering shall exceed six months in duration or overlap with any other Offering.</w:t>
      </w:r>
    </w:p>
    <w:p>
      <w:pPr>
        <w:sectPr>
          <w:pgSz w:w="11900" w:h="16838" w:orient="portrait"/>
          <w:cols w:equalWidth="0" w:num="1">
            <w:col w:w="10504"/>
          </w:cols>
          <w:pgMar w:left="876" w:top="274" w:right="519" w:bottom="1440" w:gutter="0" w:footer="0" w:header="0"/>
        </w:sectPr>
      </w:pPr>
    </w:p>
    <w:bookmarkStart w:id="343" w:name="page344"/>
    <w:bookmarkEnd w:id="343"/>
    <w:p>
      <w:pPr>
        <w:ind w:left="-436" w:firstLine="436"/>
        <w:spacing w:after="0" w:line="269" w:lineRule="auto"/>
        <w:tabs>
          <w:tab w:leader="none" w:pos="184"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Eligibility</w:t>
      </w:r>
      <w:r>
        <w:rPr>
          <w:rFonts w:ascii="Arial" w:cs="Arial" w:eastAsia="Arial" w:hAnsi="Arial"/>
          <w:sz w:val="17"/>
          <w:szCs w:val="17"/>
          <w:color w:val="auto"/>
        </w:rPr>
        <w:t>. All individuals classified as employees on the payroll records of the Company and each Designated Subsidiary are eligible to participate in any one or more of the Offerings under the Plan, provided that, except as otherwise determined by the Administrator in advance of any Offering, as of the first day of the applicable Offering (the “Offering Date”) they are customarily employed by the Company or a Designated Subsidiary for more than 20 hours a week.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ectPr>
          <w:pgSz w:w="11900" w:h="16838" w:orient="portrait"/>
          <w:cols w:equalWidth="0" w:num="1">
            <w:col w:w="10504"/>
          </w:cols>
          <w:pgMar w:left="876" w:top="274" w:right="519" w:bottom="1440" w:gutter="0" w:footer="0" w:header="0"/>
        </w:sectPr>
      </w:pPr>
    </w:p>
    <w:bookmarkStart w:id="344" w:name="page345"/>
    <w:bookmarkEnd w:id="344"/>
    <w:p>
      <w:pPr>
        <w:ind w:left="624" w:hanging="184"/>
        <w:spacing w:after="0"/>
        <w:tabs>
          <w:tab w:leader="none" w:pos="624"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60" w:firstLine="987"/>
        <w:spacing w:after="0" w:line="296" w:lineRule="auto"/>
        <w:tabs>
          <w:tab w:leader="none" w:pos="1240" w:val="left"/>
        </w:tabs>
        <w:numPr>
          <w:ilvl w:val="2"/>
          <w:numId w:val="251"/>
        </w:numPr>
        <w:rPr>
          <w:rFonts w:ascii="Arial" w:cs="Arial" w:eastAsia="Arial" w:hAnsi="Arial"/>
          <w:sz w:val="16"/>
          <w:szCs w:val="16"/>
          <w:color w:val="auto"/>
        </w:rPr>
      </w:pPr>
      <w:r>
        <w:rPr>
          <w:rFonts w:ascii="Arial" w:cs="Arial" w:eastAsia="Arial" w:hAnsi="Arial"/>
          <w:sz w:val="16"/>
          <w:szCs w:val="16"/>
          <w:u w:val="single" w:color="auto"/>
          <w:color w:val="auto"/>
        </w:rPr>
        <w:t>Participants on Effective Date</w:t>
      </w:r>
      <w:r>
        <w:rPr>
          <w:rFonts w:ascii="Arial" w:cs="Arial" w:eastAsia="Arial" w:hAnsi="Arial"/>
          <w:sz w:val="16"/>
          <w:szCs w:val="16"/>
          <w:color w:val="auto"/>
        </w:rPr>
        <w:t>. Each eligible employee as of the Registration Date shall be deemed to be a Participant at such time. If an eligible employee is deemed to be a Participant pursuant to this Section 4(a), such individual shall be deemed not to have authorized payroll deductions and shall not purchase any Common Stock hereunder unless he or she thereafter authorizes payroll deductions by submitting an enrollment form (in the manner described in Section 4(c)) within 15 days of the commencement of the Initial Offering. If such a Participant does not authorize payroll deductions by submitting an enrollment form by such deadline, that Participant will be deemed to have withdrawn from the Plan.</w:t>
      </w:r>
    </w:p>
    <w:p>
      <w:pPr>
        <w:spacing w:after="0" w:line="161" w:lineRule="exact"/>
        <w:rPr>
          <w:rFonts w:ascii="Arial" w:cs="Arial" w:eastAsia="Arial" w:hAnsi="Arial"/>
          <w:sz w:val="16"/>
          <w:szCs w:val="16"/>
          <w:color w:val="auto"/>
        </w:rPr>
      </w:pPr>
    </w:p>
    <w:p>
      <w:pPr>
        <w:ind w:left="4" w:firstLine="987"/>
        <w:spacing w:after="0" w:line="263" w:lineRule="auto"/>
        <w:tabs>
          <w:tab w:leader="none" w:pos="1250" w:val="left"/>
        </w:tabs>
        <w:numPr>
          <w:ilvl w:val="2"/>
          <w:numId w:val="251"/>
        </w:numPr>
        <w:rPr>
          <w:rFonts w:ascii="Arial" w:cs="Arial" w:eastAsia="Arial" w:hAnsi="Arial"/>
          <w:sz w:val="18"/>
          <w:szCs w:val="18"/>
          <w:color w:val="auto"/>
        </w:rPr>
      </w:pPr>
      <w:r>
        <w:rPr>
          <w:rFonts w:ascii="Arial" w:cs="Arial" w:eastAsia="Arial" w:hAnsi="Arial"/>
          <w:sz w:val="18"/>
          <w:szCs w:val="18"/>
          <w:u w:val="single" w:color="auto"/>
          <w:color w:val="auto"/>
        </w:rPr>
        <w:t>Participants in Subsequent Offerings</w:t>
      </w:r>
      <w:r>
        <w:rPr>
          <w:rFonts w:ascii="Arial" w:cs="Arial" w:eastAsia="Arial" w:hAnsi="Arial"/>
          <w:sz w:val="18"/>
          <w:szCs w:val="18"/>
          <w:color w:val="auto"/>
        </w:rPr>
        <w:t>. An eligible employee who is not a Participant in any prior Offering may participate in a subsequent Offering by submitting an enrollment form to his or her appropriate payroll location at least 15 business days before the Offering Date (or by such other deadline as shall be established by the Administrator for the Offering).</w:t>
      </w:r>
    </w:p>
    <w:p>
      <w:pPr>
        <w:spacing w:after="0" w:line="183" w:lineRule="exact"/>
        <w:rPr>
          <w:rFonts w:ascii="Arial" w:cs="Arial" w:eastAsia="Arial" w:hAnsi="Arial"/>
          <w:sz w:val="18"/>
          <w:szCs w:val="18"/>
          <w:color w:val="auto"/>
        </w:rPr>
      </w:pPr>
    </w:p>
    <w:p>
      <w:pPr>
        <w:jc w:val="both"/>
        <w:ind w:left="4" w:right="480" w:firstLine="987"/>
        <w:spacing w:after="0" w:line="291" w:lineRule="auto"/>
        <w:tabs>
          <w:tab w:leader="none" w:pos="1240" w:val="left"/>
        </w:tabs>
        <w:numPr>
          <w:ilvl w:val="2"/>
          <w:numId w:val="251"/>
        </w:numPr>
        <w:rPr>
          <w:rFonts w:ascii="Arial" w:cs="Arial" w:eastAsia="Arial" w:hAnsi="Arial"/>
          <w:sz w:val="16"/>
          <w:szCs w:val="16"/>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The enrollment form will (a) state a whole percentage to be deducted from an eligible employee’s Compensation (as defined in Section 11) per pay period, (b) authorize the purchase of Common Stock in each Offering in accordance with the terms of the Plan and</w:t>
      </w:r>
    </w:p>
    <w:p>
      <w:pPr>
        <w:ind w:left="4" w:hanging="4"/>
        <w:spacing w:after="0" w:line="253" w:lineRule="auto"/>
        <w:tabs>
          <w:tab w:leader="none" w:pos="24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ectPr>
          <w:pgSz w:w="11900" w:h="16838" w:orient="portrait"/>
          <w:cols w:equalWidth="0" w:num="1">
            <w:col w:w="10984"/>
          </w:cols>
          <w:pgMar w:left="436" w:top="274" w:right="479" w:bottom="1440" w:gutter="0" w:footer="0" w:header="0"/>
        </w:sectPr>
      </w:pPr>
    </w:p>
    <w:bookmarkStart w:id="345" w:name="page346"/>
    <w:bookmarkEnd w:id="34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Notwithstanding the foregoing, participation in the Plan will neither be permitted nor be denied contrary to the requirements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firstLine="436"/>
        <w:spacing w:after="0" w:line="259" w:lineRule="auto"/>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Employee Contributions</w:t>
      </w:r>
      <w:r>
        <w:rPr>
          <w:rFonts w:ascii="Arial" w:cs="Arial" w:eastAsia="Arial" w:hAnsi="Arial"/>
          <w:sz w:val="18"/>
          <w:szCs w:val="18"/>
          <w:color w:val="auto"/>
        </w:rPr>
        <w:t>. Each eligible employee may authorize payroll deductions at a minimum of 1 percent up to a maximum of fifteen percent of such eligible employee’s Compensation for each pay period or such other maximum as may be specified by the Administrator in advance of an Offering. The Company will maintain book accounts showing the amount of payroll deductions made by each Participant for each Offering. No interest will accrue or be paid on payroll deductions.</w:t>
      </w:r>
    </w:p>
    <w:p>
      <w:pPr>
        <w:spacing w:after="0" w:line="186" w:lineRule="exact"/>
        <w:rPr>
          <w:rFonts w:ascii="Arial" w:cs="Arial" w:eastAsia="Arial" w:hAnsi="Arial"/>
          <w:sz w:val="18"/>
          <w:szCs w:val="18"/>
          <w:color w:val="auto"/>
        </w:rPr>
      </w:pPr>
    </w:p>
    <w:p>
      <w:pPr>
        <w:ind w:firstLine="436"/>
        <w:spacing w:after="0" w:line="273" w:lineRule="auto"/>
        <w:tabs>
          <w:tab w:leader="none" w:pos="620"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Deduction Changes</w:t>
      </w:r>
      <w:r>
        <w:rPr>
          <w:rFonts w:ascii="Arial" w:cs="Arial" w:eastAsia="Arial" w:hAnsi="Arial"/>
          <w:sz w:val="17"/>
          <w:szCs w:val="17"/>
          <w:color w:val="auto"/>
        </w:rPr>
        <w:t>. Except in the event of a Participant increasing his or her payroll deduction from 0 percent during the Initial Offering as specified in Section 4(a) or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77" w:lineRule="exact"/>
        <w:rPr>
          <w:rFonts w:ascii="Arial" w:cs="Arial" w:eastAsia="Arial" w:hAnsi="Arial"/>
          <w:sz w:val="17"/>
          <w:szCs w:val="17"/>
          <w:color w:val="auto"/>
        </w:rPr>
      </w:pPr>
    </w:p>
    <w:p>
      <w:pPr>
        <w:ind w:right="100" w:firstLine="436"/>
        <w:spacing w:after="0" w:line="279" w:lineRule="auto"/>
        <w:tabs>
          <w:tab w:leader="none" w:pos="620"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A Participant may withdraw from participation in the Plan by delivering a written notice of withdrawal to his or her appropriate payroll location. The Participant’s withdrawal will be effective on the fifth (5</w:t>
      </w:r>
      <w:r>
        <w:rPr>
          <w:rFonts w:ascii="Arial" w:cs="Arial" w:eastAsia="Arial" w:hAnsi="Arial"/>
          <w:sz w:val="14"/>
          <w:szCs w:val="14"/>
          <w:color w:val="auto"/>
        </w:rPr>
        <w:t>th</w:t>
      </w:r>
      <w:r>
        <w:rPr>
          <w:rFonts w:ascii="Arial" w:cs="Arial" w:eastAsia="Arial" w:hAnsi="Arial"/>
          <w:sz w:val="17"/>
          <w:szCs w:val="17"/>
          <w:color w:val="auto"/>
        </w:rPr>
        <w:t>) business day following the notice of withdrawal. Following a Participant’s withdrawal, the Company will promptly refund such Participant’s entire account balance under the Plan to him or her (after payment for any Common Stock purchased before the effective date of withdrawal). Partial withdrawals are not permitted.</w:t>
      </w:r>
    </w:p>
    <w:p>
      <w:pPr>
        <w:sectPr>
          <w:pgSz w:w="11900" w:h="16838" w:orient="portrait"/>
          <w:cols w:equalWidth="0" w:num="1">
            <w:col w:w="10840"/>
          </w:cols>
          <w:pgMar w:left="440" w:top="274" w:right="619" w:bottom="1440" w:gutter="0" w:footer="0" w:header="0"/>
        </w:sectPr>
      </w:pPr>
    </w:p>
    <w:bookmarkStart w:id="346" w:name="page347"/>
    <w:bookmarkEnd w:id="34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 Participant may not begin participation again during the remainder of the Offering, but may enroll in a subsequent Offering in accordance with Section 4, if the Participant remains an eligible employee on the subsequent Offering Date.</w:t>
      </w:r>
    </w:p>
    <w:p>
      <w:pPr>
        <w:spacing w:after="0" w:line="170" w:lineRule="exact"/>
        <w:rPr>
          <w:sz w:val="20"/>
          <w:szCs w:val="20"/>
          <w:color w:val="auto"/>
        </w:rPr>
      </w:pPr>
    </w:p>
    <w:p>
      <w:pPr>
        <w:ind w:right="20" w:firstLine="436"/>
        <w:spacing w:after="0" w:line="291" w:lineRule="auto"/>
        <w:tabs>
          <w:tab w:leader="none" w:pos="620"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Grant of Options</w:t>
      </w:r>
      <w:r>
        <w:rPr>
          <w:rFonts w:ascii="Arial" w:cs="Arial" w:eastAsia="Arial" w:hAnsi="Arial"/>
          <w:sz w:val="16"/>
          <w:szCs w:val="16"/>
          <w:color w:val="auto"/>
        </w:rPr>
        <w:t>. On each Offering Date, the Company will grant to each eligible employee who is then a Participant in the Plan an option (“Option”) to purchase on the last day of such Offering (the “Exercise Date”), at the Option Price hereinafter provided for, the lowest of (a) a number of shares of Common Stock determined by dividing such Participant’s accumulated payroll deductions on such Exercise Date by the Option Price (as defined herein), (b) 1,250 shares;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85 percent of the Fair Market Value of the Common Stock on the Offering Date or the Exercise Date, whichever is less.</w:t>
      </w:r>
    </w:p>
    <w:p>
      <w:pPr>
        <w:spacing w:after="0" w:line="16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Notwithstanding the foregoing, no Participant may be granted an Option hereunder if such Participant, immediately after the Option was granted, would be treated as owning stock possessing 5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w:t>
      </w:r>
    </w:p>
    <w:p>
      <w:pPr>
        <w:sectPr>
          <w:pgSz w:w="11900" w:h="16838" w:orient="portrait"/>
          <w:cols w:equalWidth="0" w:num="1">
            <w:col w:w="10960"/>
          </w:cols>
          <w:pgMar w:left="440" w:top="274" w:right="499" w:bottom="1440" w:gutter="0" w:footer="0" w:header="0"/>
        </w:sectPr>
      </w:pPr>
    </w:p>
    <w:bookmarkStart w:id="347" w:name="page348"/>
    <w:bookmarkEnd w:id="347"/>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57" w:lineRule="exact"/>
        <w:rPr>
          <w:sz w:val="20"/>
          <w:szCs w:val="20"/>
          <w:color w:val="auto"/>
        </w:rPr>
      </w:pPr>
    </w:p>
    <w:p>
      <w:pPr>
        <w:ind w:right="80" w:firstLine="436"/>
        <w:spacing w:after="0" w:line="272" w:lineRule="auto"/>
        <w:tabs>
          <w:tab w:leader="none" w:pos="62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Exercise of Option and Purchase of Shares</w:t>
      </w:r>
      <w:r>
        <w:rPr>
          <w:rFonts w:ascii="Arial" w:cs="Arial" w:eastAsia="Arial" w:hAnsi="Arial"/>
          <w:sz w:val="17"/>
          <w:szCs w:val="17"/>
          <w:color w:val="auto"/>
        </w:rPr>
        <w:t>. Each eligible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provided that, with respect to the Initial Offering, the exercise of each Option shall be conditioned on the closing of the Company’s Initial Public Offering on or before the Exercise Date.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77" w:lineRule="exact"/>
        <w:rPr>
          <w:rFonts w:ascii="Arial" w:cs="Arial" w:eastAsia="Arial" w:hAnsi="Arial"/>
          <w:sz w:val="17"/>
          <w:szCs w:val="17"/>
          <w:color w:val="auto"/>
        </w:rPr>
      </w:pPr>
    </w:p>
    <w:p>
      <w:pPr>
        <w:ind w:firstLine="436"/>
        <w:spacing w:after="0" w:line="263" w:lineRule="auto"/>
        <w:tabs>
          <w:tab w:leader="none" w:pos="71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Issuance of Certificates</w:t>
      </w:r>
      <w:r>
        <w:rPr>
          <w:rFonts w:ascii="Arial" w:cs="Arial" w:eastAsia="Arial" w:hAnsi="Arial"/>
          <w:sz w:val="18"/>
          <w:szCs w:val="18"/>
          <w:color w:val="auto"/>
        </w:rPr>
        <w:t>. Certificates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ectPr>
          <w:pgSz w:w="11900" w:h="16838" w:orient="portrait"/>
          <w:cols w:equalWidth="0" w:num="1">
            <w:col w:w="10980"/>
          </w:cols>
          <w:pgMar w:left="440" w:top="274" w:right="479" w:bottom="1440" w:gutter="0" w:footer="0" w:header="0"/>
        </w:sectPr>
      </w:pPr>
    </w:p>
    <w:bookmarkStart w:id="348" w:name="page349"/>
    <w:bookmarkEnd w:id="348"/>
    <w:p>
      <w:pPr>
        <w:ind w:left="700" w:hanging="264"/>
        <w:spacing w:after="0"/>
        <w:tabs>
          <w:tab w:leader="none" w:pos="70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Definitions</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The term “Compensation” means the amount of base pay, but excluding overtime, commissions, incentive or bonus awards, prior to salary reduction pursuant to Sections 125, 132(f) or 401(k) of the Code allowances and reimbursements for expenses such as relocation allowances or travel expenses, income or gains on the exercise of Company stock options, and similar items. The Administrator shall have the discretion to determine the application of this definition to Participants outside the United States.</w:t>
      </w:r>
    </w:p>
    <w:p>
      <w:pPr>
        <w:spacing w:after="0" w:line="18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 and may further designate such companies or Participants as participating in the 423 Component or the Non-423 Component. The Board may also determine which Affiliates or eligible employees may be excluded from participation in the Plan, to the extent consistent with Section 423 of the Code or as implemented under the Non-423 Component, and determine which Designated Subsidiary or Subsidiaries will participate in separate Offerings (to the extent that the Company makes separate Offerings). For purposes of the 423 Component, only the Company and its Subsidiaries may be Designated Subsidiaries; provided, however, that at any given time, a Subsidiary that is a Designated Subsidiary under the 423 Component will not be a Designated Subsidiary under the Non-423 Component. The current list of Designated Subsidiaries is attached hereto as Appendix A.</w:t>
      </w:r>
    </w:p>
    <w:p>
      <w:pPr>
        <w:sectPr>
          <w:pgSz w:w="11900" w:h="16838" w:orient="portrait"/>
          <w:cols w:equalWidth="0" w:num="1">
            <w:col w:w="10980"/>
          </w:cols>
          <w:pgMar w:left="440" w:top="274" w:right="479" w:bottom="1440" w:gutter="0" w:footer="0" w:header="0"/>
        </w:sectPr>
      </w:pPr>
    </w:p>
    <w:bookmarkStart w:id="349" w:name="page350"/>
    <w:bookmarkEnd w:id="349"/>
    <w:p>
      <w:pPr>
        <w:ind w:right="6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NASDAQ Global Market or another national securities exchange, the determination shall be made by reference to the closing price on such date. If there is no closing price for such date, the determination shall be made by reference to the last date preceding such date for which there is a closing price. Notwithstanding the foregoing, if the date for which Fair Market Value of the Common Stock is determined is the first day when trading prices for the Common Stock are reported on NASDAQ or another national securities exchange, the Fair Market Value of the Common Stock shall be the “Price to the Public” (or equivalent) set forth on the cover page for the final prospectus relating to the Company’s Initial Public Offering.</w:t>
      </w:r>
    </w:p>
    <w:p>
      <w:pPr>
        <w:spacing w:after="0" w:line="17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term “Initial Public Offering” means the first underwritten, firm commitment public offering pursuant to an effective registration statement under the Securities Act of 1933, as amended, covering the offer and sale by the Company of its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“Parent” means a “parent corporation” with respect to the Company, as defined in Section 424(e)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term “Participant” means an individual who is eligible as determined in Section 3 and who has complied with the provisions of Section 4.</w:t>
      </w:r>
    </w:p>
    <w:p>
      <w:pPr>
        <w:spacing w:after="0" w:line="24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term “Registration Date” means the date the registration statement on Form S-1 that is filed by the Company with respect to its Initial Public Offering is declared effective by the Securities and Exchange Commission.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“Subsidiary” means a “subsidiary corporation” with respect to the Company, as defined in Section 424(f) of the Code.</w:t>
      </w:r>
    </w:p>
    <w:p>
      <w:pPr>
        <w:sectPr>
          <w:pgSz w:w="11900" w:h="16838" w:orient="portrait"/>
          <w:cols w:equalWidth="0" w:num="1">
            <w:col w:w="10880"/>
          </w:cols>
          <w:pgMar w:left="440" w:top="274" w:right="579" w:bottom="1440" w:gutter="0" w:footer="0" w:header="0"/>
        </w:sectPr>
      </w:pPr>
    </w:p>
    <w:bookmarkStart w:id="350" w:name="page351"/>
    <w:bookmarkEnd w:id="350"/>
    <w:p>
      <w:pPr>
        <w:ind w:left="-436" w:firstLine="436"/>
        <w:spacing w:after="0" w:line="286" w:lineRule="auto"/>
        <w:tabs>
          <w:tab w:leader="none" w:pos="274"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on Termination or Transfer of Employment</w:t>
      </w:r>
      <w:r>
        <w:rPr>
          <w:rFonts w:ascii="Arial" w:cs="Arial" w:eastAsia="Arial" w:hAnsi="Arial"/>
          <w:sz w:val="16"/>
          <w:szCs w:val="16"/>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Unless otherwise determined by the Administrator, a Participant whose employment transfers between, or whose employment terminates with an immediate rehire (with no break in service) by, Designated Subsidiaries or a Designated Subsidiary and the Company will not be treated as having terminated employment for purposes of participating in the Plan or an Offering; provided, however, that if a Participant transfers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Further,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ectPr>
          <w:pgSz w:w="11900" w:h="16838" w:orient="portrait"/>
          <w:cols w:equalWidth="0" w:num="1">
            <w:col w:w="10544"/>
          </w:cols>
          <w:pgMar w:left="876" w:top="274" w:right="479" w:bottom="1440" w:gutter="0" w:footer="0" w:header="0"/>
        </w:sectPr>
      </w:pPr>
    </w:p>
    <w:bookmarkStart w:id="351" w:name="page352"/>
    <w:bookmarkEnd w:id="351"/>
    <w:p>
      <w:pPr>
        <w:ind w:left="-436" w:firstLine="436"/>
        <w:spacing w:after="0" w:line="257" w:lineRule="auto"/>
        <w:tabs>
          <w:tab w:leader="none" w:pos="27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Rules</w:t>
      </w:r>
      <w:r>
        <w:rPr>
          <w:rFonts w:ascii="Arial" w:cs="Arial" w:eastAsia="Arial" w:hAnsi="Arial"/>
          <w:sz w:val="18"/>
          <w:szCs w:val="18"/>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Any special rules established pursuant to this Section 13 shall, to the extent possible, result in the employees subject to such rules having substantially the same rights as other Participants in the Plan.</w:t>
      </w:r>
    </w:p>
    <w:p>
      <w:pPr>
        <w:spacing w:after="0" w:line="187" w:lineRule="exact"/>
        <w:rPr>
          <w:rFonts w:ascii="Arial" w:cs="Arial" w:eastAsia="Arial" w:hAnsi="Arial"/>
          <w:sz w:val="18"/>
          <w:szCs w:val="18"/>
          <w:color w:val="auto"/>
        </w:rPr>
      </w:pPr>
    </w:p>
    <w:p>
      <w:pPr>
        <w:ind w:left="-436" w:right="60" w:firstLine="436"/>
        <w:spacing w:after="0" w:line="263" w:lineRule="auto"/>
        <w:tabs>
          <w:tab w:leader="none" w:pos="27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Optionees Not Stockholders</w:t>
      </w:r>
      <w:r>
        <w:rPr>
          <w:rFonts w:ascii="Arial" w:cs="Arial" w:eastAsia="Arial" w:hAnsi="Arial"/>
          <w:sz w:val="18"/>
          <w:szCs w:val="18"/>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183" w:lineRule="exact"/>
        <w:rPr>
          <w:rFonts w:ascii="Arial" w:cs="Arial" w:eastAsia="Arial" w:hAnsi="Arial"/>
          <w:sz w:val="18"/>
          <w:szCs w:val="18"/>
          <w:color w:val="auto"/>
        </w:rPr>
      </w:pPr>
    </w:p>
    <w:p>
      <w:pPr>
        <w:ind w:left="-436" w:right="140" w:firstLine="436"/>
        <w:spacing w:after="0" w:line="277" w:lineRule="auto"/>
        <w:tabs>
          <w:tab w:leader="none" w:pos="27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70" w:lineRule="exact"/>
        <w:rPr>
          <w:rFonts w:ascii="Arial" w:cs="Arial" w:eastAsia="Arial" w:hAnsi="Arial"/>
          <w:sz w:val="18"/>
          <w:szCs w:val="18"/>
          <w:color w:val="auto"/>
        </w:rPr>
      </w:pPr>
    </w:p>
    <w:p>
      <w:pPr>
        <w:ind w:left="-436" w:right="300" w:firstLine="436"/>
        <w:spacing w:after="0" w:line="277" w:lineRule="auto"/>
        <w:tabs>
          <w:tab w:leader="none" w:pos="27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170" w:lineRule="exact"/>
        <w:rPr>
          <w:rFonts w:ascii="Arial" w:cs="Arial" w:eastAsia="Arial" w:hAnsi="Arial"/>
          <w:sz w:val="18"/>
          <w:szCs w:val="18"/>
          <w:color w:val="auto"/>
        </w:rPr>
      </w:pPr>
    </w:p>
    <w:p>
      <w:pPr>
        <w:ind w:left="-436" w:right="40" w:firstLine="436"/>
        <w:spacing w:after="0" w:line="263" w:lineRule="auto"/>
        <w:tabs>
          <w:tab w:leader="none" w:pos="27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Adjustment in Case of Changes Affecting Common Stock</w:t>
      </w:r>
      <w:r>
        <w:rPr>
          <w:rFonts w:ascii="Arial" w:cs="Arial" w:eastAsia="Arial" w:hAnsi="Arial"/>
          <w:sz w:val="18"/>
          <w:szCs w:val="18"/>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183" w:lineRule="exact"/>
        <w:rPr>
          <w:rFonts w:ascii="Arial" w:cs="Arial" w:eastAsia="Arial" w:hAnsi="Arial"/>
          <w:sz w:val="18"/>
          <w:szCs w:val="18"/>
          <w:color w:val="auto"/>
        </w:rPr>
      </w:pPr>
    </w:p>
    <w:p>
      <w:pPr>
        <w:ind w:left="-436" w:right="280" w:firstLine="436"/>
        <w:spacing w:after="0" w:line="259" w:lineRule="auto"/>
        <w:tabs>
          <w:tab w:leader="none" w:pos="27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Amendment of the Plan</w:t>
      </w:r>
      <w:r>
        <w:rPr>
          <w:rFonts w:ascii="Arial" w:cs="Arial" w:eastAsia="Arial" w:hAnsi="Arial"/>
          <w:sz w:val="18"/>
          <w:szCs w:val="18"/>
          <w:color w:val="auto"/>
        </w:rPr>
        <w:t>. The Board may at any time and from time to time amend the Plan in any respect, except that without the approval within 12 months of such Board action by the stockholders, no amendment shall be made increasing the number of shares approved for the 423 Component of the Plan or making any other change that would require stockholder approval in order for the Plan, as amended, to qualify as an “employee stock purchase plan” under Section 423(b) of the Code.</w:t>
      </w:r>
    </w:p>
    <w:p>
      <w:pPr>
        <w:sectPr>
          <w:pgSz w:w="11900" w:h="16838" w:orient="portrait"/>
          <w:cols w:equalWidth="0" w:num="1">
            <w:col w:w="10544"/>
          </w:cols>
          <w:pgMar w:left="876" w:top="274" w:right="479" w:bottom="1440" w:gutter="0" w:footer="0" w:header="0"/>
        </w:sectPr>
      </w:pPr>
    </w:p>
    <w:bookmarkStart w:id="352" w:name="page353"/>
    <w:bookmarkEnd w:id="352"/>
    <w:p>
      <w:pPr>
        <w:jc w:val="both"/>
        <w:ind w:left="-436" w:firstLine="436"/>
        <w:spacing w:after="0" w:line="259" w:lineRule="auto"/>
        <w:tabs>
          <w:tab w:leader="none" w:pos="274"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Insufficient Shares</w:t>
      </w:r>
      <w:r>
        <w:rPr>
          <w:rFonts w:ascii="Arial" w:cs="Arial" w:eastAsia="Arial" w:hAnsi="Arial"/>
          <w:sz w:val="18"/>
          <w:szCs w:val="18"/>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86" w:lineRule="exact"/>
        <w:rPr>
          <w:rFonts w:ascii="Arial" w:cs="Arial" w:eastAsia="Arial" w:hAnsi="Arial"/>
          <w:sz w:val="18"/>
          <w:szCs w:val="18"/>
          <w:color w:val="auto"/>
        </w:rPr>
      </w:pPr>
    </w:p>
    <w:p>
      <w:pPr>
        <w:ind w:left="-436" w:right="100" w:firstLine="436"/>
        <w:spacing w:after="0" w:line="342" w:lineRule="auto"/>
        <w:tabs>
          <w:tab w:leader="none" w:pos="274"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Termination of the Plan</w:t>
      </w:r>
      <w:r>
        <w:rPr>
          <w:rFonts w:ascii="Arial" w:cs="Arial" w:eastAsia="Arial" w:hAnsi="Arial"/>
          <w:sz w:val="16"/>
          <w:szCs w:val="16"/>
          <w:color w:val="auto"/>
        </w:rPr>
        <w:t>. The Plan may be terminated at any time by the Board. Upon termination of the Plan, all amounts in the accounts of Participants shall be promptly refunded. The Plan shall automatically terminate on the ten year anniversary of the Registration Date.</w:t>
      </w:r>
    </w:p>
    <w:p>
      <w:pPr>
        <w:spacing w:after="0" w:line="123" w:lineRule="exact"/>
        <w:rPr>
          <w:rFonts w:ascii="Arial" w:cs="Arial" w:eastAsia="Arial" w:hAnsi="Arial"/>
          <w:sz w:val="16"/>
          <w:szCs w:val="16"/>
          <w:color w:val="auto"/>
        </w:rPr>
      </w:pPr>
    </w:p>
    <w:p>
      <w:pPr>
        <w:ind w:left="-436" w:right="800" w:firstLine="436"/>
        <w:spacing w:after="0" w:line="277" w:lineRule="auto"/>
        <w:tabs>
          <w:tab w:leader="none" w:pos="274"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Common Stock under the Plan is subject to obtaining all governmental approvals required in connection with the authorization, issuance, or sale of such stock.</w:t>
      </w:r>
    </w:p>
    <w:p>
      <w:pPr>
        <w:spacing w:after="0" w:line="170" w:lineRule="exact"/>
        <w:rPr>
          <w:rFonts w:ascii="Arial" w:cs="Arial" w:eastAsia="Arial" w:hAnsi="Arial"/>
          <w:sz w:val="18"/>
          <w:szCs w:val="18"/>
          <w:color w:val="auto"/>
        </w:rPr>
      </w:pPr>
    </w:p>
    <w:p>
      <w:pPr>
        <w:ind w:left="-436" w:right="100" w:firstLine="436"/>
        <w:spacing w:after="0" w:line="286" w:lineRule="auto"/>
        <w:tabs>
          <w:tab w:leader="none" w:pos="274"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w:t>
      </w:r>
    </w:p>
    <w:p>
      <w:pPr>
        <w:spacing w:after="0" w:line="165" w:lineRule="exact"/>
        <w:rPr>
          <w:rFonts w:ascii="Arial" w:cs="Arial" w:eastAsia="Arial" w:hAnsi="Arial"/>
          <w:sz w:val="17"/>
          <w:szCs w:val="17"/>
          <w:color w:val="auto"/>
        </w:rPr>
      </w:pPr>
    </w:p>
    <w:p>
      <w:pPr>
        <w:ind w:left="-436" w:right="140" w:firstLine="436"/>
        <w:spacing w:after="0" w:line="277" w:lineRule="auto"/>
        <w:tabs>
          <w:tab w:leader="none" w:pos="274"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Shares may be issued upon exercise of an Option from authorized but unissued Common Stock, from shares held in the treasury of the Company, or from any other proper source.</w:t>
      </w:r>
    </w:p>
    <w:p>
      <w:pPr>
        <w:sectPr>
          <w:pgSz w:w="11900" w:h="16838" w:orient="portrait"/>
          <w:cols w:equalWidth="0" w:num="1">
            <w:col w:w="10444"/>
          </w:cols>
          <w:pgMar w:left="876" w:top="274" w:right="579" w:bottom="1440" w:gutter="0" w:footer="0" w:header="0"/>
        </w:sectPr>
      </w:pPr>
    </w:p>
    <w:bookmarkStart w:id="353" w:name="page354"/>
    <w:bookmarkEnd w:id="353"/>
    <w:p>
      <w:pPr>
        <w:ind w:firstLine="436"/>
        <w:spacing w:after="0" w:line="263" w:lineRule="auto"/>
        <w:tabs>
          <w:tab w:leader="none" w:pos="71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Withholding</w:t>
      </w:r>
      <w:r>
        <w:rPr>
          <w:rFonts w:ascii="Arial" w:cs="Arial" w:eastAsia="Arial" w:hAnsi="Arial"/>
          <w:sz w:val="18"/>
          <w:szCs w:val="18"/>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183" w:lineRule="exact"/>
        <w:rPr>
          <w:rFonts w:ascii="Arial" w:cs="Arial" w:eastAsia="Arial" w:hAnsi="Arial"/>
          <w:sz w:val="18"/>
          <w:szCs w:val="18"/>
          <w:color w:val="auto"/>
        </w:rPr>
      </w:pPr>
    </w:p>
    <w:p>
      <w:pPr>
        <w:jc w:val="both"/>
        <w:ind w:right="140" w:firstLine="436"/>
        <w:spacing w:after="0" w:line="286" w:lineRule="auto"/>
        <w:tabs>
          <w:tab w:leader="none" w:pos="710"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Notification Upon Sale of Shares under the 423 Component</w:t>
      </w:r>
      <w:r>
        <w:rPr>
          <w:rFonts w:ascii="Arial" w:cs="Arial" w:eastAsia="Arial" w:hAnsi="Arial"/>
          <w:sz w:val="17"/>
          <w:szCs w:val="17"/>
          <w:color w:val="auto"/>
        </w:rPr>
        <w:t>. Each Participant agrees, by entering the 423 Component of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65" w:lineRule="exact"/>
        <w:rPr>
          <w:rFonts w:ascii="Arial" w:cs="Arial" w:eastAsia="Arial" w:hAnsi="Arial"/>
          <w:sz w:val="17"/>
          <w:szCs w:val="17"/>
          <w:color w:val="auto"/>
        </w:rPr>
      </w:pPr>
    </w:p>
    <w:p>
      <w:pPr>
        <w:ind w:right="240" w:firstLine="436"/>
        <w:spacing w:after="0" w:line="263" w:lineRule="auto"/>
        <w:tabs>
          <w:tab w:leader="none" w:pos="71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Effective Date and Approval of Shareholders</w:t>
      </w:r>
      <w:r>
        <w:rPr>
          <w:rFonts w:ascii="Arial" w:cs="Arial" w:eastAsia="Arial" w:hAnsi="Arial"/>
          <w:sz w:val="18"/>
          <w:szCs w:val="18"/>
          <w:color w:val="auto"/>
        </w:rPr>
        <w:t>. The Plan shall take effect on the date immediately preceding the Registration Date, subject to approval by the holders of a majority of the votes cast at a meeting of stockholders at which a quorum is present or by written consent of the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Adopted by the Board of Directors: May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Stockholders: May 28, 2021</w:t>
      </w:r>
    </w:p>
    <w:p>
      <w:pPr>
        <w:sectPr>
          <w:pgSz w:w="11900" w:h="16838" w:orient="portrait"/>
          <w:cols w:equalWidth="0" w:num="1">
            <w:col w:w="11000"/>
          </w:cols>
          <w:pgMar w:left="440" w:top="274" w:right="459" w:bottom="1440" w:gutter="0" w:footer="0" w:header="0"/>
        </w:sectPr>
      </w:pPr>
    </w:p>
    <w:bookmarkStart w:id="354" w:name="page355"/>
    <w:bookmarkEnd w:id="354"/>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u w:val="single" w:color="auto"/>
          <w:color w:val="auto"/>
        </w:rPr>
        <w:t>Designated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MARQETA UK LTD</w:t>
      </w:r>
    </w:p>
    <w:p>
      <w:pPr>
        <w:sectPr>
          <w:pgSz w:w="11900" w:h="16838" w:orient="portrait"/>
          <w:cols w:equalWidth="0" w:num="1">
            <w:col w:w="10019"/>
          </w:cols>
          <w:pgMar w:left="440" w:top="270" w:right="1440" w:bottom="1440" w:gutter="0" w:footer="0" w:header="0"/>
        </w:sectPr>
      </w:pPr>
    </w:p>
    <w:bookmarkStart w:id="355" w:name="page356"/>
    <w:bookmarkEnd w:id="355"/>
    <w:p>
      <w:pPr>
        <w:ind w:left="10004"/>
        <w:spacing w:after="0"/>
        <w:rPr>
          <w:sz w:val="20"/>
          <w:szCs w:val="20"/>
          <w:color w:val="auto"/>
        </w:rPr>
      </w:pPr>
      <w:r>
        <w:rPr>
          <w:rFonts w:ascii="Arial" w:cs="Arial" w:eastAsia="Arial" w:hAnsi="Arial"/>
          <w:sz w:val="16"/>
          <w:szCs w:val="16"/>
          <w:b w:val="1"/>
          <w:bCs w:val="1"/>
          <w:color w:val="auto"/>
        </w:rPr>
        <w:t>Exhibit 10.14</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CERTAIN CONFIDENTIAL INFORMATION, MARKED BY [***], HAS BEEN EXCLUDED FROM THIS EXHIBIT BECAUSE (I) IT</w:t>
      </w:r>
    </w:p>
    <w:p>
      <w:pPr>
        <w:spacing w:after="0" w:line="27" w:lineRule="exact"/>
        <w:rPr>
          <w:sz w:val="20"/>
          <w:szCs w:val="20"/>
          <w:color w:val="auto"/>
        </w:rPr>
      </w:pPr>
    </w:p>
    <w:p>
      <w:pPr>
        <w:ind w:left="4" w:right="60"/>
        <w:spacing w:after="0" w:line="260" w:lineRule="auto"/>
        <w:rPr>
          <w:sz w:val="20"/>
          <w:szCs w:val="20"/>
          <w:color w:val="auto"/>
        </w:rPr>
      </w:pPr>
      <w:r>
        <w:rPr>
          <w:rFonts w:ascii="Arial" w:cs="Arial" w:eastAsia="Arial" w:hAnsi="Arial"/>
          <w:sz w:val="18"/>
          <w:szCs w:val="18"/>
          <w:b w:val="1"/>
          <w:bCs w:val="1"/>
          <w:color w:val="auto"/>
        </w:rPr>
        <w:t>IS NOT MATERIAL AND (II) THE REGISTRANT CUSTOMARILY AND ACTUALLY TREATS THE INFORMATION AS PRIVATE AND CONFIDENTIAL.</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ASTER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9" w:lineRule="exact"/>
        <w:rPr>
          <w:sz w:val="20"/>
          <w:szCs w:val="20"/>
          <w:color w:val="auto"/>
        </w:rPr>
      </w:pPr>
    </w:p>
    <w:p>
      <w:pPr>
        <w:jc w:val="both"/>
        <w:ind w:left="4" w:right="340" w:firstLine="440"/>
        <w:spacing w:after="0" w:line="311" w:lineRule="auto"/>
        <w:rPr>
          <w:sz w:val="20"/>
          <w:szCs w:val="20"/>
          <w:color w:val="auto"/>
        </w:rPr>
      </w:pPr>
      <w:r>
        <w:rPr>
          <w:rFonts w:ascii="Arial" w:cs="Arial" w:eastAsia="Arial" w:hAnsi="Arial"/>
          <w:sz w:val="16"/>
          <w:szCs w:val="16"/>
          <w:color w:val="auto"/>
        </w:rPr>
        <w:t>THIS MASTER SERVICES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between Square, Inc., a Delaware corporation, whose principal address is 1455 Market Street Suite 600, San Francisco, CA 94103 (“</w:t>
      </w:r>
      <w:r>
        <w:rPr>
          <w:rFonts w:ascii="Arial" w:cs="Arial" w:eastAsia="Arial" w:hAnsi="Arial"/>
          <w:sz w:val="16"/>
          <w:szCs w:val="16"/>
          <w:u w:val="single" w:color="auto"/>
          <w:color w:val="auto"/>
        </w:rPr>
        <w:t>Client</w:t>
      </w:r>
      <w:r>
        <w:rPr>
          <w:rFonts w:ascii="Arial" w:cs="Arial" w:eastAsia="Arial" w:hAnsi="Arial"/>
          <w:sz w:val="16"/>
          <w:szCs w:val="16"/>
          <w:color w:val="auto"/>
        </w:rPr>
        <w:t>”), and Marqeta, Inc., a Delaware corporation, whose principal address is 6201-B Doyle Street, Emeryville, CA 94608 (“</w:t>
      </w:r>
      <w:r>
        <w:rPr>
          <w:rFonts w:ascii="Arial" w:cs="Arial" w:eastAsia="Arial" w:hAnsi="Arial"/>
          <w:sz w:val="16"/>
          <w:szCs w:val="16"/>
          <w:u w:val="single" w:color="auto"/>
          <w:color w:val="auto"/>
        </w:rPr>
        <w:t>Marqeta,</w:t>
      </w:r>
      <w:r>
        <w:rPr>
          <w:rFonts w:ascii="Arial" w:cs="Arial" w:eastAsia="Arial" w:hAnsi="Arial"/>
          <w:sz w:val="16"/>
          <w:szCs w:val="16"/>
          <w:color w:val="auto"/>
        </w:rPr>
        <w:t>” and together with Client, each a “</w:t>
      </w:r>
      <w:r>
        <w:rPr>
          <w:rFonts w:ascii="Arial" w:cs="Arial" w:eastAsia="Arial" w:hAnsi="Arial"/>
          <w:sz w:val="16"/>
          <w:szCs w:val="16"/>
          <w:u w:val="single" w:color="auto"/>
          <w:color w:val="auto"/>
        </w:rPr>
        <w:t>Party</w:t>
      </w:r>
      <w:r>
        <w:rPr>
          <w:rFonts w:ascii="Arial" w:cs="Arial" w:eastAsia="Arial" w:hAnsi="Arial"/>
          <w:sz w:val="16"/>
          <w:szCs w:val="16"/>
          <w:color w:val="auto"/>
        </w:rPr>
        <w:t>” and together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364" w:hanging="364"/>
        <w:spacing w:after="0"/>
        <w:tabs>
          <w:tab w:leader="none" w:pos="36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Marqeta is in the business of providing Processing Services and Program Management Services, each as further described herein; and</w:t>
      </w:r>
    </w:p>
    <w:p>
      <w:pPr>
        <w:spacing w:after="0" w:line="236" w:lineRule="exact"/>
        <w:rPr>
          <w:rFonts w:ascii="Arial" w:cs="Arial" w:eastAsia="Arial" w:hAnsi="Arial"/>
          <w:sz w:val="17"/>
          <w:szCs w:val="17"/>
          <w:color w:val="auto"/>
        </w:rPr>
      </w:pPr>
    </w:p>
    <w:p>
      <w:pPr>
        <w:ind w:left="344" w:hanging="344"/>
        <w:spacing w:after="0"/>
        <w:tabs>
          <w:tab w:leader="none" w:pos="34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Client wishes to engage Marqeta to provide such Services on the terms and conditions set forth in this Agreement.</w:t>
      </w:r>
    </w:p>
    <w:p>
      <w:pPr>
        <w:spacing w:after="0" w:line="22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adequacy of which are hereby acknowledged, the Parties agree as follows:</w:t>
      </w:r>
    </w:p>
    <w:p>
      <w:pPr>
        <w:spacing w:after="0" w:line="166" w:lineRule="exact"/>
        <w:rPr>
          <w:sz w:val="20"/>
          <w:szCs w:val="20"/>
          <w:color w:val="auto"/>
        </w:rPr>
      </w:pPr>
    </w:p>
    <w:p>
      <w:pPr>
        <w:ind w:left="324" w:hanging="324"/>
        <w:spacing w:after="0"/>
        <w:tabs>
          <w:tab w:leader="none" w:pos="324"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This Agreement consists of this cover page and the following:</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 Program Terms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 General Terms and Conditions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 Definitions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 Fees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Schedule E</w:t>
      </w:r>
      <w:r>
        <w:rPr>
          <w:rFonts w:ascii="Arial" w:cs="Arial" w:eastAsia="Arial" w:hAnsi="Arial"/>
          <w:sz w:val="18"/>
          <w:szCs w:val="18"/>
          <w:color w:val="auto"/>
        </w:rPr>
        <w:t xml:space="preserve"> - Performance Standards</w:t>
      </w:r>
    </w:p>
    <w:p>
      <w:pPr>
        <w:spacing w:after="0" w:line="221" w:lineRule="exact"/>
        <w:rPr>
          <w:rFonts w:ascii="Arial" w:cs="Arial" w:eastAsia="Arial" w:hAnsi="Arial"/>
          <w:sz w:val="18"/>
          <w:szCs w:val="18"/>
          <w:color w:val="auto"/>
        </w:rPr>
      </w:pPr>
    </w:p>
    <w:p>
      <w:pPr>
        <w:ind w:left="4" w:right="240" w:hanging="4"/>
        <w:spacing w:after="0" w:line="282" w:lineRule="auto"/>
        <w:tabs>
          <w:tab w:leader="none" w:pos="319"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Order of Preference. </w:t>
      </w:r>
      <w:r>
        <w:rPr>
          <w:rFonts w:ascii="Arial" w:cs="Arial" w:eastAsia="Arial" w:hAnsi="Arial"/>
          <w:sz w:val="18"/>
          <w:szCs w:val="18"/>
          <w:color w:val="auto"/>
        </w:rPr>
        <w:t>In the event of any conflict between this Agreement and any schedule hereto (each, a “</w:t>
      </w:r>
      <w:r>
        <w:rPr>
          <w:rFonts w:ascii="Arial" w:cs="Arial" w:eastAsia="Arial" w:hAnsi="Arial"/>
          <w:sz w:val="18"/>
          <w:szCs w:val="18"/>
          <w:u w:val="single" w:color="auto"/>
          <w:color w:val="auto"/>
        </w:rPr>
        <w:t>Schedule</w:t>
      </w:r>
      <w:r>
        <w:rPr>
          <w:rFonts w:ascii="Arial" w:cs="Arial" w:eastAsia="Arial" w:hAnsi="Arial"/>
          <w:sz w:val="18"/>
          <w:szCs w:val="18"/>
          <w:color w:val="auto"/>
        </w:rPr>
        <w:t>”), the applicable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control.</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last date signed below (the “Effective Date’):</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QUARE</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4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ARQETA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20"/>
        </w:trPr>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53"/>
        </w:trPr>
        <w:tc>
          <w:tcPr>
            <w:tcW w:w="66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Y</w:t>
            </w:r>
            <w:r>
              <w:rPr>
                <w:rFonts w:ascii="Arial" w:cs="Arial" w:eastAsia="Arial" w:hAnsi="Arial"/>
                <w:sz w:val="18"/>
                <w:szCs w:val="18"/>
                <w:b w:val="1"/>
                <w:bCs w:val="1"/>
                <w:color w:val="auto"/>
              </w:rPr>
              <w:t>:</w:t>
            </w:r>
          </w:p>
        </w:tc>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Grassadonia</w:t>
            </w:r>
          </w:p>
        </w:tc>
        <w:tc>
          <w:tcPr>
            <w:tcW w:w="1340" w:type="dxa"/>
            <w:vAlign w:val="bottom"/>
            <w:gridSpan w:val="2"/>
          </w:tcPr>
          <w:p>
            <w:pPr>
              <w:ind w:left="68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Y</w:t>
            </w:r>
            <w:r>
              <w:rPr>
                <w:rFonts w:ascii="Arial" w:cs="Arial" w:eastAsia="Arial" w:hAnsi="Arial"/>
                <w:sz w:val="18"/>
                <w:szCs w:val="18"/>
                <w:b w:val="1"/>
                <w:bCs w:val="1"/>
                <w:color w:val="auto"/>
              </w:rPr>
              <w:t>:</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Omri Dahan</w:t>
            </w:r>
          </w:p>
        </w:tc>
      </w:tr>
      <w:tr>
        <w:trPr>
          <w:trHeight w:val="205"/>
        </w:trPr>
        <w:tc>
          <w:tcPr>
            <w:tcW w:w="660" w:type="dxa"/>
            <w:vAlign w:val="bottom"/>
          </w:tcPr>
          <w:p>
            <w:pPr>
              <w:spacing w:after="0" w:line="205" w:lineRule="exact"/>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AME</w:t>
            </w:r>
            <w:r>
              <w:rPr>
                <w:rFonts w:ascii="Arial" w:cs="Arial" w:eastAsia="Arial" w:hAnsi="Arial"/>
                <w:sz w:val="18"/>
                <w:szCs w:val="18"/>
                <w:b w:val="1"/>
                <w:bCs w:val="1"/>
                <w:color w:val="auto"/>
              </w:rPr>
              <w:t>:</w:t>
            </w:r>
          </w:p>
        </w:tc>
        <w:tc>
          <w:tcPr>
            <w:tcW w:w="4500" w:type="dxa"/>
            <w:vAlign w:val="bottom"/>
            <w:gridSpan w:val="2"/>
          </w:tcPr>
          <w:p>
            <w:pPr>
              <w:spacing w:after="0" w:line="205" w:lineRule="exact"/>
              <w:rPr>
                <w:sz w:val="20"/>
                <w:szCs w:val="20"/>
                <w:color w:val="auto"/>
              </w:rPr>
            </w:pPr>
            <w:r>
              <w:rPr>
                <w:rFonts w:ascii="Arial" w:cs="Arial" w:eastAsia="Arial" w:hAnsi="Arial"/>
                <w:sz w:val="18"/>
                <w:szCs w:val="18"/>
                <w:color w:val="auto"/>
              </w:rPr>
              <w:t>Brian Grassadonia</w:t>
            </w:r>
          </w:p>
        </w:tc>
        <w:tc>
          <w:tcPr>
            <w:tcW w:w="1340" w:type="dxa"/>
            <w:vAlign w:val="bottom"/>
            <w:gridSpan w:val="2"/>
          </w:tcPr>
          <w:p>
            <w:pPr>
              <w:ind w:left="680"/>
              <w:spacing w:after="0" w:line="205" w:lineRule="exact"/>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AME</w:t>
            </w:r>
            <w:r>
              <w:rPr>
                <w:rFonts w:ascii="Arial" w:cs="Arial" w:eastAsia="Arial" w:hAnsi="Arial"/>
                <w:sz w:val="18"/>
                <w:szCs w:val="18"/>
                <w:b w:val="1"/>
                <w:bCs w:val="1"/>
                <w:color w:val="auto"/>
              </w:rPr>
              <w:t>:</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Omri Dahan</w:t>
            </w:r>
          </w:p>
        </w:tc>
      </w:t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ITLE</w:t>
            </w:r>
            <w:r>
              <w:rPr>
                <w:rFonts w:ascii="Arial" w:cs="Arial" w:eastAsia="Arial" w:hAnsi="Arial"/>
                <w:sz w:val="18"/>
                <w:szCs w:val="18"/>
                <w:b w:val="1"/>
                <w:bCs w:val="1"/>
                <w:color w:val="auto"/>
              </w:rPr>
              <w:t>:</w:t>
            </w:r>
          </w:p>
        </w:tc>
        <w:tc>
          <w:tcPr>
            <w:tcW w:w="4500" w:type="dxa"/>
            <w:vAlign w:val="bottom"/>
            <w:gridSpan w:val="2"/>
          </w:tcPr>
          <w:p>
            <w:pPr>
              <w:spacing w:after="0"/>
              <w:rPr>
                <w:sz w:val="20"/>
                <w:szCs w:val="20"/>
                <w:color w:val="auto"/>
              </w:rPr>
            </w:pPr>
            <w:r>
              <w:rPr>
                <w:rFonts w:ascii="Arial" w:cs="Arial" w:eastAsia="Arial" w:hAnsi="Arial"/>
                <w:sz w:val="18"/>
                <w:szCs w:val="18"/>
                <w:color w:val="auto"/>
              </w:rPr>
              <w:t>Square Cash Lead</w:t>
            </w:r>
          </w:p>
        </w:tc>
        <w:tc>
          <w:tcPr>
            <w:tcW w:w="1340" w:type="dxa"/>
            <w:vAlign w:val="bottom"/>
            <w:gridSpan w:val="2"/>
          </w:tcPr>
          <w:p>
            <w:pPr>
              <w:ind w:left="6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ITLE</w:t>
            </w:r>
            <w:r>
              <w:rPr>
                <w:rFonts w:ascii="Arial" w:cs="Arial" w:eastAsia="Arial" w:hAnsi="Arial"/>
                <w:sz w:val="18"/>
                <w:szCs w:val="18"/>
                <w:b w:val="1"/>
                <w:bCs w:val="1"/>
                <w:color w:val="auto"/>
              </w:rPr>
              <w:t>:</w:t>
            </w:r>
          </w:p>
        </w:tc>
        <w:tc>
          <w:tcPr>
            <w:tcW w:w="4520" w:type="dxa"/>
            <w:vAlign w:val="bottom"/>
            <w:gridSpan w:val="2"/>
          </w:tcPr>
          <w:p>
            <w:pPr>
              <w:spacing w:after="0"/>
              <w:rPr>
                <w:sz w:val="20"/>
                <w:szCs w:val="20"/>
                <w:color w:val="auto"/>
              </w:rPr>
            </w:pPr>
            <w:r>
              <w:rPr>
                <w:rFonts w:ascii="Arial" w:cs="Arial" w:eastAsia="Arial" w:hAnsi="Arial"/>
                <w:sz w:val="18"/>
                <w:szCs w:val="18"/>
                <w:color w:val="auto"/>
              </w:rPr>
              <w:t>Chief Revenue Officer</w:t>
            </w:r>
          </w:p>
        </w:tc>
      </w:t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tc>
        <w:tc>
          <w:tcPr>
            <w:tcW w:w="4500" w:type="dxa"/>
            <w:vAlign w:val="bottom"/>
            <w:gridSpan w:val="2"/>
          </w:tcPr>
          <w:p>
            <w:pPr>
              <w:spacing w:after="0"/>
              <w:rPr>
                <w:sz w:val="20"/>
                <w:szCs w:val="20"/>
                <w:color w:val="auto"/>
              </w:rPr>
            </w:pPr>
            <w:r>
              <w:rPr>
                <w:rFonts w:ascii="Arial" w:cs="Arial" w:eastAsia="Arial" w:hAnsi="Arial"/>
                <w:sz w:val="18"/>
                <w:szCs w:val="18"/>
                <w:color w:val="auto"/>
              </w:rPr>
              <w:t>4/19/2016</w:t>
            </w:r>
          </w:p>
        </w:tc>
        <w:tc>
          <w:tcPr>
            <w:tcW w:w="1340" w:type="dxa"/>
            <w:vAlign w:val="bottom"/>
            <w:gridSpan w:val="2"/>
          </w:tcPr>
          <w:p>
            <w:pPr>
              <w:ind w:left="68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tc>
        <w:tc>
          <w:tcPr>
            <w:tcW w:w="4520" w:type="dxa"/>
            <w:vAlign w:val="bottom"/>
            <w:gridSpan w:val="2"/>
          </w:tcPr>
          <w:p>
            <w:pPr>
              <w:spacing w:after="0"/>
              <w:rPr>
                <w:sz w:val="20"/>
                <w:szCs w:val="20"/>
                <w:color w:val="auto"/>
              </w:rPr>
            </w:pPr>
            <w:r>
              <w:rPr>
                <w:rFonts w:ascii="Arial" w:cs="Arial" w:eastAsia="Arial" w:hAnsi="Arial"/>
                <w:sz w:val="18"/>
                <w:szCs w:val="18"/>
                <w:color w:val="auto"/>
              </w:rPr>
              <w:t>4/18/2016</w:t>
            </w:r>
          </w:p>
        </w:tc>
      </w:tr>
    </w:tbl>
    <w:p>
      <w:pPr>
        <w:sectPr>
          <w:pgSz w:w="11900" w:h="16838" w:orient="portrait"/>
          <w:cols w:equalWidth="0" w:num="1">
            <w:col w:w="11024"/>
          </w:cols>
          <w:pgMar w:left="436" w:top="121" w:right="439" w:bottom="1440" w:gutter="0" w:footer="0" w:header="0"/>
        </w:sectPr>
      </w:pPr>
    </w:p>
    <w:bookmarkStart w:id="356" w:name="page357"/>
    <w:bookmarkEnd w:id="35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ROGRAM</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p>
    <w:p>
      <w:pPr>
        <w:spacing w:after="0" w:line="252" w:lineRule="exact"/>
        <w:rPr>
          <w:sz w:val="20"/>
          <w:szCs w:val="20"/>
          <w:color w:val="auto"/>
        </w:rPr>
      </w:pPr>
    </w:p>
    <w:p>
      <w:pPr>
        <w:ind w:left="424" w:hanging="424"/>
        <w:spacing w:after="0"/>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ARQETA</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COPE OF</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ORK</w:t>
      </w:r>
      <w:r>
        <w:rPr>
          <w:rFonts w:ascii="Arial" w:cs="Arial" w:eastAsia="Arial" w:hAnsi="Arial"/>
          <w:sz w:val="18"/>
          <w:szCs w:val="18"/>
          <w:b w:val="1"/>
          <w:bCs w:val="1"/>
          <w:color w:val="auto"/>
        </w:rPr>
        <w:t>.</w:t>
      </w:r>
    </w:p>
    <w:p>
      <w:pPr>
        <w:spacing w:after="0" w:line="131" w:lineRule="exact"/>
        <w:rPr>
          <w:sz w:val="20"/>
          <w:szCs w:val="20"/>
          <w:color w:val="auto"/>
        </w:rPr>
      </w:pPr>
    </w:p>
    <w:p>
      <w:pPr>
        <w:ind w:left="424" w:hanging="424"/>
        <w:spacing w:after="0"/>
        <w:tabs>
          <w:tab w:leader="none" w:pos="424"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Provision of Services</w:t>
      </w:r>
      <w:r>
        <w:rPr>
          <w:rFonts w:ascii="Arial" w:cs="Arial" w:eastAsia="Arial" w:hAnsi="Arial"/>
          <w:sz w:val="18"/>
          <w:szCs w:val="18"/>
          <w:color w:val="auto"/>
        </w:rPr>
        <w:t>. Commencing on the Effective Date, Marqeta agrees to provide the following Services:</w:t>
      </w:r>
    </w:p>
    <w:p>
      <w:pPr>
        <w:spacing w:after="0" w:line="134" w:lineRule="exact"/>
        <w:rPr>
          <w:rFonts w:ascii="Arial" w:cs="Arial" w:eastAsia="Arial" w:hAnsi="Arial"/>
          <w:sz w:val="18"/>
          <w:szCs w:val="18"/>
          <w:color w:val="auto"/>
        </w:rPr>
      </w:pPr>
    </w:p>
    <w:p>
      <w:pPr>
        <w:ind w:left="964" w:right="220" w:hanging="532"/>
        <w:spacing w:after="0" w:line="277" w:lineRule="auto"/>
        <w:tabs>
          <w:tab w:leader="none" w:pos="96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Implementation Services and Processing Services, each consistent with and as identified in the Implementation Plan or as otherwise agreed to by the Parties in writing or via e-mail, and Program Management Services; and</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Any services, functions and responsibilities of Marqeta that are otherwise agreed upon in writing by Client and Marqeta from time to time as being subject to this Agreement (“</w:t>
      </w:r>
      <w:r>
        <w:rPr>
          <w:rFonts w:ascii="Arial" w:cs="Arial" w:eastAsia="Arial" w:hAnsi="Arial"/>
          <w:sz w:val="18"/>
          <w:szCs w:val="18"/>
          <w:u w:val="single" w:color="auto"/>
          <w:color w:val="auto"/>
        </w:rPr>
        <w:t>New Additional Service</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24" w:hanging="424"/>
        <w:spacing w:after="0" w:line="298" w:lineRule="auto"/>
        <w:tabs>
          <w:tab w:leader="none" w:pos="424" w:val="left"/>
        </w:tabs>
        <w:numPr>
          <w:ilvl w:val="0"/>
          <w:numId w:val="264"/>
        </w:numPr>
        <w:rPr>
          <w:rFonts w:ascii="Arial" w:cs="Arial" w:eastAsia="Arial" w:hAnsi="Arial"/>
          <w:sz w:val="16"/>
          <w:szCs w:val="16"/>
          <w:color w:val="auto"/>
        </w:rPr>
      </w:pPr>
      <w:r>
        <w:rPr>
          <w:rFonts w:ascii="Arial" w:cs="Arial" w:eastAsia="Arial" w:hAnsi="Arial"/>
          <w:sz w:val="16"/>
          <w:szCs w:val="16"/>
          <w:b w:val="1"/>
          <w:bCs w:val="1"/>
          <w:color w:val="auto"/>
        </w:rPr>
        <w:t xml:space="preserve">Instructions and Client Provided Information. </w:t>
      </w:r>
      <w:r>
        <w:rPr>
          <w:rFonts w:ascii="Arial" w:cs="Arial" w:eastAsia="Arial" w:hAnsi="Arial"/>
          <w:sz w:val="16"/>
          <w:szCs w:val="16"/>
          <w:color w:val="auto"/>
        </w:rPr>
        <w:t>In performing its obligations and responsibilities under this Agreement, Marqeta shall be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to rely upon, without additional inquiry, Client Data, Transaction Data and Instructions, as provided by Client to Marqeta,; provided, however, that to the extent that Marqeta in good faith reasonably believes that any Instruction is contrary to the provisions of this Agreement, Applicable Law, Card Brand Rules, or requirements of the Issuing Bank, Marqeta shall promptly provide notice to Client setting forth in reasonable detail the reason for its belief, after which point the Parties agree to work together in good faith to resolve any issues resulting from such Instruction.</w:t>
      </w:r>
    </w:p>
    <w:p>
      <w:pPr>
        <w:spacing w:after="0" w:line="59" w:lineRule="exact"/>
        <w:rPr>
          <w:rFonts w:ascii="Arial" w:cs="Arial" w:eastAsia="Arial" w:hAnsi="Arial"/>
          <w:sz w:val="16"/>
          <w:szCs w:val="16"/>
          <w:color w:val="auto"/>
        </w:rPr>
      </w:pPr>
    </w:p>
    <w:p>
      <w:pPr>
        <w:ind w:left="424" w:right="60" w:hanging="424"/>
        <w:spacing w:after="0" w:line="256" w:lineRule="auto"/>
        <w:tabs>
          <w:tab w:leader="none" w:pos="424"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Custom Modifications</w:t>
      </w:r>
      <w:r>
        <w:rPr>
          <w:rFonts w:ascii="Arial" w:cs="Arial" w:eastAsia="Arial" w:hAnsi="Arial"/>
          <w:sz w:val="18"/>
          <w:szCs w:val="18"/>
          <w:color w:val="auto"/>
        </w:rPr>
        <w:t>. In the event that Client requests modifications to the Services, including modifications that are different from or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the Services (the “</w:t>
      </w:r>
      <w:r>
        <w:rPr>
          <w:rFonts w:ascii="Arial" w:cs="Arial" w:eastAsia="Arial" w:hAnsi="Arial"/>
          <w:sz w:val="18"/>
          <w:szCs w:val="18"/>
          <w:u w:val="single" w:color="auto"/>
          <w:color w:val="auto"/>
        </w:rPr>
        <w:t>Custom Enhancements</w:t>
      </w:r>
      <w:r>
        <w:rPr>
          <w:rFonts w:ascii="Arial" w:cs="Arial" w:eastAsia="Arial" w:hAnsi="Arial"/>
          <w:sz w:val="18"/>
          <w:szCs w:val="18"/>
          <w:color w:val="auto"/>
        </w:rPr>
        <w:t>”), and if Marqeta agrees to make such Custom Enhancements, then the Parties shall enter into a mutually-agreed-upon and separately-written statement of work (“SOW”) covering the provision of such Custom Enhancements, the allocation of ownership of such Custom Enhancements (or components of Custom Enhancements), and, if applicable, the amount of any new Fee payable to Marqeta for any new Service resulting from such Custom Enhancements. Any new Service resulting from Custom Enhancements shall a New Additional Service.</w:t>
      </w:r>
    </w:p>
    <w:p>
      <w:pPr>
        <w:spacing w:after="0" w:line="92" w:lineRule="exact"/>
        <w:rPr>
          <w:rFonts w:ascii="Arial" w:cs="Arial" w:eastAsia="Arial" w:hAnsi="Arial"/>
          <w:sz w:val="18"/>
          <w:szCs w:val="18"/>
          <w:color w:val="auto"/>
        </w:rPr>
      </w:pPr>
    </w:p>
    <w:p>
      <w:pPr>
        <w:ind w:left="424" w:right="20" w:hanging="424"/>
        <w:spacing w:after="0" w:line="256" w:lineRule="auto"/>
        <w:tabs>
          <w:tab w:leader="none" w:pos="424"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Documentation</w:t>
      </w:r>
      <w:r>
        <w:rPr>
          <w:rFonts w:ascii="Arial" w:cs="Arial" w:eastAsia="Arial" w:hAnsi="Arial"/>
          <w:sz w:val="18"/>
          <w:szCs w:val="18"/>
          <w:color w:val="auto"/>
        </w:rPr>
        <w:t>. Marqeta shall provide Client with Documentation associated with the Services through the Developer Site or otherwise, which</w:t>
      </w:r>
      <w:r>
        <w:rPr>
          <w:rFonts w:ascii="Arial" w:cs="Arial" w:eastAsia="Arial" w:hAnsi="Arial"/>
          <w:sz w:val="18"/>
          <w:szCs w:val="18"/>
          <w:b w:val="1"/>
          <w:bCs w:val="1"/>
          <w:color w:val="auto"/>
        </w:rPr>
        <w:t xml:space="preserve"> </w:t>
      </w:r>
      <w:r>
        <w:rPr>
          <w:rFonts w:ascii="Arial" w:cs="Arial" w:eastAsia="Arial" w:hAnsi="Arial"/>
          <w:sz w:val="18"/>
          <w:szCs w:val="18"/>
          <w:color w:val="auto"/>
        </w:rPr>
        <w:t>may include policies and procedures regarding the Services. The Documentation may be modified from time to time by Marqeta, provided Marqeta shall give Client [***] to implement any material change made to the Documentation that would materially and adversely impact Client’s ability to receive Services or ability to perform Client’s obligations under this Agreement. The Documentation, any derivatives of the Documentation and any and all copies thereof, shall be and remain the property of Marqeta and shall be deemed Marqeta Confidential Information.</w:t>
      </w:r>
    </w:p>
    <w:p>
      <w:pPr>
        <w:spacing w:after="0" w:line="93" w:lineRule="exact"/>
        <w:rPr>
          <w:sz w:val="20"/>
          <w:szCs w:val="20"/>
          <w:color w:val="auto"/>
        </w:rPr>
      </w:pPr>
    </w:p>
    <w:p>
      <w:pPr>
        <w:ind w:left="424" w:right="20" w:hanging="424"/>
        <w:spacing w:after="0" w:line="273" w:lineRule="auto"/>
        <w:tabs>
          <w:tab w:leader="none" w:pos="424" w:val="left"/>
        </w:tabs>
        <w:numPr>
          <w:ilvl w:val="0"/>
          <w:numId w:val="265"/>
        </w:numPr>
        <w:rPr>
          <w:rFonts w:ascii="Arial" w:cs="Arial" w:eastAsia="Arial" w:hAnsi="Arial"/>
          <w:sz w:val="17"/>
          <w:szCs w:val="17"/>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MPLEMENTATION</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color w:val="auto"/>
        </w:rPr>
        <w:t>. The Parties shall plan, prepare for and implement an implementation plan for the Accounts for which Marqeta will</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Services in accordance with a written plan mutually agreed upon by the Parties (the “</w:t>
      </w:r>
      <w:r>
        <w:rPr>
          <w:rFonts w:ascii="Arial" w:cs="Arial" w:eastAsia="Arial" w:hAnsi="Arial"/>
          <w:sz w:val="17"/>
          <w:szCs w:val="17"/>
          <w:u w:val="single" w:color="auto"/>
          <w:color w:val="auto"/>
        </w:rPr>
        <w:t>Implementation Plan</w:t>
      </w:r>
      <w:r>
        <w:rPr>
          <w:rFonts w:ascii="Arial" w:cs="Arial" w:eastAsia="Arial" w:hAnsi="Arial"/>
          <w:sz w:val="17"/>
          <w:szCs w:val="17"/>
          <w:color w:val="auto"/>
        </w:rPr>
        <w:t>”), which shall include: (i) a schedule for implementing the Services; (ii) a description of the respective roles and responsibilities of Client and Marqeta, including any required resources; (iii) a plan for testing the Services prior to implementation; (iv) a plan for providing appropriate BSA/AML and/or fraud mitigation training to Client; and (v) such other information and plans designed to cause the launch of the Services to take place on schedule (Marqeta’s responsibilities under foregoing are defined as the “</w:t>
      </w:r>
      <w:r>
        <w:rPr>
          <w:rFonts w:ascii="Arial" w:cs="Arial" w:eastAsia="Arial" w:hAnsi="Arial"/>
          <w:sz w:val="17"/>
          <w:szCs w:val="17"/>
          <w:u w:val="single" w:color="auto"/>
          <w:color w:val="auto"/>
        </w:rPr>
        <w:t>Implementation Services</w:t>
      </w:r>
      <w:r>
        <w:rPr>
          <w:rFonts w:ascii="Arial" w:cs="Arial" w:eastAsia="Arial" w:hAnsi="Arial"/>
          <w:sz w:val="17"/>
          <w:szCs w:val="17"/>
          <w:color w:val="auto"/>
        </w:rPr>
        <w:t>”). Each Implementation Plan may be revised from time to time by mutual agreement of the Parties, which agreement shall not be unreasonably withheld.</w:t>
      </w:r>
    </w:p>
    <w:p>
      <w:pPr>
        <w:spacing w:after="0" w:line="77" w:lineRule="exact"/>
        <w:rPr>
          <w:rFonts w:ascii="Arial" w:cs="Arial" w:eastAsia="Arial" w:hAnsi="Arial"/>
          <w:sz w:val="17"/>
          <w:szCs w:val="17"/>
          <w:color w:val="auto"/>
        </w:rPr>
      </w:pPr>
    </w:p>
    <w:p>
      <w:pPr>
        <w:ind w:left="424" w:hanging="424"/>
        <w:spacing w:after="0"/>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S</w:t>
      </w:r>
      <w:r>
        <w:rPr>
          <w:rFonts w:ascii="Arial" w:cs="Arial" w:eastAsia="Arial" w:hAnsi="Arial"/>
          <w:sz w:val="14"/>
          <w:szCs w:val="14"/>
          <w:b w:val="1"/>
          <w:bCs w:val="1"/>
          <w:color w:val="auto"/>
        </w:rPr>
        <w:t>URVIVAL AND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RANSITION</w:t>
      </w:r>
      <w:r>
        <w:rPr>
          <w:rFonts w:ascii="Arial" w:cs="Arial" w:eastAsia="Arial" w:hAnsi="Arial"/>
          <w:sz w:val="18"/>
          <w:szCs w:val="18"/>
          <w:color w:val="auto"/>
        </w:rPr>
        <w:t>.</w:t>
      </w:r>
    </w:p>
    <w:p>
      <w:pPr>
        <w:spacing w:after="0" w:line="131" w:lineRule="exact"/>
        <w:rPr>
          <w:sz w:val="20"/>
          <w:szCs w:val="20"/>
          <w:color w:val="auto"/>
        </w:rPr>
      </w:pPr>
    </w:p>
    <w:p>
      <w:pPr>
        <w:ind w:left="424" w:right="360" w:hanging="424"/>
        <w:spacing w:after="0" w:line="266" w:lineRule="auto"/>
        <w:tabs>
          <w:tab w:leader="none" w:pos="424"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The initial term of this Agreement shall begin on the Effective Date and shall expire at 11:59 p.m. (Pacific Time) on the last day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Year Two (2), unless terminated earlier in accordance with this Agreement (the “</w:t>
      </w:r>
      <w:r>
        <w:rPr>
          <w:rFonts w:ascii="Arial" w:cs="Arial" w:eastAsia="Arial" w:hAnsi="Arial"/>
          <w:sz w:val="18"/>
          <w:szCs w:val="18"/>
          <w:u w:val="single" w:color="auto"/>
          <w:color w:val="auto"/>
        </w:rPr>
        <w:t>Initial Term</w:t>
      </w:r>
      <w:r>
        <w:rPr>
          <w:rFonts w:ascii="Arial" w:cs="Arial" w:eastAsia="Arial" w:hAnsi="Arial"/>
          <w:sz w:val="18"/>
          <w:szCs w:val="18"/>
          <w:color w:val="auto"/>
        </w:rPr>
        <w:t>”). The Initial Term shall automatically renew for an unlimited number of one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57" w:name="page358"/>
    <w:bookmarkEnd w:id="357"/>
    <w:p>
      <w:pPr>
        <w:ind w:left="42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year renewal terms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unless one Party provides the other with written notice of its intent to terminate not less than one hundred eighty (180) days prior to the end of the then-current Initial Term or Renewal Term. The Initial Term and any subsequent Renewal Term shall comprise the “Term” of this Agreement. Notwithstanding any provision herein to the contrary, this Agreement shall continue on the same commercial terms and conditions until the completion of the Transition.</w:t>
      </w:r>
    </w:p>
    <w:p>
      <w:pPr>
        <w:spacing w:after="0" w:line="88" w:lineRule="exact"/>
        <w:rPr>
          <w:sz w:val="20"/>
          <w:szCs w:val="20"/>
          <w:color w:val="auto"/>
        </w:rPr>
      </w:pPr>
    </w:p>
    <w:p>
      <w:pPr>
        <w:ind w:left="424" w:hanging="424"/>
        <w:spacing w:after="0" w:line="282" w:lineRule="auto"/>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A Party may, by giving written prior notice to the other Party, elect to terminate this Agreement in the event that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w:t>
      </w:r>
    </w:p>
    <w:p>
      <w:pPr>
        <w:spacing w:after="0" w:line="71" w:lineRule="exact"/>
        <w:rPr>
          <w:sz w:val="20"/>
          <w:szCs w:val="20"/>
          <w:color w:val="auto"/>
        </w:rPr>
      </w:pPr>
    </w:p>
    <w:p>
      <w:pPr>
        <w:ind w:left="964" w:right="20" w:hanging="532"/>
        <w:spacing w:after="0" w:line="301" w:lineRule="auto"/>
        <w:tabs>
          <w:tab w:leader="none" w:pos="96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commits a material breach of this Agreement, which breach is not cured within thirty (30) days after notice specifying the nature and extent of such breach; provided, however, that if such matter is a non-monetary breach and is not reasonably susceptible of cure within such thirty (30) day period, such period shall be extended and the Party shall not be in default hereunder so long as it commences such cure within such thirty (30) day period and diligently pursues such cure to completion within ninety (90) days after such notice; or</w:t>
      </w:r>
    </w:p>
    <w:p>
      <w:pPr>
        <w:spacing w:after="0" w:line="62" w:lineRule="exact"/>
        <w:rPr>
          <w:rFonts w:ascii="Arial" w:cs="Arial" w:eastAsia="Arial" w:hAnsi="Arial"/>
          <w:sz w:val="16"/>
          <w:szCs w:val="16"/>
          <w:color w:val="auto"/>
        </w:rPr>
      </w:pPr>
    </w:p>
    <w:p>
      <w:pPr>
        <w:ind w:left="964" w:hanging="532"/>
        <w:spacing w:after="0"/>
        <w:tabs>
          <w:tab w:leader="none" w:pos="96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commits numerous breaches of its duties or obligations which collectively constitute a material breach of this Agreement; or</w:t>
      </w:r>
    </w:p>
    <w:p>
      <w:pPr>
        <w:spacing w:after="0" w:line="130" w:lineRule="exact"/>
        <w:rPr>
          <w:rFonts w:ascii="Arial" w:cs="Arial" w:eastAsia="Arial" w:hAnsi="Arial"/>
          <w:sz w:val="18"/>
          <w:szCs w:val="18"/>
          <w:color w:val="auto"/>
        </w:rPr>
      </w:pPr>
    </w:p>
    <w:p>
      <w:pPr>
        <w:ind w:left="964" w:right="420" w:hanging="532"/>
        <w:spacing w:after="0" w:line="277" w:lineRule="auto"/>
        <w:tabs>
          <w:tab w:leader="none" w:pos="96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has a petition filed by or against it under applicable bankruptcy law seeking the liquidation of such Party’s assets which petition is not dismissed within thirty (30) days.</w:t>
      </w:r>
    </w:p>
    <w:p>
      <w:pPr>
        <w:spacing w:after="0" w:line="75" w:lineRule="exact"/>
        <w:rPr>
          <w:rFonts w:ascii="Arial" w:cs="Arial" w:eastAsia="Arial" w:hAnsi="Arial"/>
          <w:sz w:val="18"/>
          <w:szCs w:val="18"/>
          <w:color w:val="auto"/>
        </w:rPr>
      </w:pPr>
    </w:p>
    <w:p>
      <w:pPr>
        <w:ind w:left="964" w:right="180" w:hanging="532"/>
        <w:spacing w:after="0" w:line="263" w:lineRule="auto"/>
        <w:tabs>
          <w:tab w:leader="none" w:pos="96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Either Party may terminate this Agreement upon ninety (90) days’ notice to the other Party in the event of a regulatory change (including Issuing Bank requirements), or such shorter notice to avoid violating Applicable Law or such change, that has or is likely to have a material adverse impact on the anticipated economic benefits of this Agreement for such Party.</w:t>
      </w:r>
    </w:p>
    <w:p>
      <w:pPr>
        <w:spacing w:after="0" w:line="89" w:lineRule="exact"/>
        <w:rPr>
          <w:rFonts w:ascii="Arial" w:cs="Arial" w:eastAsia="Arial" w:hAnsi="Arial"/>
          <w:sz w:val="18"/>
          <w:szCs w:val="18"/>
          <w:color w:val="auto"/>
        </w:rPr>
      </w:pPr>
    </w:p>
    <w:p>
      <w:pPr>
        <w:ind w:left="964" w:right="120" w:hanging="532"/>
        <w:spacing w:after="0" w:line="301" w:lineRule="auto"/>
        <w:tabs>
          <w:tab w:leader="none" w:pos="96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Notwithstanding any other provision herein to the contrary, the Parties acknowledge and agree that Client’s failure to pay undisputed charges when such payments are due shall constitute a material breach of this Agreement, and when such failure to pay continues uncured for five (5) business days following the written notice required by Section 3(b)(i)(1) of these Program Terms, then Marqeta may, without waiving its right to payment, cease performing the Services until the dispute regarding Client’s failure to pay is resolved.</w:t>
      </w:r>
    </w:p>
    <w:p>
      <w:pPr>
        <w:spacing w:after="0" w:line="62" w:lineRule="exact"/>
        <w:rPr>
          <w:rFonts w:ascii="Arial" w:cs="Arial" w:eastAsia="Arial" w:hAnsi="Arial"/>
          <w:sz w:val="16"/>
          <w:szCs w:val="16"/>
          <w:color w:val="auto"/>
        </w:rPr>
      </w:pPr>
    </w:p>
    <w:p>
      <w:pPr>
        <w:ind w:left="964" w:hanging="532"/>
        <w:spacing w:after="0"/>
        <w:tabs>
          <w:tab w:leader="none" w:pos="96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Any notice of termination by Client shall include a proposed date for initiation of Transition, if any.</w:t>
      </w:r>
    </w:p>
    <w:p>
      <w:pPr>
        <w:spacing w:after="0" w:line="126" w:lineRule="exact"/>
        <w:rPr>
          <w:rFonts w:ascii="Arial" w:cs="Arial" w:eastAsia="Arial" w:hAnsi="Arial"/>
          <w:sz w:val="18"/>
          <w:szCs w:val="18"/>
          <w:color w:val="auto"/>
        </w:rPr>
      </w:pPr>
    </w:p>
    <w:p>
      <w:pPr>
        <w:ind w:left="424" w:right="500" w:hanging="424"/>
        <w:spacing w:after="0" w:line="282" w:lineRule="auto"/>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Termination Upon Force Majeure</w:t>
      </w:r>
      <w:r>
        <w:rPr>
          <w:rFonts w:ascii="Arial" w:cs="Arial" w:eastAsia="Arial" w:hAnsi="Arial"/>
          <w:sz w:val="18"/>
          <w:szCs w:val="18"/>
          <w:color w:val="auto"/>
        </w:rPr>
        <w:t>. Client may terminate this Agreement in compliance with the terms of Section 16 (b)(iii)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24" w:right="140" w:hanging="424"/>
        <w:spacing w:after="0" w:line="282" w:lineRule="auto"/>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Due to Issuing Bank. </w:t>
      </w:r>
      <w:r>
        <w:rPr>
          <w:rFonts w:ascii="Arial" w:cs="Arial" w:eastAsia="Arial" w:hAnsi="Arial"/>
          <w:sz w:val="18"/>
          <w:szCs w:val="18"/>
          <w:color w:val="auto"/>
        </w:rPr>
        <w:t>Marqeta may terminate this Agreement upon 180 days’ written notice (or such shorter time, as applicable) if</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do so by Issuing Bank or any regulator with jurisdiction over Issuing Bank or Marqeta.</w:t>
      </w:r>
    </w:p>
    <w:p>
      <w:pPr>
        <w:spacing w:after="0" w:line="67" w:lineRule="exact"/>
        <w:rPr>
          <w:rFonts w:ascii="Arial" w:cs="Arial" w:eastAsia="Arial" w:hAnsi="Arial"/>
          <w:sz w:val="18"/>
          <w:szCs w:val="18"/>
          <w:color w:val="auto"/>
        </w:rPr>
      </w:pPr>
    </w:p>
    <w:p>
      <w:pPr>
        <w:ind w:left="424" w:hanging="424"/>
        <w:spacing w:after="0"/>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Termination for Convenience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 w:right="60" w:firstLine="987"/>
        <w:spacing w:after="0" w:line="311" w:lineRule="auto"/>
        <w:tabs>
          <w:tab w:leader="none" w:pos="1300" w:val="left"/>
        </w:tabs>
        <w:numPr>
          <w:ilvl w:val="2"/>
          <w:numId w:val="269"/>
        </w:numPr>
        <w:rPr>
          <w:rFonts w:ascii="Arial" w:cs="Arial" w:eastAsia="Arial" w:hAnsi="Arial"/>
          <w:sz w:val="16"/>
          <w:szCs w:val="16"/>
          <w:color w:val="auto"/>
        </w:rPr>
      </w:pPr>
      <w:r>
        <w:rPr>
          <w:rFonts w:ascii="Arial" w:cs="Arial" w:eastAsia="Arial" w:hAnsi="Arial"/>
          <w:sz w:val="16"/>
          <w:szCs w:val="16"/>
          <w:color w:val="auto"/>
        </w:rPr>
        <w:t>Client shall have the right to terminate this Agreement for any reason or no reason within the first two (2) calendar weeks after the Effective Date (the “Early Termination Date”) by giving notice to Marqeta; provided, however, that if Client exercises the foregoing right of termination Client (i) shall pay Marqeta the [***] detailed in Schedule D in accordance with Section 8(a)(i) of Schedule B, and (ii) shall not be subject to any [***].</w:t>
      </w:r>
    </w:p>
    <w:p>
      <w:pPr>
        <w:spacing w:after="0" w:line="148" w:lineRule="exact"/>
        <w:rPr>
          <w:rFonts w:ascii="Arial" w:cs="Arial" w:eastAsia="Arial" w:hAnsi="Arial"/>
          <w:sz w:val="16"/>
          <w:szCs w:val="16"/>
          <w:color w:val="auto"/>
        </w:rPr>
      </w:pPr>
    </w:p>
    <w:p>
      <w:pPr>
        <w:ind w:left="4" w:right="100" w:firstLine="987"/>
        <w:spacing w:after="0" w:line="263" w:lineRule="auto"/>
        <w:tabs>
          <w:tab w:leader="none" w:pos="1300" w:val="left"/>
        </w:tabs>
        <w:numPr>
          <w:ilvl w:val="2"/>
          <w:numId w:val="269"/>
        </w:numPr>
        <w:rPr>
          <w:rFonts w:ascii="Arial" w:cs="Arial" w:eastAsia="Arial" w:hAnsi="Arial"/>
          <w:sz w:val="18"/>
          <w:szCs w:val="18"/>
          <w:color w:val="auto"/>
        </w:rPr>
      </w:pPr>
      <w:r>
        <w:rPr>
          <w:rFonts w:ascii="Arial" w:cs="Arial" w:eastAsia="Arial" w:hAnsi="Arial"/>
          <w:sz w:val="18"/>
          <w:szCs w:val="18"/>
          <w:color w:val="auto"/>
        </w:rPr>
        <w:t>After the Early Termination Date, Client shall have the right to terminate this Agreement for any reason or no reason at any time after the Go-Live Date, by giving not less than ninety (90) days’ prior written notice to Marqeta; provided, however, that if Client exercises the foregoing right of termination, Client shall pay Marqeta an amount equal to [***].</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358" w:name="page359"/>
    <w:bookmarkEnd w:id="358"/>
    <w:p>
      <w:pPr>
        <w:ind w:left="544" w:hanging="544"/>
        <w:spacing w:after="0" w:line="256" w:lineRule="auto"/>
        <w:tabs>
          <w:tab w:leader="none" w:pos="544"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Post Termination</w:t>
      </w:r>
      <w:r>
        <w:rPr>
          <w:rFonts w:ascii="Arial" w:cs="Arial" w:eastAsia="Arial" w:hAnsi="Arial"/>
          <w:sz w:val="18"/>
          <w:szCs w:val="18"/>
          <w:color w:val="auto"/>
        </w:rPr>
        <w:t>. Upon termination or expiration of this Agreement for any reason, Client shall only be responsible for the payment of Fees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provided by Marqeta and accrued, due and payable by Client up to and including the later of the date of such expiration or termination or the completion of the Transition of all Client Accounts. Within 30 days after the effective date of termination of this Agreement, Marqeta will return, by ACH or wire transfer (as directed by Client), to the Client Bank Account all of Client’s funds held in the Custodial Account that have not been loaded onto Cards and remaining balances on Cards (as adjusted for settlement on, disputes and chargebacks on Cards occurring on and after the end of the Term).</w:t>
      </w:r>
    </w:p>
    <w:p>
      <w:pPr>
        <w:spacing w:after="0" w:line="92" w:lineRule="exact"/>
        <w:rPr>
          <w:rFonts w:ascii="Arial" w:cs="Arial" w:eastAsia="Arial" w:hAnsi="Arial"/>
          <w:sz w:val="18"/>
          <w:szCs w:val="18"/>
          <w:color w:val="auto"/>
        </w:rPr>
      </w:pPr>
    </w:p>
    <w:p>
      <w:pPr>
        <w:ind w:left="544" w:right="280" w:hanging="544"/>
        <w:spacing w:after="0" w:line="266" w:lineRule="auto"/>
        <w:tabs>
          <w:tab w:leader="none" w:pos="544"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Provisions contained in this Agreement that expressly or by their sense and context are intended to survive the expiration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the Agreement shall so survive such expiration or termination, it being the intent that a claim or right which accrued to a Party prior to such expiration or termination shall not be prejudiced.</w:t>
      </w:r>
    </w:p>
    <w:p>
      <w:pPr>
        <w:spacing w:after="0" w:line="81" w:lineRule="exact"/>
        <w:rPr>
          <w:sz w:val="20"/>
          <w:szCs w:val="20"/>
          <w:color w:val="auto"/>
        </w:rPr>
      </w:pPr>
    </w:p>
    <w:p>
      <w:pPr>
        <w:jc w:val="both"/>
        <w:ind w:left="544" w:hanging="544"/>
        <w:spacing w:after="0" w:line="281" w:lineRule="auto"/>
        <w:tabs>
          <w:tab w:leader="none" w:pos="544" w:val="left"/>
        </w:tabs>
        <w:numPr>
          <w:ilvl w:val="0"/>
          <w:numId w:val="271"/>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notices required to be delivered by one Party to another under or in connection with this Agreement (other than routine operational</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or the immediate notice of delayed performance required under Section 16 (b) of the General Terms and Conditions), shall be in writing and shall be deemed sufficiently given when received, if delivered personally or by an express courier with a reliable system for tracking delivery, or if sent by United States certified mail, return receipt requested, at the addresses indicated below:</w:t>
      </w:r>
    </w:p>
    <w:p>
      <w:pPr>
        <w:sectPr>
          <w:pgSz w:w="11900" w:h="16838" w:orient="portrait"/>
          <w:cols w:equalWidth="0" w:num="1">
            <w:col w:w="10984"/>
          </w:cols>
          <w:pgMar w:left="436" w:top="270" w:right="479" w:bottom="1440" w:gutter="0" w:footer="0" w:header="0"/>
        </w:sectPr>
      </w:pP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If to Client: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Ayo Omojola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Square,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1455 Market St.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Suite 600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 94103</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Marqeta: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Omri Dahan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Revenue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Marqeta,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6201-B Doyle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Emeryville, CA 94608</w:t>
      </w:r>
    </w:p>
    <w:p>
      <w:pPr>
        <w:spacing w:after="0" w:line="200" w:lineRule="exact"/>
        <w:rPr>
          <w:sz w:val="20"/>
          <w:szCs w:val="20"/>
          <w:color w:val="auto"/>
        </w:rPr>
      </w:pPr>
    </w:p>
    <w:p>
      <w:pPr>
        <w:sectPr>
          <w:pgSz w:w="11900" w:h="16838" w:orient="portrait"/>
          <w:cols w:equalWidth="0" w:num="2">
            <w:col w:w="5564" w:space="720"/>
            <w:col w:w="4700"/>
          </w:cols>
          <w:pgMar w:left="436" w:top="270" w:right="479" w:bottom="1440" w:gutter="0" w:footer="0" w:header="0"/>
          <w:type w:val="continuous"/>
        </w:sectPr>
      </w:pPr>
    </w:p>
    <w:p>
      <w:pPr>
        <w:spacing w:after="0" w:line="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Square,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1455 Market St.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Suite 600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 94103</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Gizelle Barany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Marqeta,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6201-B Doyle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Emeryville, CA 94608</w:t>
      </w:r>
    </w:p>
    <w:p>
      <w:pPr>
        <w:spacing w:after="0" w:line="427" w:lineRule="exact"/>
        <w:rPr>
          <w:sz w:val="20"/>
          <w:szCs w:val="20"/>
          <w:color w:val="auto"/>
        </w:rPr>
      </w:pPr>
    </w:p>
    <w:p>
      <w:pPr>
        <w:sectPr>
          <w:pgSz w:w="11900" w:h="16838" w:orient="portrait"/>
          <w:cols w:equalWidth="0" w:num="2">
            <w:col w:w="5564" w:space="720"/>
            <w:col w:w="4700"/>
          </w:cols>
          <w:pgMar w:left="436" w:top="270" w:right="479" w:bottom="1440" w:gutter="0" w:footer="0" w:header="0"/>
          <w:type w:val="continuous"/>
        </w:sectPr>
      </w:pPr>
    </w:p>
    <w:p>
      <w:pPr>
        <w:spacing w:after="0" w:line="24"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A Party may from time to time change its address or designee for notification purposes by giving the other Party prior written notice of the new address or designee and the date upon which it will become effective.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type w:val="continuous"/>
        </w:sectPr>
      </w:pPr>
    </w:p>
    <w:bookmarkStart w:id="359" w:name="page360"/>
    <w:bookmarkEnd w:id="35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ONDITIONS</w:t>
      </w:r>
    </w:p>
    <w:p>
      <w:pPr>
        <w:spacing w:after="0" w:line="252" w:lineRule="exact"/>
        <w:rPr>
          <w:sz w:val="20"/>
          <w:szCs w:val="20"/>
          <w:color w:val="auto"/>
        </w:rPr>
      </w:pPr>
    </w:p>
    <w:p>
      <w:pPr>
        <w:ind w:left="544" w:right="180" w:hanging="544"/>
        <w:spacing w:after="0" w:line="282" w:lineRule="auto"/>
        <w:tabs>
          <w:tab w:leader="none" w:pos="544"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ARQETA</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ERFORMANCE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TANDARDS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b w:val="1"/>
          <w:bCs w:val="1"/>
          <w:color w:val="auto"/>
        </w:rPr>
        <w:t>. General</w:t>
      </w:r>
      <w:r>
        <w:rPr>
          <w:rFonts w:ascii="Arial" w:cs="Arial" w:eastAsia="Arial" w:hAnsi="Arial"/>
          <w:sz w:val="18"/>
          <w:szCs w:val="18"/>
          <w:color w:val="auto"/>
        </w:rPr>
        <w:t>. Performance standards for the provision of certain components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(the “</w:t>
      </w:r>
      <w:r>
        <w:rPr>
          <w:rFonts w:ascii="Arial" w:cs="Arial" w:eastAsia="Arial" w:hAnsi="Arial"/>
          <w:sz w:val="18"/>
          <w:szCs w:val="18"/>
          <w:u w:val="single" w:color="auto"/>
          <w:color w:val="auto"/>
        </w:rPr>
        <w:t>Performance Standards</w:t>
      </w:r>
      <w:r>
        <w:rPr>
          <w:rFonts w:ascii="Arial" w:cs="Arial" w:eastAsia="Arial" w:hAnsi="Arial"/>
          <w:sz w:val="18"/>
          <w:szCs w:val="18"/>
          <w:color w:val="auto"/>
        </w:rPr>
        <w:t xml:space="preserve">”) are set forth in </w:t>
      </w:r>
      <w:r>
        <w:rPr>
          <w:rFonts w:ascii="Arial" w:cs="Arial" w:eastAsia="Arial" w:hAnsi="Arial"/>
          <w:sz w:val="18"/>
          <w:szCs w:val="18"/>
          <w:u w:val="single" w:color="auto"/>
          <w:color w:val="auto"/>
        </w:rPr>
        <w:t>Schedule E</w:t>
      </w:r>
      <w:r>
        <w:rPr>
          <w:rFonts w:ascii="Arial" w:cs="Arial" w:eastAsia="Arial" w:hAnsi="Arial"/>
          <w:sz w:val="18"/>
          <w:szCs w:val="18"/>
          <w:color w:val="auto"/>
        </w:rPr>
        <w:t>.</w:t>
      </w:r>
    </w:p>
    <w:p>
      <w:pPr>
        <w:spacing w:after="0" w:line="67" w:lineRule="exact"/>
        <w:rPr>
          <w:sz w:val="20"/>
          <w:szCs w:val="20"/>
          <w:color w:val="auto"/>
        </w:rPr>
      </w:pPr>
    </w:p>
    <w:p>
      <w:pPr>
        <w:ind w:left="544" w:right="20" w:hanging="544"/>
        <w:spacing w:after="0" w:line="256" w:lineRule="auto"/>
        <w:tabs>
          <w:tab w:leader="none" w:pos="544"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Failure to Meet Performance Standards</w:t>
      </w:r>
      <w:r>
        <w:rPr>
          <w:rFonts w:ascii="Arial" w:cs="Arial" w:eastAsia="Arial" w:hAnsi="Arial"/>
          <w:sz w:val="18"/>
          <w:szCs w:val="18"/>
          <w:color w:val="auto"/>
        </w:rPr>
        <w:t>. If Marqeta fails to meet a Performance Standard, Marqeta shall (i) investigate and report to Client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root cause(s) of such failure; (ii) advise Client of the status of remedial efforts being undertaken with respect to such failure; (iii) notify Client of the steps which Marqeta believes should be taken to correct the cause of such failure; and (iv) correct the cause of such failure. The failure of Marqeta to meet a Performance Standard shall not constitute a breach of the Agreement unless such failure constitutes a Severity [***] failure and such failure (a) is result of a breach of the Standard of Care; or (b) occurs in [***]; or (c) such failure constitutes a Severity 0 or [***] and aggregates to more than [***].</w:t>
      </w:r>
    </w:p>
    <w:p>
      <w:pPr>
        <w:spacing w:after="0" w:line="92" w:lineRule="exact"/>
        <w:rPr>
          <w:rFonts w:ascii="Arial" w:cs="Arial" w:eastAsia="Arial" w:hAnsi="Arial"/>
          <w:sz w:val="18"/>
          <w:szCs w:val="18"/>
          <w:color w:val="auto"/>
        </w:rPr>
      </w:pPr>
    </w:p>
    <w:p>
      <w:pPr>
        <w:ind w:left="544" w:right="160" w:hanging="544"/>
        <w:spacing w:after="0" w:line="266" w:lineRule="auto"/>
        <w:tabs>
          <w:tab w:leader="none" w:pos="544"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Marqeta Compliance</w:t>
      </w:r>
      <w:r>
        <w:rPr>
          <w:rFonts w:ascii="Arial" w:cs="Arial" w:eastAsia="Arial" w:hAnsi="Arial"/>
          <w:sz w:val="18"/>
          <w:szCs w:val="18"/>
          <w:color w:val="auto"/>
        </w:rPr>
        <w:t>. Marqeta is solely responsible for compliance with all Applicable Law, which is applicable to Marqeta’s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Services under this Agreement (the “</w:t>
      </w:r>
      <w:r>
        <w:rPr>
          <w:rFonts w:ascii="Arial" w:cs="Arial" w:eastAsia="Arial" w:hAnsi="Arial"/>
          <w:sz w:val="18"/>
          <w:szCs w:val="18"/>
          <w:u w:val="single" w:color="auto"/>
          <w:color w:val="auto"/>
        </w:rPr>
        <w:t>Marqeta Legal Requirements</w:t>
      </w:r>
      <w:r>
        <w:rPr>
          <w:rFonts w:ascii="Arial" w:cs="Arial" w:eastAsia="Arial" w:hAnsi="Arial"/>
          <w:sz w:val="18"/>
          <w:szCs w:val="18"/>
          <w:color w:val="auto"/>
        </w:rPr>
        <w:t>”). Marqeta is solely responsible for compliance with the Card Brand Rules, which are applicable to Marqeta’s performance of the Services under this Agreement.</w:t>
      </w:r>
    </w:p>
    <w:p>
      <w:pPr>
        <w:spacing w:after="0" w:line="81" w:lineRule="exact"/>
        <w:rPr>
          <w:rFonts w:ascii="Arial" w:cs="Arial" w:eastAsia="Arial" w:hAnsi="Arial"/>
          <w:sz w:val="18"/>
          <w:szCs w:val="18"/>
          <w:color w:val="auto"/>
        </w:rPr>
      </w:pPr>
    </w:p>
    <w:p>
      <w:pPr>
        <w:ind w:left="544" w:hanging="544"/>
        <w:spacing w:after="0" w:line="303" w:lineRule="auto"/>
        <w:tabs>
          <w:tab w:leader="none" w:pos="544" w:val="left"/>
        </w:tabs>
        <w:numPr>
          <w:ilvl w:val="0"/>
          <w:numId w:val="273"/>
        </w:numPr>
        <w:rPr>
          <w:rFonts w:ascii="Arial" w:cs="Arial" w:eastAsia="Arial" w:hAnsi="Arial"/>
          <w:sz w:val="16"/>
          <w:szCs w:val="16"/>
          <w:color w:val="auto"/>
        </w:rPr>
      </w:pPr>
      <w:r>
        <w:rPr>
          <w:rFonts w:ascii="Arial" w:cs="Arial" w:eastAsia="Arial" w:hAnsi="Arial"/>
          <w:sz w:val="16"/>
          <w:szCs w:val="16"/>
          <w:b w:val="1"/>
          <w:bCs w:val="1"/>
          <w:color w:val="auto"/>
        </w:rPr>
        <w:t xml:space="preserve">Marqeta Cooperation. </w:t>
      </w:r>
      <w:r>
        <w:rPr>
          <w:rFonts w:ascii="Arial" w:cs="Arial" w:eastAsia="Arial" w:hAnsi="Arial"/>
          <w:sz w:val="16"/>
          <w:szCs w:val="16"/>
          <w:color w:val="auto"/>
        </w:rPr>
        <w:t>Marqeta shall cooperate on a timely basis with Client as reasonably necessary to enable Client to fulfill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responsibilities under this Agreement. If Marqeta does not so cooperate on a timely basis and the same results in Client’s inability in performing its obligations under this Agreement, Client shall not be liable for non-performance of its obligations to such extent. In performing its obligations and responsibilities under this Agreement, Client shall be entitled to rely on information provided by Marqeta to Client.</w:t>
      </w:r>
    </w:p>
    <w:p>
      <w:pPr>
        <w:spacing w:after="0" w:line="56" w:lineRule="exact"/>
        <w:rPr>
          <w:rFonts w:ascii="Arial" w:cs="Arial" w:eastAsia="Arial" w:hAnsi="Arial"/>
          <w:sz w:val="16"/>
          <w:szCs w:val="16"/>
          <w:color w:val="auto"/>
        </w:rPr>
      </w:pPr>
    </w:p>
    <w:p>
      <w:pPr>
        <w:ind w:left="544" w:right="60" w:hanging="544"/>
        <w:spacing w:after="0" w:line="282" w:lineRule="auto"/>
        <w:tabs>
          <w:tab w:leader="none" w:pos="544"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 xml:space="preserve">Marqeta Personnel. </w:t>
      </w:r>
      <w:r>
        <w:rPr>
          <w:rFonts w:ascii="Arial" w:cs="Arial" w:eastAsia="Arial" w:hAnsi="Arial"/>
          <w:sz w:val="18"/>
          <w:szCs w:val="18"/>
          <w:color w:val="auto"/>
        </w:rPr>
        <w:t>Marqeta shall be responsible for the acts or omissions and for the services and functions performed by Marqeta or Marqeta</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on behalf of Marqeta.</w:t>
      </w:r>
    </w:p>
    <w:p>
      <w:pPr>
        <w:spacing w:after="0" w:line="67" w:lineRule="exact"/>
        <w:rPr>
          <w:rFonts w:ascii="Arial" w:cs="Arial" w:eastAsia="Arial" w:hAnsi="Arial"/>
          <w:sz w:val="18"/>
          <w:szCs w:val="18"/>
          <w:color w:val="auto"/>
        </w:rPr>
      </w:pPr>
    </w:p>
    <w:p>
      <w:pPr>
        <w:ind w:left="544" w:right="20" w:hanging="544"/>
        <w:spacing w:after="0" w:line="256" w:lineRule="auto"/>
        <w:tabs>
          <w:tab w:leader="none" w:pos="544"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Security Procedures</w:t>
      </w:r>
      <w:r>
        <w:rPr>
          <w:rFonts w:ascii="Arial" w:cs="Arial" w:eastAsia="Arial" w:hAnsi="Arial"/>
          <w:sz w:val="18"/>
          <w:szCs w:val="18"/>
          <w:color w:val="auto"/>
        </w:rPr>
        <w:t>. Marqeta shall (i) implement appropriate security procedures designed to (A) prevent unauthorized access to the Client</w:t>
      </w:r>
      <w:r>
        <w:rPr>
          <w:rFonts w:ascii="Arial" w:cs="Arial" w:eastAsia="Arial" w:hAnsi="Arial"/>
          <w:sz w:val="18"/>
          <w:szCs w:val="18"/>
          <w:b w:val="1"/>
          <w:bCs w:val="1"/>
          <w:color w:val="auto"/>
        </w:rPr>
        <w:t xml:space="preserve"> </w:t>
      </w:r>
      <w:r>
        <w:rPr>
          <w:rFonts w:ascii="Arial" w:cs="Arial" w:eastAsia="Arial" w:hAnsi="Arial"/>
          <w:sz w:val="18"/>
          <w:szCs w:val="18"/>
          <w:color w:val="auto"/>
        </w:rPr>
        <w:t>System through computer hardware and software systems which are owned or controlled by Marqeta, and (B) prevent unauthorized access to or use of the Client System by Marqeta’s current and former Personnel; and (ii) no later than [***] following Client’s written or e-mail request, Marqeta will, at its option, either (a) permit Client to perform vulnerability scans in a manner consistent with industry best practices of Marqeta’s systems at a mutually agreed upon time; or (b) provide Client documentation of results of scans performed by a PCI Approved Scanning Vendor (ASV).</w:t>
      </w:r>
    </w:p>
    <w:p>
      <w:pPr>
        <w:spacing w:after="0" w:line="92" w:lineRule="exact"/>
        <w:rPr>
          <w:rFonts w:ascii="Arial" w:cs="Arial" w:eastAsia="Arial" w:hAnsi="Arial"/>
          <w:sz w:val="18"/>
          <w:szCs w:val="18"/>
          <w:color w:val="auto"/>
        </w:rPr>
      </w:pPr>
    </w:p>
    <w:p>
      <w:pPr>
        <w:ind w:left="544" w:right="60" w:hanging="544"/>
        <w:spacing w:after="0" w:line="282" w:lineRule="auto"/>
        <w:tabs>
          <w:tab w:leader="none" w:pos="544"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Marqeta Performance Dependencies</w:t>
      </w:r>
      <w:r>
        <w:rPr>
          <w:rFonts w:ascii="Arial" w:cs="Arial" w:eastAsia="Arial" w:hAnsi="Arial"/>
          <w:sz w:val="18"/>
          <w:szCs w:val="18"/>
          <w:color w:val="auto"/>
        </w:rPr>
        <w:t>. Notwithstanding anything to the contrary in this Agreement, Marqeta [***]. For the avoidance of doubt,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the forgoing, Marqeta will be [***].</w:t>
      </w:r>
    </w:p>
    <w:p>
      <w:pPr>
        <w:spacing w:after="0" w:line="67" w:lineRule="exact"/>
        <w:rPr>
          <w:rFonts w:ascii="Arial" w:cs="Arial" w:eastAsia="Arial" w:hAnsi="Arial"/>
          <w:sz w:val="18"/>
          <w:szCs w:val="18"/>
          <w:color w:val="auto"/>
        </w:rPr>
      </w:pPr>
    </w:p>
    <w:p>
      <w:pPr>
        <w:ind w:left="544" w:right="360" w:hanging="544"/>
        <w:spacing w:after="0" w:line="312" w:lineRule="auto"/>
        <w:tabs>
          <w:tab w:leader="none" w:pos="544" w:val="left"/>
        </w:tabs>
        <w:numPr>
          <w:ilvl w:val="0"/>
          <w:numId w:val="273"/>
        </w:numPr>
        <w:rPr>
          <w:rFonts w:ascii="Arial" w:cs="Arial" w:eastAsia="Arial" w:hAnsi="Arial"/>
          <w:sz w:val="17"/>
          <w:szCs w:val="17"/>
          <w:color w:val="auto"/>
        </w:rPr>
      </w:pPr>
      <w:r>
        <w:rPr>
          <w:rFonts w:ascii="Arial" w:cs="Arial" w:eastAsia="Arial" w:hAnsi="Arial"/>
          <w:sz w:val="17"/>
          <w:szCs w:val="17"/>
          <w:b w:val="1"/>
          <w:bCs w:val="1"/>
          <w:color w:val="auto"/>
        </w:rPr>
        <w:t>Intellectual Property</w:t>
      </w:r>
      <w:r>
        <w:rPr>
          <w:rFonts w:ascii="Arial" w:cs="Arial" w:eastAsia="Arial" w:hAnsi="Arial"/>
          <w:sz w:val="17"/>
          <w:szCs w:val="17"/>
          <w:color w:val="auto"/>
        </w:rPr>
        <w:t>. Client shall not, willfully and knowingly, violate any Intellectual Property Rights of any third party, including patent,</w:t>
      </w:r>
      <w:r>
        <w:rPr>
          <w:rFonts w:ascii="Arial" w:cs="Arial" w:eastAsia="Arial" w:hAnsi="Arial"/>
          <w:sz w:val="17"/>
          <w:szCs w:val="17"/>
          <w:b w:val="1"/>
          <w:bCs w:val="1"/>
          <w:color w:val="auto"/>
        </w:rPr>
        <w:t xml:space="preserve"> </w:t>
      </w:r>
      <w:r>
        <w:rPr>
          <w:rFonts w:ascii="Arial" w:cs="Arial" w:eastAsia="Arial" w:hAnsi="Arial"/>
          <w:sz w:val="17"/>
          <w:szCs w:val="17"/>
          <w:color w:val="auto"/>
        </w:rPr>
        <w:t>Trade Secrets, copyright and any other Intellectual Property Rights in connection with its provision of the Services.</w:t>
      </w:r>
    </w:p>
    <w:p>
      <w:pPr>
        <w:spacing w:after="0" w:line="288" w:lineRule="exact"/>
        <w:rPr>
          <w:sz w:val="20"/>
          <w:szCs w:val="20"/>
          <w:color w:val="auto"/>
        </w:rPr>
      </w:pPr>
    </w:p>
    <w:p>
      <w:pPr>
        <w:ind w:left="544" w:hanging="544"/>
        <w:spacing w:after="0"/>
        <w:tabs>
          <w:tab w:leader="none" w:pos="544"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LIENT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ESPONSIBILITIES</w:t>
      </w:r>
      <w:r>
        <w:rPr>
          <w:rFonts w:ascii="Arial" w:cs="Arial" w:eastAsia="Arial" w:hAnsi="Arial"/>
          <w:sz w:val="18"/>
          <w:szCs w:val="18"/>
          <w:color w:val="auto"/>
        </w:rPr>
        <w:t>.</w:t>
      </w:r>
    </w:p>
    <w:p>
      <w:pPr>
        <w:spacing w:after="0" w:line="131" w:lineRule="exact"/>
        <w:rPr>
          <w:sz w:val="20"/>
          <w:szCs w:val="20"/>
          <w:color w:val="auto"/>
        </w:rPr>
      </w:pPr>
    </w:p>
    <w:p>
      <w:pPr>
        <w:ind w:left="544" w:right="200" w:hanging="544"/>
        <w:spacing w:after="0" w:line="293" w:lineRule="auto"/>
        <w:tabs>
          <w:tab w:leader="none" w:pos="544" w:val="left"/>
        </w:tabs>
        <w:numPr>
          <w:ilvl w:val="0"/>
          <w:numId w:val="275"/>
        </w:numPr>
        <w:rPr>
          <w:rFonts w:ascii="Arial" w:cs="Arial" w:eastAsia="Arial" w:hAnsi="Arial"/>
          <w:sz w:val="16"/>
          <w:szCs w:val="16"/>
          <w:color w:val="auto"/>
        </w:rPr>
      </w:pPr>
      <w:r>
        <w:rPr>
          <w:rFonts w:ascii="Arial" w:cs="Arial" w:eastAsia="Arial" w:hAnsi="Arial"/>
          <w:sz w:val="16"/>
          <w:szCs w:val="16"/>
          <w:b w:val="1"/>
          <w:bCs w:val="1"/>
          <w:color w:val="auto"/>
        </w:rPr>
        <w:t xml:space="preserve">Client Obligations. </w:t>
      </w:r>
      <w:r>
        <w:rPr>
          <w:rFonts w:ascii="Arial" w:cs="Arial" w:eastAsia="Arial" w:hAnsi="Arial"/>
          <w:sz w:val="16"/>
          <w:szCs w:val="16"/>
          <w:color w:val="auto"/>
        </w:rPr>
        <w:t>Client shall provide on a timely basis (i) the material as reasonably required by Marqeta to perform the Services; d (ii) the</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and services described as the Client responsibilities in the Implementation Plan and these General Terms and Conditions; and</w:t>
      </w:r>
    </w:p>
    <w:p>
      <w:pPr>
        <w:spacing w:after="0" w:line="1" w:lineRule="exact"/>
        <w:rPr>
          <w:rFonts w:ascii="Arial" w:cs="Arial" w:eastAsia="Arial" w:hAnsi="Arial"/>
          <w:sz w:val="16"/>
          <w:szCs w:val="16"/>
          <w:color w:val="auto"/>
        </w:rPr>
      </w:pPr>
    </w:p>
    <w:p>
      <w:pPr>
        <w:ind w:left="544" w:right="100"/>
        <w:spacing w:after="0" w:line="253" w:lineRule="auto"/>
        <w:rPr>
          <w:rFonts w:ascii="Arial" w:cs="Arial" w:eastAsia="Arial" w:hAnsi="Arial"/>
          <w:sz w:val="16"/>
          <w:szCs w:val="16"/>
          <w:color w:val="auto"/>
        </w:rPr>
      </w:pPr>
      <w:r>
        <w:rPr>
          <w:rFonts w:ascii="Arial" w:cs="Arial" w:eastAsia="Arial" w:hAnsi="Arial"/>
          <w:sz w:val="18"/>
          <w:szCs w:val="18"/>
          <w:color w:val="auto"/>
        </w:rPr>
        <w:t>(iii) cooperate with Marqeta and agrees to perform activities and follow instructions reasonably required by Marqeta to enable Marqeta to fulfill its obligations and responsibilities under this Agreement and to enable the Card Program to comply with Applicable Law. Client’s obligations shall be provided using sound, professional practices and in a competent and professional manner by knowledgeable, trained and qualified personnel.</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360" w:name="page361"/>
    <w:bookmarkEnd w:id="360"/>
    <w:p>
      <w:pPr>
        <w:jc w:val="both"/>
        <w:ind w:left="424" w:right="100" w:hanging="424"/>
        <w:spacing w:after="0" w:line="293" w:lineRule="auto"/>
        <w:tabs>
          <w:tab w:leader="none" w:pos="424" w:val="left"/>
        </w:tabs>
        <w:numPr>
          <w:ilvl w:val="0"/>
          <w:numId w:val="27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Client Performance Dependencies</w:t>
      </w:r>
      <w:r>
        <w:rPr>
          <w:rFonts w:ascii="Arial" w:cs="Arial" w:eastAsia="Arial" w:hAnsi="Arial"/>
          <w:sz w:val="16"/>
          <w:szCs w:val="16"/>
          <w:color w:val="auto"/>
        </w:rPr>
        <w:t>. Notwithstanding anything to the contrary in this Agreement, Client will not be in breach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liable for non-performance of its obligations to the extent that its failure to perform an obligation under this Agreement is a result of</w:t>
      </w:r>
    </w:p>
    <w:p>
      <w:pPr>
        <w:spacing w:after="0" w:line="1" w:lineRule="exact"/>
        <w:rPr>
          <w:rFonts w:ascii="Arial" w:cs="Arial" w:eastAsia="Arial" w:hAnsi="Arial"/>
          <w:sz w:val="16"/>
          <w:szCs w:val="16"/>
          <w:color w:val="auto"/>
        </w:rPr>
      </w:pPr>
    </w:p>
    <w:p>
      <w:pPr>
        <w:ind w:left="424" w:right="140"/>
        <w:spacing w:after="0" w:line="260" w:lineRule="auto"/>
        <w:rPr>
          <w:rFonts w:ascii="Arial" w:cs="Arial" w:eastAsia="Arial" w:hAnsi="Arial"/>
          <w:sz w:val="16"/>
          <w:szCs w:val="16"/>
          <w:color w:val="auto"/>
        </w:rPr>
      </w:pPr>
      <w:r>
        <w:rPr>
          <w:rFonts w:ascii="Arial" w:cs="Arial" w:eastAsia="Arial" w:hAnsi="Arial"/>
          <w:sz w:val="18"/>
          <w:szCs w:val="18"/>
          <w:color w:val="auto"/>
        </w:rPr>
        <w:t>(i) a breach by Marqeta of its obligations under the Agreement, including the Marqeta Responsibilities; or (ii) Marqeta’s failure to cooperate and perform activities reasonably required by Client on a timely basis.</w:t>
      </w:r>
    </w:p>
    <w:p>
      <w:pPr>
        <w:spacing w:after="0" w:line="86" w:lineRule="exact"/>
        <w:rPr>
          <w:rFonts w:ascii="Arial" w:cs="Arial" w:eastAsia="Arial" w:hAnsi="Arial"/>
          <w:sz w:val="16"/>
          <w:szCs w:val="16"/>
          <w:color w:val="auto"/>
        </w:rPr>
      </w:pPr>
    </w:p>
    <w:p>
      <w:pPr>
        <w:ind w:left="424" w:right="200" w:hanging="424"/>
        <w:spacing w:after="0" w:line="298" w:lineRule="auto"/>
        <w:tabs>
          <w:tab w:leader="none" w:pos="424" w:val="left"/>
        </w:tabs>
        <w:numPr>
          <w:ilvl w:val="0"/>
          <w:numId w:val="276"/>
        </w:numPr>
        <w:rPr>
          <w:rFonts w:ascii="Arial" w:cs="Arial" w:eastAsia="Arial" w:hAnsi="Arial"/>
          <w:sz w:val="16"/>
          <w:szCs w:val="16"/>
          <w:color w:val="auto"/>
        </w:rPr>
      </w:pPr>
      <w:r>
        <w:rPr>
          <w:rFonts w:ascii="Arial" w:cs="Arial" w:eastAsia="Arial" w:hAnsi="Arial"/>
          <w:sz w:val="16"/>
          <w:szCs w:val="16"/>
          <w:b w:val="1"/>
          <w:bCs w:val="1"/>
          <w:color w:val="auto"/>
        </w:rPr>
        <w:t xml:space="preserve">Review of Reports. </w:t>
      </w:r>
      <w:r>
        <w:rPr>
          <w:rFonts w:ascii="Arial" w:cs="Arial" w:eastAsia="Arial" w:hAnsi="Arial"/>
          <w:sz w:val="16"/>
          <w:szCs w:val="16"/>
          <w:color w:val="auto"/>
        </w:rPr>
        <w:t>Client agrees to periodically check reports produced by Marqeta to determine if such information is correct,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report any errors discovered to Marqeta. The efforts Marqeta takes to remedy any error shall be undertaken at no cost to Client, where such error results from the sole negligence of Marqeta or the failure of Marqeta to otherwise comply with the terms of this Agreement. [***]. Where the error results from no negligence of either Party, or from the negligence of both Parties, the Parties shall negotiate in good faith to equitably apportion the responsibility for the costs associated to remedy such error in accordance with the terms of this Agreement.</w:t>
      </w:r>
    </w:p>
    <w:p>
      <w:pPr>
        <w:spacing w:after="0" w:line="59" w:lineRule="exact"/>
        <w:rPr>
          <w:rFonts w:ascii="Arial" w:cs="Arial" w:eastAsia="Arial" w:hAnsi="Arial"/>
          <w:sz w:val="16"/>
          <w:szCs w:val="16"/>
          <w:color w:val="auto"/>
        </w:rPr>
      </w:pPr>
    </w:p>
    <w:p>
      <w:pPr>
        <w:ind w:left="424" w:right="40" w:hanging="424"/>
        <w:spacing w:after="0" w:line="277" w:lineRule="auto"/>
        <w:tabs>
          <w:tab w:leader="none" w:pos="424" w:val="left"/>
        </w:tabs>
        <w:numPr>
          <w:ilvl w:val="0"/>
          <w:numId w:val="276"/>
        </w:numPr>
        <w:rPr>
          <w:rFonts w:ascii="Arial" w:cs="Arial" w:eastAsia="Arial" w:hAnsi="Arial"/>
          <w:sz w:val="17"/>
          <w:szCs w:val="17"/>
          <w:color w:val="auto"/>
        </w:rPr>
      </w:pPr>
      <w:r>
        <w:rPr>
          <w:rFonts w:ascii="Arial" w:cs="Arial" w:eastAsia="Arial" w:hAnsi="Arial"/>
          <w:sz w:val="17"/>
          <w:szCs w:val="17"/>
          <w:b w:val="1"/>
          <w:bCs w:val="1"/>
          <w:color w:val="auto"/>
        </w:rPr>
        <w:t xml:space="preserve">Security Procedures. </w:t>
      </w:r>
      <w:r>
        <w:rPr>
          <w:rFonts w:ascii="Arial" w:cs="Arial" w:eastAsia="Arial" w:hAnsi="Arial"/>
          <w:sz w:val="17"/>
          <w:szCs w:val="17"/>
          <w:color w:val="auto"/>
        </w:rPr>
        <w:t>Client shall (i) implement appropriate security procedures designed to prevent unauthorized access to or use of the Marqeta</w:t>
      </w:r>
      <w:r>
        <w:rPr>
          <w:rFonts w:ascii="Arial" w:cs="Arial" w:eastAsia="Arial" w:hAnsi="Arial"/>
          <w:sz w:val="17"/>
          <w:szCs w:val="17"/>
          <w:b w:val="1"/>
          <w:bCs w:val="1"/>
          <w:color w:val="auto"/>
        </w:rPr>
        <w:t xml:space="preserve"> </w:t>
      </w:r>
      <w:r>
        <w:rPr>
          <w:rFonts w:ascii="Arial" w:cs="Arial" w:eastAsia="Arial" w:hAnsi="Arial"/>
          <w:sz w:val="17"/>
          <w:szCs w:val="17"/>
          <w:color w:val="auto"/>
        </w:rPr>
        <w:t>System (A) through computer hardware and software systems which are owned or controlled by Client, and (B) by Client’s current and former Personnel; and (ii) no later than [***] following Marqeta’s written or e-mail request, Client will, at its option, either (A) permit Marqeta to perform vulnerability scans in a manner consistent with industry best practices of Client’s systems at a mutually agreed upon time; or (B) provide Marqeta documentation of results of scans performed by a PCI Approved Scanning Vendor (ASV).</w:t>
      </w:r>
    </w:p>
    <w:p>
      <w:pPr>
        <w:spacing w:after="0" w:line="73" w:lineRule="exact"/>
        <w:rPr>
          <w:rFonts w:ascii="Arial" w:cs="Arial" w:eastAsia="Arial" w:hAnsi="Arial"/>
          <w:sz w:val="17"/>
          <w:szCs w:val="17"/>
          <w:color w:val="auto"/>
        </w:rPr>
      </w:pPr>
    </w:p>
    <w:p>
      <w:pPr>
        <w:ind w:left="424" w:hanging="424"/>
        <w:spacing w:after="0"/>
        <w:tabs>
          <w:tab w:leader="none" w:pos="424" w:val="left"/>
        </w:tabs>
        <w:numPr>
          <w:ilvl w:val="0"/>
          <w:numId w:val="276"/>
        </w:numPr>
        <w:rPr>
          <w:rFonts w:ascii="Arial" w:cs="Arial" w:eastAsia="Arial" w:hAnsi="Arial"/>
          <w:sz w:val="16"/>
          <w:szCs w:val="16"/>
          <w:color w:val="auto"/>
        </w:rPr>
      </w:pPr>
      <w:r>
        <w:rPr>
          <w:rFonts w:ascii="Arial" w:cs="Arial" w:eastAsia="Arial" w:hAnsi="Arial"/>
          <w:sz w:val="16"/>
          <w:szCs w:val="16"/>
          <w:b w:val="1"/>
          <w:bCs w:val="1"/>
          <w:color w:val="auto"/>
        </w:rPr>
        <w:t xml:space="preserve">Client Personnel. </w:t>
      </w:r>
      <w:r>
        <w:rPr>
          <w:rFonts w:ascii="Arial" w:cs="Arial" w:eastAsia="Arial" w:hAnsi="Arial"/>
          <w:sz w:val="16"/>
          <w:szCs w:val="16"/>
          <w:color w:val="auto"/>
        </w:rPr>
        <w:t>Client shall be responsible for the acts or omissions and for the services and functions performed by Client or Client Personnel.</w:t>
      </w:r>
    </w:p>
    <w:p>
      <w:pPr>
        <w:spacing w:after="0" w:line="153" w:lineRule="exact"/>
        <w:rPr>
          <w:rFonts w:ascii="Arial" w:cs="Arial" w:eastAsia="Arial" w:hAnsi="Arial"/>
          <w:sz w:val="16"/>
          <w:szCs w:val="16"/>
          <w:color w:val="auto"/>
        </w:rPr>
      </w:pPr>
    </w:p>
    <w:p>
      <w:pPr>
        <w:ind w:left="424" w:hanging="424"/>
        <w:spacing w:after="0" w:line="314" w:lineRule="auto"/>
        <w:tabs>
          <w:tab w:leader="none" w:pos="424" w:val="left"/>
        </w:tabs>
        <w:numPr>
          <w:ilvl w:val="0"/>
          <w:numId w:val="276"/>
        </w:numPr>
        <w:rPr>
          <w:rFonts w:ascii="Arial" w:cs="Arial" w:eastAsia="Arial" w:hAnsi="Arial"/>
          <w:sz w:val="16"/>
          <w:szCs w:val="16"/>
          <w:color w:val="auto"/>
        </w:rPr>
      </w:pPr>
      <w:r>
        <w:rPr>
          <w:rFonts w:ascii="Arial" w:cs="Arial" w:eastAsia="Arial" w:hAnsi="Arial"/>
          <w:sz w:val="16"/>
          <w:szCs w:val="16"/>
          <w:b w:val="1"/>
          <w:bCs w:val="1"/>
          <w:color w:val="auto"/>
        </w:rPr>
        <w:t xml:space="preserve">Intellectual Property. </w:t>
      </w:r>
      <w:r>
        <w:rPr>
          <w:rFonts w:ascii="Arial" w:cs="Arial" w:eastAsia="Arial" w:hAnsi="Arial"/>
          <w:sz w:val="16"/>
          <w:szCs w:val="16"/>
          <w:color w:val="auto"/>
        </w:rPr>
        <w:t>Client shall not, willfully and knowingly, violate any Intellectual Property Rights of any third party, including patent, Trade</w:t>
      </w:r>
      <w:r>
        <w:rPr>
          <w:rFonts w:ascii="Arial" w:cs="Arial" w:eastAsia="Arial" w:hAnsi="Arial"/>
          <w:sz w:val="16"/>
          <w:szCs w:val="16"/>
          <w:b w:val="1"/>
          <w:bCs w:val="1"/>
          <w:color w:val="auto"/>
        </w:rPr>
        <w:t xml:space="preserve"> </w:t>
      </w:r>
      <w:r>
        <w:rPr>
          <w:rFonts w:ascii="Arial" w:cs="Arial" w:eastAsia="Arial" w:hAnsi="Arial"/>
          <w:sz w:val="16"/>
          <w:szCs w:val="16"/>
          <w:color w:val="auto"/>
        </w:rPr>
        <w:t>Secrets, copyright and any other Intellectual Property Rights in connection with its receipt of the Services. Client shall not alter, obscure or revise any proprietary, restrictive, trademark or copyright notice included with, affixed to, or displayed in, on or by a Service or the Marqeta System.</w:t>
      </w:r>
    </w:p>
    <w:p>
      <w:pPr>
        <w:spacing w:after="0" w:line="47" w:lineRule="exact"/>
        <w:rPr>
          <w:rFonts w:ascii="Arial" w:cs="Arial" w:eastAsia="Arial" w:hAnsi="Arial"/>
          <w:sz w:val="16"/>
          <w:szCs w:val="16"/>
          <w:color w:val="auto"/>
        </w:rPr>
      </w:pPr>
    </w:p>
    <w:p>
      <w:pPr>
        <w:ind w:left="424" w:right="80" w:hanging="424"/>
        <w:spacing w:after="0" w:line="281" w:lineRule="auto"/>
        <w:tabs>
          <w:tab w:leader="none" w:pos="424" w:val="left"/>
        </w:tabs>
        <w:numPr>
          <w:ilvl w:val="0"/>
          <w:numId w:val="276"/>
        </w:numPr>
        <w:rPr>
          <w:rFonts w:ascii="Arial" w:cs="Arial" w:eastAsia="Arial" w:hAnsi="Arial"/>
          <w:sz w:val="17"/>
          <w:szCs w:val="17"/>
          <w:color w:val="auto"/>
        </w:rPr>
      </w:pPr>
      <w:r>
        <w:rPr>
          <w:rFonts w:ascii="Arial" w:cs="Arial" w:eastAsia="Arial" w:hAnsi="Arial"/>
          <w:sz w:val="17"/>
          <w:szCs w:val="17"/>
          <w:b w:val="1"/>
          <w:bCs w:val="1"/>
          <w:color w:val="auto"/>
        </w:rPr>
        <w:t xml:space="preserve">Financial Condition Review and Due Diligence Cooperation. </w:t>
      </w:r>
      <w:r>
        <w:rPr>
          <w:rFonts w:ascii="Arial" w:cs="Arial" w:eastAsia="Arial" w:hAnsi="Arial"/>
          <w:sz w:val="17"/>
          <w:szCs w:val="17"/>
          <w:color w:val="auto"/>
        </w:rPr>
        <w:t>Client acknowledges and agrees that Issuing Bank’s initial and continued</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of the Card Program and Marqeta’s willingness to provide the Services and make the Program available to Client is dependent on [***]. Client agrees to timely provide Marqeta with Client’s [***]. All information provided by Client under this Section 2(g) shall be accurate and complete. Marqeta’s and Issuing Bank’s review [***]. Marqeta or Issuing Bank will establish, and periodically review, [***].</w:t>
      </w:r>
    </w:p>
    <w:p>
      <w:pPr>
        <w:spacing w:after="0" w:line="70" w:lineRule="exact"/>
        <w:rPr>
          <w:rFonts w:ascii="Arial" w:cs="Arial" w:eastAsia="Arial" w:hAnsi="Arial"/>
          <w:sz w:val="17"/>
          <w:szCs w:val="17"/>
          <w:color w:val="auto"/>
        </w:rPr>
      </w:pPr>
    </w:p>
    <w:p>
      <w:pPr>
        <w:ind w:left="424" w:right="300" w:hanging="424"/>
        <w:spacing w:after="0" w:line="266" w:lineRule="auto"/>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Third-Party Systems</w:t>
      </w:r>
      <w:r>
        <w:rPr>
          <w:rFonts w:ascii="Arial" w:cs="Arial" w:eastAsia="Arial" w:hAnsi="Arial"/>
          <w:sz w:val="18"/>
          <w:szCs w:val="18"/>
          <w:color w:val="auto"/>
        </w:rPr>
        <w:t>. To the extent Client performs any services itself or retains third parties to do so, Client shall be solely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obtaining from owners of third party systems, and paying for, any licenses or agreements that are necessary in order for the Marqeta System to interface with such third party system.</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Client Dispute Resolution Obligations. [***].</w:t>
      </w:r>
    </w:p>
    <w:p>
      <w:pPr>
        <w:spacing w:after="0" w:line="126" w:lineRule="exact"/>
        <w:rPr>
          <w:rFonts w:ascii="Arial" w:cs="Arial" w:eastAsia="Arial" w:hAnsi="Arial"/>
          <w:sz w:val="18"/>
          <w:szCs w:val="18"/>
          <w:color w:val="auto"/>
        </w:rPr>
      </w:pPr>
    </w:p>
    <w:p>
      <w:pPr>
        <w:ind w:left="424" w:right="80" w:hanging="424"/>
        <w:spacing w:after="0" w:line="282" w:lineRule="auto"/>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Additional Due Diligence Acknowledgments</w:t>
      </w:r>
      <w:r>
        <w:rPr>
          <w:rFonts w:ascii="Arial" w:cs="Arial" w:eastAsia="Arial" w:hAnsi="Arial"/>
          <w:sz w:val="18"/>
          <w:szCs w:val="18"/>
          <w:color w:val="auto"/>
        </w:rPr>
        <w:t>. Client acknowledges and agrees that, to the extent reasonably required by Issuing Bank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its due diligence and risk compliance requirements, Marqeta may [***].</w:t>
      </w:r>
    </w:p>
    <w:p>
      <w:pPr>
        <w:spacing w:after="0" w:line="310" w:lineRule="exact"/>
        <w:rPr>
          <w:sz w:val="20"/>
          <w:szCs w:val="20"/>
          <w:color w:val="auto"/>
        </w:rPr>
      </w:pPr>
    </w:p>
    <w:p>
      <w:pPr>
        <w:ind w:left="424" w:hanging="424"/>
        <w:spacing w:after="0"/>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LIENT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 WITH</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AWS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EGULATIONS</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line="261" w:lineRule="auto"/>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 xml:space="preserve">Client Legal Requirements. </w:t>
      </w:r>
      <w:r>
        <w:rPr>
          <w:rFonts w:ascii="Arial" w:cs="Arial" w:eastAsia="Arial" w:hAnsi="Arial"/>
          <w:sz w:val="18"/>
          <w:szCs w:val="18"/>
          <w:color w:val="auto"/>
        </w:rPr>
        <w:t>Client is solely responsible for compliance with all Applicable Law applicable to the operation of its business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under this Agreement, including the Gramm-Leach-Bliley Act, the Electronic Fund Transfer Act, and all their associated rules and regulations, all Card Brand Rules, and the National Automated Clearing House Association (NACHA), and all requirements, policies and guidelines of the Issuing Bank (collectively, the “</w:t>
      </w:r>
      <w:r>
        <w:rPr>
          <w:rFonts w:ascii="Arial" w:cs="Arial" w:eastAsia="Arial" w:hAnsi="Arial"/>
          <w:sz w:val="18"/>
          <w:szCs w:val="18"/>
          <w:u w:val="single" w:color="auto"/>
          <w:color w:val="auto"/>
        </w:rPr>
        <w:t>Client Legal Requirements</w:t>
      </w:r>
      <w:r>
        <w:rPr>
          <w:rFonts w:ascii="Arial" w:cs="Arial" w:eastAsia="Arial" w:hAnsi="Arial"/>
          <w:sz w:val="18"/>
          <w:szCs w:val="18"/>
          <w:color w:val="auto"/>
        </w:rPr>
        <w: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0" w:right="479" w:bottom="1440" w:gutter="0" w:footer="0" w:header="0"/>
        </w:sectPr>
      </w:pPr>
    </w:p>
    <w:bookmarkStart w:id="361" w:name="page362"/>
    <w:bookmarkEnd w:id="361"/>
    <w:p>
      <w:pPr>
        <w:ind w:left="424" w:hanging="424"/>
        <w:spacing w:after="0"/>
        <w:tabs>
          <w:tab w:leader="none" w:pos="424"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Losses. </w:t>
      </w:r>
      <w:r>
        <w:rPr>
          <w:rFonts w:ascii="Arial" w:cs="Arial" w:eastAsia="Arial" w:hAnsi="Arial"/>
          <w:sz w:val="18"/>
          <w:szCs w:val="18"/>
          <w:color w:val="auto"/>
        </w:rPr>
        <w:t>As between Client and Marqeta, [***].</w:t>
      </w:r>
    </w:p>
    <w:p>
      <w:pPr>
        <w:spacing w:after="0" w:line="131" w:lineRule="exact"/>
        <w:rPr>
          <w:sz w:val="20"/>
          <w:szCs w:val="20"/>
          <w:color w:val="auto"/>
        </w:rPr>
      </w:pPr>
    </w:p>
    <w:p>
      <w:pPr>
        <w:ind w:left="424" w:hanging="424"/>
        <w:spacing w:after="0"/>
        <w:tabs>
          <w:tab w:leader="none" w:pos="424" w:val="left"/>
        </w:tabs>
        <w:numPr>
          <w:ilvl w:val="0"/>
          <w:numId w:val="280"/>
        </w:numPr>
        <w:rPr>
          <w:rFonts w:ascii="Arial" w:cs="Arial" w:eastAsia="Arial" w:hAnsi="Arial"/>
          <w:sz w:val="17"/>
          <w:szCs w:val="17"/>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SSUING</w:t>
      </w:r>
      <w:r>
        <w:rPr>
          <w:rFonts w:ascii="Arial" w:cs="Arial" w:eastAsia="Arial" w:hAnsi="Arial"/>
          <w:sz w:val="17"/>
          <w:szCs w:val="17"/>
          <w:b w:val="1"/>
          <w:bCs w:val="1"/>
          <w:color w:val="auto"/>
        </w:rPr>
        <w:t xml:space="preserve"> B</w:t>
      </w:r>
      <w:r>
        <w:rPr>
          <w:rFonts w:ascii="Arial" w:cs="Arial" w:eastAsia="Arial" w:hAnsi="Arial"/>
          <w:sz w:val="13"/>
          <w:szCs w:val="13"/>
          <w:b w:val="1"/>
          <w:bCs w:val="1"/>
          <w:color w:val="auto"/>
        </w:rPr>
        <w:t>ANK</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acknowledge and agree that, notwithstanding anything to the contrary in this Agreement, during the Term [***].</w:t>
      </w:r>
    </w:p>
    <w:p>
      <w:pPr>
        <w:spacing w:after="0" w:line="385" w:lineRule="exact"/>
        <w:rPr>
          <w:rFonts w:ascii="Arial" w:cs="Arial" w:eastAsia="Arial" w:hAnsi="Arial"/>
          <w:sz w:val="17"/>
          <w:szCs w:val="17"/>
          <w:color w:val="auto"/>
        </w:rPr>
      </w:pPr>
    </w:p>
    <w:p>
      <w:pPr>
        <w:ind w:left="424" w:hanging="424"/>
        <w:spacing w:after="0"/>
        <w:tabs>
          <w:tab w:leader="none" w:pos="42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ICENSES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WNERSHIP</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Client Materials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560" w:hanging="532"/>
        <w:spacing w:after="0" w:line="282" w:lineRule="auto"/>
        <w:tabs>
          <w:tab w:leader="none" w:pos="964" w:val="left"/>
        </w:tabs>
        <w:numPr>
          <w:ilvl w:val="1"/>
          <w:numId w:val="281"/>
        </w:numPr>
        <w:rPr>
          <w:rFonts w:ascii="Arial" w:cs="Arial" w:eastAsia="Arial" w:hAnsi="Arial"/>
          <w:sz w:val="18"/>
          <w:szCs w:val="18"/>
          <w:color w:val="auto"/>
        </w:rPr>
      </w:pPr>
      <w:r>
        <w:rPr>
          <w:rFonts w:ascii="Arial" w:cs="Arial" w:eastAsia="Arial" w:hAnsi="Arial"/>
          <w:sz w:val="18"/>
          <w:szCs w:val="18"/>
          <w:b w:val="1"/>
          <w:bCs w:val="1"/>
          <w:color w:val="auto"/>
        </w:rPr>
        <w:t>Grant of License</w:t>
      </w:r>
      <w:r>
        <w:rPr>
          <w:rFonts w:ascii="Arial" w:cs="Arial" w:eastAsia="Arial" w:hAnsi="Arial"/>
          <w:sz w:val="18"/>
          <w:szCs w:val="18"/>
          <w:color w:val="auto"/>
        </w:rPr>
        <w:t>. Client hereby grants to Marqeta and its Affiliates for the Term of this Agreement [***] solely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Marqeta’s performance of the Services.</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1"/>
          <w:numId w:val="281"/>
        </w:numPr>
        <w:rPr>
          <w:rFonts w:ascii="Arial" w:cs="Arial" w:eastAsia="Arial" w:hAnsi="Arial"/>
          <w:sz w:val="18"/>
          <w:szCs w:val="18"/>
          <w:color w:val="auto"/>
        </w:rPr>
      </w:pPr>
      <w:r>
        <w:rPr>
          <w:rFonts w:ascii="Arial" w:cs="Arial" w:eastAsia="Arial" w:hAnsi="Arial"/>
          <w:sz w:val="18"/>
          <w:szCs w:val="18"/>
          <w:b w:val="1"/>
          <w:bCs w:val="1"/>
          <w:color w:val="auto"/>
        </w:rPr>
        <w:t>Authority of Use</w:t>
      </w:r>
      <w:r>
        <w:rPr>
          <w:rFonts w:ascii="Arial" w:cs="Arial" w:eastAsia="Arial" w:hAnsi="Arial"/>
          <w:sz w:val="18"/>
          <w:szCs w:val="18"/>
          <w:color w:val="auto"/>
        </w:rPr>
        <w:t>. Client hereby authorizes Marqeta and its Affiliates [***], in and to the Client Materials.</w:t>
      </w:r>
    </w:p>
    <w:p>
      <w:pPr>
        <w:spacing w:after="0" w:line="130" w:lineRule="exact"/>
        <w:rPr>
          <w:rFonts w:ascii="Arial" w:cs="Arial" w:eastAsia="Arial" w:hAnsi="Arial"/>
          <w:sz w:val="18"/>
          <w:szCs w:val="18"/>
          <w:color w:val="auto"/>
        </w:rPr>
      </w:pPr>
    </w:p>
    <w:p>
      <w:pPr>
        <w:ind w:left="964" w:right="240" w:hanging="532"/>
        <w:spacing w:after="0" w:line="266" w:lineRule="auto"/>
        <w:tabs>
          <w:tab w:leader="none" w:pos="964" w:val="left"/>
        </w:tabs>
        <w:numPr>
          <w:ilvl w:val="1"/>
          <w:numId w:val="281"/>
        </w:numPr>
        <w:rPr>
          <w:rFonts w:ascii="Arial" w:cs="Arial" w:eastAsia="Arial" w:hAnsi="Arial"/>
          <w:sz w:val="18"/>
          <w:szCs w:val="18"/>
          <w:color w:val="auto"/>
        </w:rPr>
      </w:pPr>
      <w:r>
        <w:rPr>
          <w:rFonts w:ascii="Arial" w:cs="Arial" w:eastAsia="Arial" w:hAnsi="Arial"/>
          <w:sz w:val="18"/>
          <w:szCs w:val="18"/>
          <w:b w:val="1"/>
          <w:bCs w:val="1"/>
          <w:color w:val="auto"/>
        </w:rPr>
        <w:t>Approval Procedures</w:t>
      </w:r>
      <w:r>
        <w:rPr>
          <w:rFonts w:ascii="Arial" w:cs="Arial" w:eastAsia="Arial" w:hAnsi="Arial"/>
          <w:sz w:val="18"/>
          <w:szCs w:val="18"/>
          <w:color w:val="auto"/>
        </w:rPr>
        <w:t>. Marqeta will submit to Client, for its prior written approval, samples of each of the proposed uses of Client</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Client shall attach its written approval to the pieces that are submitted. Client shall promptly render its approval or reasonable objection within [***] of receipt of materials; [***].</w:t>
      </w:r>
    </w:p>
    <w:p>
      <w:pPr>
        <w:spacing w:after="0" w:line="324" w:lineRule="exact"/>
        <w:rPr>
          <w:rFonts w:ascii="Arial" w:cs="Arial" w:eastAsia="Arial" w:hAnsi="Arial"/>
          <w:sz w:val="18"/>
          <w:szCs w:val="18"/>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Marqeta Materials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60" w:hanging="532"/>
        <w:spacing w:after="0" w:line="347" w:lineRule="auto"/>
        <w:tabs>
          <w:tab w:leader="none" w:pos="964" w:val="left"/>
        </w:tabs>
        <w:numPr>
          <w:ilvl w:val="1"/>
          <w:numId w:val="281"/>
        </w:numPr>
        <w:rPr>
          <w:rFonts w:ascii="Arial" w:cs="Arial" w:eastAsia="Arial" w:hAnsi="Arial"/>
          <w:sz w:val="16"/>
          <w:szCs w:val="16"/>
          <w:color w:val="auto"/>
        </w:rPr>
      </w:pPr>
      <w:r>
        <w:rPr>
          <w:rFonts w:ascii="Arial" w:cs="Arial" w:eastAsia="Arial" w:hAnsi="Arial"/>
          <w:sz w:val="16"/>
          <w:szCs w:val="16"/>
          <w:b w:val="1"/>
          <w:bCs w:val="1"/>
          <w:color w:val="auto"/>
        </w:rPr>
        <w:t>Grant of License</w:t>
      </w:r>
      <w:r>
        <w:rPr>
          <w:rFonts w:ascii="Arial" w:cs="Arial" w:eastAsia="Arial" w:hAnsi="Arial"/>
          <w:sz w:val="16"/>
          <w:szCs w:val="16"/>
          <w:color w:val="auto"/>
        </w:rPr>
        <w:t>. Marqeta hereby grants to Client for the Term of this Agreement a royalty-free, nonexclusive, non-transferable,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non-sublicenseable right and license to use Marqeta Materials solely in connection with the Card Program and Client’s use of the Services.</w:t>
      </w:r>
    </w:p>
    <w:p>
      <w:pPr>
        <w:spacing w:after="0" w:line="21" w:lineRule="exact"/>
        <w:rPr>
          <w:rFonts w:ascii="Arial" w:cs="Arial" w:eastAsia="Arial" w:hAnsi="Arial"/>
          <w:sz w:val="16"/>
          <w:szCs w:val="16"/>
          <w:color w:val="auto"/>
        </w:rPr>
      </w:pPr>
    </w:p>
    <w:p>
      <w:pPr>
        <w:ind w:left="964" w:right="160" w:hanging="532"/>
        <w:spacing w:after="0" w:line="281" w:lineRule="auto"/>
        <w:tabs>
          <w:tab w:leader="none" w:pos="964" w:val="left"/>
        </w:tabs>
        <w:numPr>
          <w:ilvl w:val="1"/>
          <w:numId w:val="281"/>
        </w:numPr>
        <w:rPr>
          <w:rFonts w:ascii="Arial" w:cs="Arial" w:eastAsia="Arial" w:hAnsi="Arial"/>
          <w:sz w:val="17"/>
          <w:szCs w:val="17"/>
          <w:color w:val="auto"/>
        </w:rPr>
      </w:pPr>
      <w:r>
        <w:rPr>
          <w:rFonts w:ascii="Arial" w:cs="Arial" w:eastAsia="Arial" w:hAnsi="Arial"/>
          <w:sz w:val="17"/>
          <w:szCs w:val="17"/>
          <w:b w:val="1"/>
          <w:bCs w:val="1"/>
          <w:color w:val="auto"/>
        </w:rPr>
        <w:t>Authority of Use</w:t>
      </w:r>
      <w:r>
        <w:rPr>
          <w:rFonts w:ascii="Arial" w:cs="Arial" w:eastAsia="Arial" w:hAnsi="Arial"/>
          <w:sz w:val="17"/>
          <w:szCs w:val="17"/>
          <w:color w:val="auto"/>
        </w:rPr>
        <w:t>. Marqeta hereby authorizes Client to use, reproduce, and distribute, the Marqeta Materials in connection with its use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Services. Client agrees that all marketing and promotional materials utilizing the Marqeta Materials it creates or distributes in connection with the Card Program or on Marqeta’s behalf require the prior written approval of Marqeta, pursuant to Section 5(b)(iii) of these General Terms and Conditions, before such materials are distributed to the public.</w:t>
      </w:r>
    </w:p>
    <w:p>
      <w:pPr>
        <w:spacing w:after="0" w:line="70" w:lineRule="exact"/>
        <w:rPr>
          <w:rFonts w:ascii="Arial" w:cs="Arial" w:eastAsia="Arial" w:hAnsi="Arial"/>
          <w:sz w:val="17"/>
          <w:szCs w:val="17"/>
          <w:color w:val="auto"/>
        </w:rPr>
      </w:pPr>
    </w:p>
    <w:p>
      <w:pPr>
        <w:ind w:left="964" w:right="100" w:hanging="532"/>
        <w:spacing w:after="0" w:line="261" w:lineRule="auto"/>
        <w:tabs>
          <w:tab w:leader="none" w:pos="964" w:val="left"/>
        </w:tabs>
        <w:numPr>
          <w:ilvl w:val="1"/>
          <w:numId w:val="281"/>
        </w:numPr>
        <w:rPr>
          <w:rFonts w:ascii="Arial" w:cs="Arial" w:eastAsia="Arial" w:hAnsi="Arial"/>
          <w:sz w:val="18"/>
          <w:szCs w:val="18"/>
          <w:color w:val="auto"/>
        </w:rPr>
      </w:pPr>
      <w:r>
        <w:rPr>
          <w:rFonts w:ascii="Arial" w:cs="Arial" w:eastAsia="Arial" w:hAnsi="Arial"/>
          <w:sz w:val="18"/>
          <w:szCs w:val="18"/>
          <w:b w:val="1"/>
          <w:bCs w:val="1"/>
          <w:color w:val="auto"/>
        </w:rPr>
        <w:t>Approval Procedures</w:t>
      </w:r>
      <w:r>
        <w:rPr>
          <w:rFonts w:ascii="Arial" w:cs="Arial" w:eastAsia="Arial" w:hAnsi="Arial"/>
          <w:sz w:val="18"/>
          <w:szCs w:val="18"/>
          <w:color w:val="auto"/>
        </w:rPr>
        <w:t>. Client will submit to Marqeta, for its prior written approval, samples of each of the proposed use of Marqeta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Subject to Section 4 of these General Terms and Conditions, Marqeta shall promptly render its approval in writing or via e-mail or reasonable objection within [***] of receipt of materials; non-response by Marqeta after such three (3) Business Day period shall not constitute Marqeta’s approval of such materials.</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Ownership of Materials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right="80" w:hanging="532"/>
        <w:spacing w:after="0" w:line="296" w:lineRule="auto"/>
        <w:tabs>
          <w:tab w:leader="none" w:pos="964" w:val="left"/>
        </w:tabs>
        <w:numPr>
          <w:ilvl w:val="1"/>
          <w:numId w:val="281"/>
        </w:numPr>
        <w:rPr>
          <w:rFonts w:ascii="Arial" w:cs="Arial" w:eastAsia="Arial" w:hAnsi="Arial"/>
          <w:sz w:val="16"/>
          <w:szCs w:val="16"/>
          <w:color w:val="auto"/>
        </w:rPr>
      </w:pPr>
      <w:r>
        <w:rPr>
          <w:rFonts w:ascii="Arial" w:cs="Arial" w:eastAsia="Arial" w:hAnsi="Arial"/>
          <w:sz w:val="16"/>
          <w:szCs w:val="16"/>
          <w:color w:val="auto"/>
        </w:rPr>
        <w:t>Marqeta acknowledges and agrees that Client, inclusive of its Affiliates, is the owner of all right, title, and interest, including all trademark and copyright rights, in and to the Client Materials. Marqeta acknowledges that all use of the Client Materials shall inure to the benefit of and be on behalf of Client or their respective owner(s), as applicable, and agrees that nothing in this Agreement shall give Marqeta any right, title or interest in and to the Client Materials other than the right to use the Client Materials in accordance with this Agreement during the Term. Any and all rights to the Client Materials not herein specifically granted and licensed to Marqeta are reserved to Client.</w:t>
      </w:r>
    </w:p>
    <w:p>
      <w:pPr>
        <w:spacing w:after="0" w:line="66" w:lineRule="exact"/>
        <w:rPr>
          <w:rFonts w:ascii="Arial" w:cs="Arial" w:eastAsia="Arial" w:hAnsi="Arial"/>
          <w:sz w:val="16"/>
          <w:szCs w:val="16"/>
          <w:color w:val="auto"/>
        </w:rPr>
      </w:pPr>
    </w:p>
    <w:p>
      <w:pPr>
        <w:ind w:left="964" w:hanging="532"/>
        <w:spacing w:after="0" w:line="254" w:lineRule="auto"/>
        <w:tabs>
          <w:tab w:leader="none" w:pos="96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Client acknowledges and agrees that Marqeta, inclusive of its Affiliates, (a) is the owner of all right, title, and interest, including all trademark and copyright rights, in and to the Marqeta Materials (other than the Card Brand Marks and Isuing Bank Marks); and (b) is the authorized licensee with the authority to sublicense the Card Brand Marks and Issuing Bank Marks. Client acknowledges that all use of the Marqeta Materials shall inure to the benefit of and be on behalf of Marqeta or their respective owner(s), as applicable, and agrees that nothing in this Agreement shall give Client any right, title or interest in and to the Marqeta Materials other than the right to use the Marqeta Materials in accordance with this Agreement during the Term. Any and all rights to the Marqeta Materials not herein specifically granted and licensed to Client are reserved to Marqeta.</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0" w:right="439" w:bottom="1440" w:gutter="0" w:footer="0" w:header="0"/>
        </w:sectPr>
      </w:pPr>
    </w:p>
    <w:bookmarkStart w:id="362" w:name="page363"/>
    <w:bookmarkEnd w:id="362"/>
    <w:p>
      <w:pPr>
        <w:ind w:left="424" w:hanging="424"/>
        <w:spacing w:after="0"/>
        <w:tabs>
          <w:tab w:leader="none" w:pos="42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w:t>
      </w:r>
      <w:r>
        <w:rPr>
          <w:rFonts w:ascii="Arial" w:cs="Arial" w:eastAsia="Arial" w:hAnsi="Arial"/>
          <w:sz w:val="14"/>
          <w:szCs w:val="14"/>
          <w:b w:val="1"/>
          <w:bCs w:val="1"/>
          <w:color w:val="auto"/>
        </w:rPr>
        <w:t>ARQETA</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xml:space="preserve"> &amp; I</w:t>
      </w:r>
      <w:r>
        <w:rPr>
          <w:rFonts w:ascii="Arial" w:cs="Arial" w:eastAsia="Arial" w:hAnsi="Arial"/>
          <w:sz w:val="14"/>
          <w:szCs w:val="14"/>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ESTRICTIONS</w:t>
      </w:r>
      <w:r>
        <w:rPr>
          <w:rFonts w:ascii="Arial" w:cs="Arial" w:eastAsia="Arial" w:hAnsi="Arial"/>
          <w:sz w:val="18"/>
          <w:szCs w:val="18"/>
          <w:color w:val="auto"/>
        </w:rPr>
        <w:t>.</w:t>
      </w:r>
    </w:p>
    <w:p>
      <w:pPr>
        <w:spacing w:after="0" w:line="131" w:lineRule="exact"/>
        <w:rPr>
          <w:sz w:val="20"/>
          <w:szCs w:val="20"/>
          <w:color w:val="auto"/>
        </w:rPr>
      </w:pPr>
    </w:p>
    <w:p>
      <w:pPr>
        <w:ind w:left="424" w:right="60" w:hanging="424"/>
        <w:spacing w:after="0" w:line="266" w:lineRule="auto"/>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 xml:space="preserve">Marqeta Property. </w:t>
      </w:r>
      <w:r>
        <w:rPr>
          <w:rFonts w:ascii="Arial" w:cs="Arial" w:eastAsia="Arial" w:hAnsi="Arial"/>
          <w:sz w:val="18"/>
          <w:szCs w:val="18"/>
          <w:color w:val="auto"/>
        </w:rPr>
        <w:t>In connection with Services, Marqeta may furnish Client with project deliverables, plans, Documentation, reports, analyses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such tangible materials (the “</w:t>
      </w:r>
      <w:r>
        <w:rPr>
          <w:rFonts w:ascii="Arial" w:cs="Arial" w:eastAsia="Arial" w:hAnsi="Arial"/>
          <w:sz w:val="18"/>
          <w:szCs w:val="18"/>
          <w:u w:val="single" w:color="auto"/>
          <w:color w:val="auto"/>
        </w:rPr>
        <w:t>Marqeta Property</w:t>
      </w:r>
      <w:r>
        <w:rPr>
          <w:rFonts w:ascii="Arial" w:cs="Arial" w:eastAsia="Arial" w:hAnsi="Arial"/>
          <w:sz w:val="18"/>
          <w:szCs w:val="18"/>
          <w:color w:val="auto"/>
        </w:rPr>
        <w:t>”). For the avoidance of doubt, “Marqeta Property” shall not include Custom Enhancements (or elements of Custom Enhancements) unless specifically provided for in an SOW.</w:t>
      </w:r>
    </w:p>
    <w:p>
      <w:pPr>
        <w:spacing w:after="0" w:line="81" w:lineRule="exact"/>
        <w:rPr>
          <w:rFonts w:ascii="Arial" w:cs="Arial" w:eastAsia="Arial" w:hAnsi="Arial"/>
          <w:sz w:val="18"/>
          <w:szCs w:val="18"/>
          <w:color w:val="auto"/>
        </w:rPr>
      </w:pPr>
    </w:p>
    <w:p>
      <w:pPr>
        <w:ind w:left="424" w:right="20" w:hanging="424"/>
        <w:spacing w:after="0" w:line="303" w:lineRule="auto"/>
        <w:tabs>
          <w:tab w:leader="none" w:pos="424"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 xml:space="preserve">Use and Disclosure of Marqeta Property. </w:t>
      </w:r>
      <w:r>
        <w:rPr>
          <w:rFonts w:ascii="Arial" w:cs="Arial" w:eastAsia="Arial" w:hAnsi="Arial"/>
          <w:sz w:val="16"/>
          <w:szCs w:val="16"/>
          <w:color w:val="auto"/>
        </w:rPr>
        <w:t>Without the prior written consent of Marqeta, Client may only furnish Marqeta Property to its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legal counsel, accountants, Regulators and service providers who have been retained by the Client to perform the Client responsibilities in connection with the Card Program, and who need to know such information in the performance of such services. Client shall inform each such person of the confidential nature of the Marqeta Property and treat Marqeta Property as the Confidential Information of Marqeta.</w:t>
      </w:r>
    </w:p>
    <w:p>
      <w:pPr>
        <w:spacing w:after="0" w:line="56" w:lineRule="exact"/>
        <w:rPr>
          <w:rFonts w:ascii="Arial" w:cs="Arial" w:eastAsia="Arial" w:hAnsi="Arial"/>
          <w:sz w:val="16"/>
          <w:szCs w:val="16"/>
          <w:color w:val="auto"/>
        </w:rPr>
      </w:pPr>
    </w:p>
    <w:p>
      <w:pPr>
        <w:jc w:val="both"/>
        <w:ind w:left="424" w:right="140" w:hanging="424"/>
        <w:spacing w:after="0" w:line="266" w:lineRule="auto"/>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 xml:space="preserve">License to use Marqeta Property. </w:t>
      </w:r>
      <w:r>
        <w:rPr>
          <w:rFonts w:ascii="Arial" w:cs="Arial" w:eastAsia="Arial" w:hAnsi="Arial"/>
          <w:sz w:val="18"/>
          <w:szCs w:val="18"/>
          <w:color w:val="auto"/>
        </w:rPr>
        <w:t>During the Term of this Agreement, Client shall have a limited, nontransferable, non-sublicenseable paid-up</w:t>
      </w:r>
      <w:r>
        <w:rPr>
          <w:rFonts w:ascii="Arial" w:cs="Arial" w:eastAsia="Arial" w:hAnsi="Arial"/>
          <w:sz w:val="18"/>
          <w:szCs w:val="18"/>
          <w:b w:val="1"/>
          <w:bCs w:val="1"/>
          <w:color w:val="auto"/>
        </w:rPr>
        <w:t xml:space="preserve"> </w:t>
      </w:r>
      <w:r>
        <w:rPr>
          <w:rFonts w:ascii="Arial" w:cs="Arial" w:eastAsia="Arial" w:hAnsi="Arial"/>
          <w:sz w:val="18"/>
          <w:szCs w:val="18"/>
          <w:color w:val="auto"/>
        </w:rPr>
        <w:t>right and license to use the Marqeta Property in conjunction with its receipt of the Services, subject to the terms of this Section 6. All other rights in the Marqeta Property remain in and/or are assigned to Marqeta.</w:t>
      </w:r>
    </w:p>
    <w:p>
      <w:pPr>
        <w:spacing w:after="0" w:line="81" w:lineRule="exact"/>
        <w:rPr>
          <w:rFonts w:ascii="Arial" w:cs="Arial" w:eastAsia="Arial" w:hAnsi="Arial"/>
          <w:sz w:val="18"/>
          <w:szCs w:val="18"/>
          <w:color w:val="auto"/>
        </w:rPr>
      </w:pPr>
    </w:p>
    <w:p>
      <w:pPr>
        <w:ind w:left="424" w:right="380" w:hanging="424"/>
        <w:spacing w:after="0" w:line="266" w:lineRule="auto"/>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 xml:space="preserve">License Grant. </w:t>
      </w:r>
      <w:r>
        <w:rPr>
          <w:rFonts w:ascii="Arial" w:cs="Arial" w:eastAsia="Arial" w:hAnsi="Arial"/>
          <w:sz w:val="18"/>
          <w:szCs w:val="18"/>
          <w:color w:val="auto"/>
        </w:rPr>
        <w:t>Client hereby grants Marqeta and its Affiliates a royalty-free, worldwide, transferable, sub-licenseable, irrevocable, perpetual</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to use any suggestions, enhancement requests, recommendations or other feedback provided by Client relating to the operation of the Services.</w:t>
      </w:r>
    </w:p>
    <w:p>
      <w:pPr>
        <w:spacing w:after="0" w:line="81" w:lineRule="exact"/>
        <w:rPr>
          <w:rFonts w:ascii="Arial" w:cs="Arial" w:eastAsia="Arial" w:hAnsi="Arial"/>
          <w:sz w:val="18"/>
          <w:szCs w:val="18"/>
          <w:color w:val="auto"/>
        </w:rPr>
      </w:pPr>
    </w:p>
    <w:p>
      <w:pPr>
        <w:ind w:left="424" w:hanging="424"/>
        <w:spacing w:after="0" w:line="254" w:lineRule="auto"/>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Marqeta Services &amp; Independent Development</w:t>
      </w:r>
      <w:r>
        <w:rPr>
          <w:rFonts w:ascii="Arial" w:cs="Arial" w:eastAsia="Arial" w:hAnsi="Arial"/>
          <w:sz w:val="18"/>
          <w:szCs w:val="18"/>
          <w:color w:val="auto"/>
        </w:rPr>
        <w:t>. Client acknowledges and agrees that Marqeta is a provider of data processing and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outsourcing solutions to financial institutions and other third parties and nothing herein shall in any way preclude Marqeta or its officers, employees, agents, representatives or Affiliates from engaging in any business activities or from performing any services for its own account or for the account of others, including for companies that may be in competition with the business conducted by the Client. By way of example and not limitation of the forgoing, Marqeta may develop for itself, or for others, Services (including marketing strategies, targeting criteria, problem solving approaches, or other tools or information similar to the Marqeta Property), and nothing contained herein precludes Marqeta from developing or disclosing such materials and information provided that the same do not contain or reflect Confidential Information of Client.</w:t>
      </w:r>
    </w:p>
    <w:p>
      <w:pPr>
        <w:spacing w:after="0" w:line="340" w:lineRule="exact"/>
        <w:rPr>
          <w:sz w:val="20"/>
          <w:szCs w:val="20"/>
          <w:color w:val="auto"/>
        </w:rPr>
      </w:pPr>
    </w:p>
    <w:p>
      <w:pPr>
        <w:ind w:left="424" w:hanging="424"/>
        <w:spacing w:after="0"/>
        <w:tabs>
          <w:tab w:leader="none" w:pos="424"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IGHTS TO</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ARQETA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YSTEM</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 IN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r>
        <w:rPr>
          <w:rFonts w:ascii="Arial" w:cs="Arial" w:eastAsia="Arial" w:hAnsi="Arial"/>
          <w:sz w:val="18"/>
          <w:szCs w:val="18"/>
          <w:color w:val="auto"/>
        </w:rPr>
        <w:t>.</w:t>
      </w:r>
    </w:p>
    <w:p>
      <w:pPr>
        <w:spacing w:after="0" w:line="131" w:lineRule="exact"/>
        <w:rPr>
          <w:sz w:val="20"/>
          <w:szCs w:val="20"/>
          <w:color w:val="auto"/>
        </w:rPr>
      </w:pPr>
    </w:p>
    <w:p>
      <w:pPr>
        <w:ind w:left="424" w:right="460" w:hanging="424"/>
        <w:spacing w:after="0" w:line="282" w:lineRule="auto"/>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Client acknowledges that it is receiving a service from Marqeta and that this Agreement shall not transfer any right, title, license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the Marqeta System, or any part or component of the Marqeta System to Client.</w:t>
      </w:r>
    </w:p>
    <w:p>
      <w:pPr>
        <w:spacing w:after="0" w:line="67" w:lineRule="exact"/>
        <w:rPr>
          <w:rFonts w:ascii="Arial" w:cs="Arial" w:eastAsia="Arial" w:hAnsi="Arial"/>
          <w:sz w:val="18"/>
          <w:szCs w:val="18"/>
          <w:color w:val="auto"/>
        </w:rPr>
      </w:pPr>
    </w:p>
    <w:p>
      <w:pPr>
        <w:ind w:left="424" w:right="40" w:hanging="424"/>
        <w:spacing w:after="0" w:line="289" w:lineRule="auto"/>
        <w:tabs>
          <w:tab w:leader="none" w:pos="424" w:val="left"/>
        </w:tabs>
        <w:numPr>
          <w:ilvl w:val="0"/>
          <w:numId w:val="285"/>
        </w:numPr>
        <w:rPr>
          <w:rFonts w:ascii="Arial" w:cs="Arial" w:eastAsia="Arial" w:hAnsi="Arial"/>
          <w:sz w:val="16"/>
          <w:szCs w:val="16"/>
          <w:color w:val="auto"/>
        </w:rPr>
      </w:pPr>
      <w:r>
        <w:rPr>
          <w:rFonts w:ascii="Arial" w:cs="Arial" w:eastAsia="Arial" w:hAnsi="Arial"/>
          <w:sz w:val="16"/>
          <w:szCs w:val="16"/>
          <w:b w:val="1"/>
          <w:bCs w:val="1"/>
          <w:color w:val="auto"/>
        </w:rPr>
        <w:t>Changes to Services; Updates</w:t>
      </w:r>
      <w:r>
        <w:rPr>
          <w:rFonts w:ascii="Arial" w:cs="Arial" w:eastAsia="Arial" w:hAnsi="Arial"/>
          <w:sz w:val="16"/>
          <w:szCs w:val="16"/>
          <w:color w:val="auto"/>
        </w:rPr>
        <w:t>. Marqeta may change any features, functions, any other third party provider, or attributes of a Service, or Marqeta</w:t>
      </w:r>
      <w:r>
        <w:rPr>
          <w:rFonts w:ascii="Arial" w:cs="Arial" w:eastAsia="Arial" w:hAnsi="Arial"/>
          <w:sz w:val="16"/>
          <w:szCs w:val="16"/>
          <w:b w:val="1"/>
          <w:bCs w:val="1"/>
          <w:color w:val="auto"/>
        </w:rPr>
        <w:t xml:space="preserve"> </w:t>
      </w:r>
      <w:r>
        <w:rPr>
          <w:rFonts w:ascii="Arial" w:cs="Arial" w:eastAsia="Arial" w:hAnsi="Arial"/>
          <w:sz w:val="16"/>
          <w:szCs w:val="16"/>
          <w:color w:val="auto"/>
        </w:rPr>
        <w:t>System or any element of its systems or processes, or specifications, from time to time, provided that neither the functionality of nor any applicable fees and charges for such Service are materially adversely affected. Marqeta will provide or make available Updates to each element of the Services no later than the date such Update is produced and generally made available by Marqeta to its other customers, and Client shall have the right to access, use and/or display such Updates consistent with its rights to the Services hereunder. Marqeta will, at no additional charge, provide to Client: (a) a description on any effect the installation and use of the applicable Update will have on the Services (including any potential adverse effects, such as expected degradation in performance); and (b) all automated conversion tools that Marqeta makes available to its other customers (whether or not such customers are charged therefor) to assist Client with the transition to any Updates. Marqeta will install all Updates (or, in the case of Updates to be installed by Client, provide documentation and materials necessary for Client to successfully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0" w:right="439" w:bottom="1440" w:gutter="0" w:footer="0" w:header="0"/>
        </w:sectPr>
      </w:pPr>
    </w:p>
    <w:bookmarkStart w:id="363" w:name="page364"/>
    <w:bookmarkEnd w:id="363"/>
    <w:p>
      <w:pPr>
        <w:ind w:left="424"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install such Update). Unless Marqeta advises Client otherwise, Client will not be required to use any Update in order to continue to use the Services in a manner in which Client received the Services prior to such Update.</w:t>
      </w:r>
    </w:p>
    <w:p>
      <w:pPr>
        <w:spacing w:after="0" w:line="72" w:lineRule="exact"/>
        <w:rPr>
          <w:sz w:val="20"/>
          <w:szCs w:val="20"/>
          <w:color w:val="auto"/>
        </w:rPr>
      </w:pPr>
    </w:p>
    <w:p>
      <w:pPr>
        <w:ind w:left="424" w:right="160" w:hanging="424"/>
        <w:spacing w:after="0" w:line="277" w:lineRule="auto"/>
        <w:tabs>
          <w:tab w:leader="none" w:pos="424" w:val="left"/>
        </w:tabs>
        <w:numPr>
          <w:ilvl w:val="0"/>
          <w:numId w:val="286"/>
        </w:numPr>
        <w:rPr>
          <w:rFonts w:ascii="Arial" w:cs="Arial" w:eastAsia="Arial" w:hAnsi="Arial"/>
          <w:sz w:val="17"/>
          <w:szCs w:val="17"/>
          <w:color w:val="auto"/>
        </w:rPr>
      </w:pPr>
      <w:r>
        <w:rPr>
          <w:rFonts w:ascii="Arial" w:cs="Arial" w:eastAsia="Arial" w:hAnsi="Arial"/>
          <w:sz w:val="17"/>
          <w:szCs w:val="17"/>
          <w:b w:val="1"/>
          <w:bCs w:val="1"/>
          <w:color w:val="auto"/>
        </w:rPr>
        <w:t>Developments</w:t>
      </w:r>
      <w:r>
        <w:rPr>
          <w:rFonts w:ascii="Arial" w:cs="Arial" w:eastAsia="Arial" w:hAnsi="Arial"/>
          <w:sz w:val="17"/>
          <w:szCs w:val="17"/>
          <w:color w:val="auto"/>
        </w:rPr>
        <w:t>. Any services, technology, processes, methods, software and/or enhancements to the Marqeta System used or developed for</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of delivering the Services (collectively, the “</w:t>
      </w:r>
      <w:r>
        <w:rPr>
          <w:rFonts w:ascii="Arial" w:cs="Arial" w:eastAsia="Arial" w:hAnsi="Arial"/>
          <w:sz w:val="17"/>
          <w:szCs w:val="17"/>
          <w:u w:val="single" w:color="auto"/>
          <w:color w:val="auto"/>
        </w:rPr>
        <w:t>Developments</w:t>
      </w:r>
      <w:r>
        <w:rPr>
          <w:rFonts w:ascii="Arial" w:cs="Arial" w:eastAsia="Arial" w:hAnsi="Arial"/>
          <w:sz w:val="17"/>
          <w:szCs w:val="17"/>
          <w:color w:val="auto"/>
        </w:rPr>
        <w:t>”), whether developed solely by Marqeta or jointly by Marqeta and Client or any other party, including any Developments requested, suggested, or paid for by Client, shall be the sole property of Marqeta and shall not be considered “works made for hire”. Client shall not acquire any ownership right, Intellectual Property Right, claim or interest in the Marqeta System or in any Developments, or any modifications or updates thereto.</w:t>
      </w:r>
    </w:p>
    <w:p>
      <w:pPr>
        <w:spacing w:after="0" w:line="73" w:lineRule="exact"/>
        <w:rPr>
          <w:rFonts w:ascii="Arial" w:cs="Arial" w:eastAsia="Arial" w:hAnsi="Arial"/>
          <w:sz w:val="17"/>
          <w:szCs w:val="17"/>
          <w:color w:val="auto"/>
        </w:rPr>
      </w:pPr>
    </w:p>
    <w:p>
      <w:pPr>
        <w:ind w:left="424" w:hanging="424"/>
        <w:spacing w:after="0" w:line="282"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Cooperation</w:t>
      </w:r>
      <w:r>
        <w:rPr>
          <w:rFonts w:ascii="Arial" w:cs="Arial" w:eastAsia="Arial" w:hAnsi="Arial"/>
          <w:sz w:val="18"/>
          <w:szCs w:val="18"/>
          <w:color w:val="auto"/>
        </w:rPr>
        <w:t>. The Parties will cooperate with each other and execute such other documents as may be reasonably deemed necessary to achieve the</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objectives of this Section 7.</w:t>
      </w:r>
    </w:p>
    <w:p>
      <w:pPr>
        <w:spacing w:after="0" w:line="67" w:lineRule="exact"/>
        <w:rPr>
          <w:rFonts w:ascii="Arial" w:cs="Arial" w:eastAsia="Arial" w:hAnsi="Arial"/>
          <w:sz w:val="18"/>
          <w:szCs w:val="18"/>
          <w:color w:val="auto"/>
        </w:rPr>
      </w:pPr>
    </w:p>
    <w:p>
      <w:pPr>
        <w:ind w:left="424" w:right="60" w:hanging="424"/>
        <w:spacing w:after="0" w:line="282"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Responsibility for Data</w:t>
      </w:r>
      <w:r>
        <w:rPr>
          <w:rFonts w:ascii="Arial" w:cs="Arial" w:eastAsia="Arial" w:hAnsi="Arial"/>
          <w:sz w:val="18"/>
          <w:szCs w:val="18"/>
          <w:color w:val="auto"/>
        </w:rPr>
        <w:t>. Marqeta shall not be responsible for the accuracy, completeness or authenticity of any data furnished by Client or a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and shall have no obligation to audit, check or verify that data</w:t>
      </w:r>
    </w:p>
    <w:p>
      <w:pPr>
        <w:spacing w:after="0" w:line="310" w:lineRule="exact"/>
        <w:rPr>
          <w:sz w:val="20"/>
          <w:szCs w:val="20"/>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r>
        <w:rPr>
          <w:rFonts w:ascii="Arial" w:cs="Arial" w:eastAsia="Arial" w:hAnsi="Arial"/>
          <w:sz w:val="18"/>
          <w:szCs w:val="18"/>
          <w:color w:val="auto"/>
        </w:rPr>
        <w:t>.</w:t>
      </w:r>
    </w:p>
    <w:p>
      <w:pPr>
        <w:spacing w:after="0" w:line="135" w:lineRule="exact"/>
        <w:rPr>
          <w:sz w:val="20"/>
          <w:szCs w:val="20"/>
          <w:color w:val="auto"/>
        </w:rPr>
      </w:pPr>
    </w:p>
    <w:p>
      <w:pPr>
        <w:ind w:left="424" w:hanging="424"/>
        <w:spacing w:after="0"/>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Client Payment to Marqeta.</w:t>
      </w:r>
    </w:p>
    <w:p>
      <w:pPr>
        <w:spacing w:after="0" w:line="126" w:lineRule="exact"/>
        <w:rPr>
          <w:rFonts w:ascii="Arial" w:cs="Arial" w:eastAsia="Arial" w:hAnsi="Arial"/>
          <w:sz w:val="18"/>
          <w:szCs w:val="18"/>
          <w:color w:val="auto"/>
        </w:rPr>
      </w:pPr>
    </w:p>
    <w:p>
      <w:pPr>
        <w:jc w:val="both"/>
        <w:ind w:left="964" w:right="640" w:hanging="532"/>
        <w:spacing w:after="0" w:line="266" w:lineRule="auto"/>
        <w:tabs>
          <w:tab w:leader="none" w:pos="964" w:val="left"/>
        </w:tabs>
        <w:numPr>
          <w:ilvl w:val="1"/>
          <w:numId w:val="288"/>
        </w:numPr>
        <w:rPr>
          <w:rFonts w:ascii="Arial" w:cs="Arial" w:eastAsia="Arial" w:hAnsi="Arial"/>
          <w:sz w:val="18"/>
          <w:szCs w:val="18"/>
          <w:color w:val="auto"/>
        </w:rPr>
      </w:pPr>
      <w:r>
        <w:rPr>
          <w:rFonts w:ascii="Arial" w:cs="Arial" w:eastAsia="Arial" w:hAnsi="Arial"/>
          <w:sz w:val="18"/>
          <w:szCs w:val="18"/>
          <w:b w:val="1"/>
          <w:bCs w:val="1"/>
          <w:color w:val="auto"/>
        </w:rPr>
        <w:t>Fees</w:t>
      </w:r>
      <w:r>
        <w:rPr>
          <w:rFonts w:ascii="Arial" w:cs="Arial" w:eastAsia="Arial" w:hAnsi="Arial"/>
          <w:sz w:val="18"/>
          <w:szCs w:val="18"/>
          <w:color w:val="auto"/>
        </w:rPr>
        <w:t>. On the Effective Date, Client shall pay Marqeta the [***]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D</w:t>
      </w:r>
      <w:r>
        <w:rPr>
          <w:rFonts w:ascii="Arial" w:cs="Arial" w:eastAsia="Arial" w:hAnsi="Arial"/>
          <w:sz w:val="18"/>
          <w:szCs w:val="18"/>
          <w:color w:val="auto"/>
        </w:rPr>
        <w:t>. Client shall pay Marqeta all fees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Processing Services and the [***], as applicable, as set forth in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Periodic charges under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shall be computed on a [***] basis and shall be prorated for any partial [***].</w:t>
      </w:r>
    </w:p>
    <w:p>
      <w:pPr>
        <w:spacing w:after="0" w:line="81" w:lineRule="exact"/>
        <w:rPr>
          <w:rFonts w:ascii="Arial" w:cs="Arial" w:eastAsia="Arial" w:hAnsi="Arial"/>
          <w:sz w:val="18"/>
          <w:szCs w:val="18"/>
          <w:color w:val="auto"/>
        </w:rPr>
      </w:pPr>
    </w:p>
    <w:p>
      <w:pPr>
        <w:jc w:val="both"/>
        <w:ind w:left="964" w:right="60" w:hanging="532"/>
        <w:spacing w:after="0" w:line="266" w:lineRule="auto"/>
        <w:tabs>
          <w:tab w:leader="none" w:pos="964" w:val="left"/>
        </w:tabs>
        <w:numPr>
          <w:ilvl w:val="1"/>
          <w:numId w:val="288"/>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All charges and fees to be paid by Client under the Agreement are exclusive of any applicable withholding, sales, use, excise, value</w:t>
      </w:r>
      <w:r>
        <w:rPr>
          <w:rFonts w:ascii="Arial" w:cs="Arial" w:eastAsia="Arial" w:hAnsi="Arial"/>
          <w:sz w:val="18"/>
          <w:szCs w:val="18"/>
          <w:b w:val="1"/>
          <w:bCs w:val="1"/>
          <w:color w:val="auto"/>
        </w:rPr>
        <w:t xml:space="preserve"> </w:t>
      </w:r>
      <w:r>
        <w:rPr>
          <w:rFonts w:ascii="Arial" w:cs="Arial" w:eastAsia="Arial" w:hAnsi="Arial"/>
          <w:sz w:val="18"/>
          <w:szCs w:val="18"/>
          <w:color w:val="auto"/>
        </w:rPr>
        <w:t>added or other taxes. Any such taxes for which Marqeta is legally responsible to collect from Client shall be billed by Marqeta and paid by Client.</w:t>
      </w:r>
    </w:p>
    <w:p>
      <w:pPr>
        <w:spacing w:after="0" w:line="81" w:lineRule="exact"/>
        <w:rPr>
          <w:rFonts w:ascii="Arial" w:cs="Arial" w:eastAsia="Arial" w:hAnsi="Arial"/>
          <w:sz w:val="18"/>
          <w:szCs w:val="18"/>
          <w:color w:val="auto"/>
        </w:rPr>
      </w:pPr>
    </w:p>
    <w:p>
      <w:pPr>
        <w:ind w:left="964" w:right="80" w:hanging="532"/>
        <w:spacing w:after="0" w:line="284" w:lineRule="auto"/>
        <w:tabs>
          <w:tab w:leader="none" w:pos="964" w:val="left"/>
        </w:tabs>
        <w:numPr>
          <w:ilvl w:val="1"/>
          <w:numId w:val="288"/>
        </w:numPr>
        <w:rPr>
          <w:rFonts w:ascii="Arial" w:cs="Arial" w:eastAsia="Arial" w:hAnsi="Arial"/>
          <w:sz w:val="16"/>
          <w:szCs w:val="16"/>
          <w:color w:val="auto"/>
        </w:rPr>
      </w:pPr>
      <w:r>
        <w:rPr>
          <w:rFonts w:ascii="Arial" w:cs="Arial" w:eastAsia="Arial" w:hAnsi="Arial"/>
          <w:sz w:val="16"/>
          <w:szCs w:val="16"/>
          <w:b w:val="1"/>
          <w:bCs w:val="1"/>
          <w:color w:val="auto"/>
        </w:rPr>
        <w:t>Client Bank Account</w:t>
      </w:r>
      <w:r>
        <w:rPr>
          <w:rFonts w:ascii="Arial" w:cs="Arial" w:eastAsia="Arial" w:hAnsi="Arial"/>
          <w:sz w:val="16"/>
          <w:szCs w:val="16"/>
          <w:color w:val="auto"/>
        </w:rPr>
        <w:t>. Client shall maintain one bank account for the transfer of funds via Automated Clearing House (“</w:t>
      </w:r>
      <w:r>
        <w:rPr>
          <w:rFonts w:ascii="Arial" w:cs="Arial" w:eastAsia="Arial" w:hAnsi="Arial"/>
          <w:sz w:val="16"/>
          <w:szCs w:val="16"/>
          <w:u w:val="single" w:color="auto"/>
          <w:color w:val="auto"/>
        </w:rPr>
        <w:t>ACH</w:t>
      </w:r>
      <w:r>
        <w:rPr>
          <w:rFonts w:ascii="Arial" w:cs="Arial" w:eastAsia="Arial" w:hAnsi="Arial"/>
          <w:sz w:val="16"/>
          <w:szCs w:val="16"/>
          <w:color w:val="auto"/>
        </w:rPr>
        <w:t>”)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or Fedwire transfer to pay and deposit all amounts due or otherwise required to be deposited as provided under this Agreement, including as required under Sections 8(a)(i) and 8(a)(vi) of these General Terms and Conditions (the “</w:t>
      </w:r>
      <w:r>
        <w:rPr>
          <w:rFonts w:ascii="Arial" w:cs="Arial" w:eastAsia="Arial" w:hAnsi="Arial"/>
          <w:sz w:val="16"/>
          <w:szCs w:val="16"/>
          <w:u w:val="single" w:color="auto"/>
          <w:color w:val="auto"/>
        </w:rPr>
        <w:t>Client Bank Account”</w:t>
      </w:r>
      <w:r>
        <w:rPr>
          <w:rFonts w:ascii="Arial" w:cs="Arial" w:eastAsia="Arial" w:hAnsi="Arial"/>
          <w:sz w:val="16"/>
          <w:szCs w:val="16"/>
          <w:color w:val="auto"/>
        </w:rPr>
        <w:t>). Client will deposit for immediate transfer by Marqeta via ACH as provided in Sections 8(a)(iv) and 8(a)(vi) of these General Terms and Conditions. Promptly following Marqeta’s written or e-mail request, Client shall provide Marqeta with the account information for the initial Client Bank Account. Client shall have the right to change the Client Bank Account [***] prior written notice to Marqeta. Client shall at all times maintain sufficient funds in the Client Bank Account to meet its obligations under this Section 8(a). If Client fails to so maintain sufficient funds, in addition to any other remedies available to Marqeta at law or under this Agreement, Marqeta may, subject to Applicable Law,</w:t>
      </w:r>
    </w:p>
    <w:p>
      <w:pPr>
        <w:spacing w:after="0" w:line="4" w:lineRule="exact"/>
        <w:rPr>
          <w:rFonts w:ascii="Arial" w:cs="Arial" w:eastAsia="Arial" w:hAnsi="Arial"/>
          <w:sz w:val="16"/>
          <w:szCs w:val="16"/>
          <w:color w:val="auto"/>
        </w:rPr>
      </w:pPr>
    </w:p>
    <w:p>
      <w:pPr>
        <w:ind w:left="964" w:right="60"/>
        <w:spacing w:after="0" w:line="270" w:lineRule="auto"/>
        <w:rPr>
          <w:rFonts w:ascii="Arial" w:cs="Arial" w:eastAsia="Arial" w:hAnsi="Arial"/>
          <w:sz w:val="16"/>
          <w:szCs w:val="16"/>
          <w:color w:val="auto"/>
        </w:rPr>
      </w:pPr>
      <w:r>
        <w:rPr>
          <w:rFonts w:ascii="Arial" w:cs="Arial" w:eastAsia="Arial" w:hAnsi="Arial"/>
          <w:sz w:val="17"/>
          <w:szCs w:val="17"/>
          <w:color w:val="auto"/>
        </w:rPr>
        <w:t>(A) cease performing the Services until Client has met its obligations under this Section 8(a), and (B) invoice Client for all deficient amounts. Client shall pay the undisputed deficient amount no later than one (1) Business Day following the date of such invoice, and, notwithstanding anything to the contrary in this Agreement, such failure shall constitute a material breach of this Agreement that is not subject to the cure periods as provided in Sections 3(b)(i)(1) and 3(b)(iii) of the Program Terms. Any undisputed amounts not paid on or before their due date shall incur interest until paid at the [***] rate of one and [***], prorated for any partial [***]. Payment for statements and invoices shall be due and payable by electronic funds transfer in U.S. dollars by Client.</w:t>
      </w:r>
    </w:p>
    <w:p>
      <w:pPr>
        <w:spacing w:after="0" w:line="79" w:lineRule="exact"/>
        <w:rPr>
          <w:rFonts w:ascii="Arial" w:cs="Arial" w:eastAsia="Arial" w:hAnsi="Arial"/>
          <w:sz w:val="16"/>
          <w:szCs w:val="16"/>
          <w:color w:val="auto"/>
        </w:rPr>
      </w:pPr>
    </w:p>
    <w:p>
      <w:pPr>
        <w:ind w:left="964" w:right="100" w:hanging="532"/>
        <w:spacing w:after="0" w:line="266" w:lineRule="auto"/>
        <w:tabs>
          <w:tab w:leader="none" w:pos="964" w:val="left"/>
        </w:tabs>
        <w:numPr>
          <w:ilvl w:val="1"/>
          <w:numId w:val="288"/>
        </w:numPr>
        <w:rPr>
          <w:rFonts w:ascii="Arial" w:cs="Arial" w:eastAsia="Arial" w:hAnsi="Arial"/>
          <w:sz w:val="18"/>
          <w:szCs w:val="18"/>
          <w:color w:val="auto"/>
        </w:rPr>
      </w:pPr>
      <w:r>
        <w:rPr>
          <w:rFonts w:ascii="Arial" w:cs="Arial" w:eastAsia="Arial" w:hAnsi="Arial"/>
          <w:sz w:val="18"/>
          <w:szCs w:val="18"/>
          <w:b w:val="1"/>
          <w:bCs w:val="1"/>
          <w:color w:val="auto"/>
        </w:rPr>
        <w:t>Statements, Invoices and Payments</w:t>
      </w:r>
      <w:r>
        <w:rPr>
          <w:rFonts w:ascii="Arial" w:cs="Arial" w:eastAsia="Arial" w:hAnsi="Arial"/>
          <w:sz w:val="18"/>
          <w:szCs w:val="18"/>
          <w:color w:val="auto"/>
        </w:rPr>
        <w:t>. No sooner than [***] following the beginning of each [***] during the Term (or such earlier time if</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ends during a [***]), Marqeta shall provide Client with a statement setting forth the amount owed to Marqeta hereunder for the prior [***] (“[***]</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364" w:name="page365"/>
    <w:bookmarkEnd w:id="364"/>
    <w:p>
      <w:pPr>
        <w:ind w:left="984"/>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Amount</w:t>
      </w:r>
      <w:r>
        <w:rPr>
          <w:rFonts w:ascii="Arial" w:cs="Arial" w:eastAsia="Arial" w:hAnsi="Arial"/>
          <w:sz w:val="18"/>
          <w:szCs w:val="18"/>
          <w:color w:val="auto"/>
        </w:rPr>
        <w:t>”), which statement shall (A) describe in reasonable detail the basis for such amount; and (B) payment date for such amount, which payment date shall be no sooner than [***] following the date of such statement (“</w:t>
      </w:r>
      <w:r>
        <w:rPr>
          <w:rFonts w:ascii="Arial" w:cs="Arial" w:eastAsia="Arial" w:hAnsi="Arial"/>
          <w:sz w:val="18"/>
          <w:szCs w:val="18"/>
          <w:u w:val="single" w:color="auto"/>
          <w:color w:val="auto"/>
        </w:rPr>
        <w:t>Payment Date</w:t>
      </w:r>
      <w:r>
        <w:rPr>
          <w:rFonts w:ascii="Arial" w:cs="Arial" w:eastAsia="Arial" w:hAnsi="Arial"/>
          <w:sz w:val="18"/>
          <w:szCs w:val="18"/>
          <w:color w:val="auto"/>
        </w:rPr>
        <w:t>”). Marqeta shall provide such statement to Client either in writing or via electronic or API access. No later than one (1) Business Day prior to the Payment Date, Client shall deposit into the Client Bank Account the undisputed amount of the [***] Payment Amount. Client hereby authorizes Marqeta to initiate ACH transactions from the Client Bank Account for the payment of the [***] Payment Amount, and shall execute any documents reasonably requested by Marqeta to enable Marqeta to initiate such transactions. Notwithstanding the forgoing, Section 8(a)(vi) of these General Terms and Conditions shall govern the terms related to the deposit of Settlement Funds, and Marqeta’s related statement obligations and transfer rights.</w:t>
      </w:r>
    </w:p>
    <w:p>
      <w:pPr>
        <w:spacing w:after="0" w:line="93" w:lineRule="exact"/>
        <w:rPr>
          <w:sz w:val="20"/>
          <w:szCs w:val="20"/>
          <w:color w:val="auto"/>
        </w:rPr>
      </w:pPr>
    </w:p>
    <w:p>
      <w:pPr>
        <w:ind w:left="964" w:right="20" w:hanging="532"/>
        <w:spacing w:after="0" w:line="282" w:lineRule="auto"/>
        <w:tabs>
          <w:tab w:leader="none" w:pos="964" w:val="left"/>
        </w:tabs>
        <w:numPr>
          <w:ilvl w:val="1"/>
          <w:numId w:val="289"/>
        </w:numPr>
        <w:rPr>
          <w:rFonts w:ascii="Arial" w:cs="Arial" w:eastAsia="Arial" w:hAnsi="Arial"/>
          <w:sz w:val="18"/>
          <w:szCs w:val="18"/>
          <w:color w:val="auto"/>
        </w:rPr>
      </w:pPr>
      <w:r>
        <w:rPr>
          <w:rFonts w:ascii="Arial" w:cs="Arial" w:eastAsia="Arial" w:hAnsi="Arial"/>
          <w:sz w:val="18"/>
          <w:szCs w:val="18"/>
          <w:b w:val="1"/>
          <w:bCs w:val="1"/>
          <w:color w:val="auto"/>
        </w:rPr>
        <w:t>Disputed Charges; Requests for Information</w:t>
      </w:r>
      <w:r>
        <w:rPr>
          <w:rFonts w:ascii="Arial" w:cs="Arial" w:eastAsia="Arial" w:hAnsi="Arial"/>
          <w:sz w:val="18"/>
          <w:szCs w:val="18"/>
          <w:color w:val="auto"/>
        </w:rPr>
        <w:t>. Client may [***] of Client’s receipt of such documentation which reasonably supports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due.</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1"/>
          <w:numId w:val="289"/>
        </w:numPr>
        <w:rPr>
          <w:rFonts w:ascii="Arial" w:cs="Arial" w:eastAsia="Arial" w:hAnsi="Arial"/>
          <w:sz w:val="18"/>
          <w:szCs w:val="18"/>
          <w:color w:val="auto"/>
        </w:rPr>
      </w:pPr>
      <w:r>
        <w:rPr>
          <w:rFonts w:ascii="Arial" w:cs="Arial" w:eastAsia="Arial" w:hAnsi="Arial"/>
          <w:sz w:val="18"/>
          <w:szCs w:val="18"/>
          <w:b w:val="1"/>
          <w:bCs w:val="1"/>
          <w:color w:val="auto"/>
        </w:rPr>
        <w:t>Card Funding and Settlement</w:t>
      </w:r>
      <w:r>
        <w:rPr>
          <w:rFonts w:ascii="Arial" w:cs="Arial" w:eastAsia="Arial" w:hAnsi="Arial"/>
          <w:sz w:val="18"/>
          <w:szCs w:val="18"/>
          <w:color w:val="auto"/>
        </w:rPr>
        <w:t>. Client will [***].</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Marqeta Payment to Client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60" w:hanging="532"/>
        <w:spacing w:after="0" w:line="282" w:lineRule="auto"/>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Interchange</w:t>
      </w:r>
      <w:r>
        <w:rPr>
          <w:rFonts w:ascii="Arial" w:cs="Arial" w:eastAsia="Arial" w:hAnsi="Arial"/>
          <w:sz w:val="18"/>
          <w:szCs w:val="18"/>
          <w:color w:val="auto"/>
        </w:rPr>
        <w:t xml:space="preserve"> [***] </w:t>
      </w:r>
      <w:r>
        <w:rPr>
          <w:rFonts w:ascii="Arial" w:cs="Arial" w:eastAsia="Arial" w:hAnsi="Arial"/>
          <w:sz w:val="18"/>
          <w:szCs w:val="18"/>
          <w:b w:val="1"/>
          <w:bCs w:val="1"/>
          <w:color w:val="auto"/>
        </w:rPr>
        <w:t>Fee</w:t>
      </w:r>
      <w:r>
        <w:rPr>
          <w:rFonts w:ascii="Arial" w:cs="Arial" w:eastAsia="Arial" w:hAnsi="Arial"/>
          <w:sz w:val="18"/>
          <w:szCs w:val="18"/>
          <w:color w:val="auto"/>
        </w:rPr>
        <w:t xml:space="preserve">. Marqeta shall pay Client the [***] Interchange [***] Fee as forth in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Periodic payments of such fees under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shall be computed on a calendar [***] basis and shall be prorated for any partial [***].</w:t>
      </w:r>
    </w:p>
    <w:p>
      <w:pPr>
        <w:spacing w:after="0" w:line="67" w:lineRule="exact"/>
        <w:rPr>
          <w:rFonts w:ascii="Arial" w:cs="Arial" w:eastAsia="Arial" w:hAnsi="Arial"/>
          <w:sz w:val="18"/>
          <w:szCs w:val="18"/>
          <w:color w:val="auto"/>
        </w:rPr>
      </w:pPr>
    </w:p>
    <w:p>
      <w:pPr>
        <w:ind w:left="964" w:right="700" w:hanging="532"/>
        <w:spacing w:after="0" w:line="312" w:lineRule="auto"/>
        <w:tabs>
          <w:tab w:leader="none" w:pos="964" w:val="left"/>
        </w:tabs>
        <w:numPr>
          <w:ilvl w:val="1"/>
          <w:numId w:val="290"/>
        </w:numPr>
        <w:rPr>
          <w:rFonts w:ascii="Arial" w:cs="Arial" w:eastAsia="Arial" w:hAnsi="Arial"/>
          <w:sz w:val="17"/>
          <w:szCs w:val="17"/>
          <w:color w:val="auto"/>
        </w:rPr>
      </w:pPr>
      <w:r>
        <w:rPr>
          <w:rFonts w:ascii="Arial" w:cs="Arial" w:eastAsia="Arial" w:hAnsi="Arial"/>
          <w:sz w:val="17"/>
          <w:szCs w:val="17"/>
          <w:b w:val="1"/>
          <w:bCs w:val="1"/>
          <w:color w:val="auto"/>
        </w:rPr>
        <w:t>Statement and Payment</w:t>
      </w:r>
      <w:r>
        <w:rPr>
          <w:rFonts w:ascii="Arial" w:cs="Arial" w:eastAsia="Arial" w:hAnsi="Arial"/>
          <w:sz w:val="17"/>
          <w:szCs w:val="17"/>
          <w:color w:val="auto"/>
        </w:rPr>
        <w:t>. Marqeta shall provide Client with a [***] statement for the [***] Interchange [***] Fee due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on a [***] basis in arrears, together with payment of the [***] amount set forth on such statement.</w:t>
      </w:r>
    </w:p>
    <w:p>
      <w:pPr>
        <w:spacing w:after="0" w:line="45" w:lineRule="exact"/>
        <w:rPr>
          <w:rFonts w:ascii="Arial" w:cs="Arial" w:eastAsia="Arial" w:hAnsi="Arial"/>
          <w:sz w:val="17"/>
          <w:szCs w:val="17"/>
          <w:color w:val="auto"/>
        </w:rPr>
      </w:pPr>
    </w:p>
    <w:p>
      <w:pPr>
        <w:ind w:left="964" w:hanging="532"/>
        <w:spacing w:after="0" w:line="266" w:lineRule="auto"/>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b w:val="1"/>
          <w:bCs w:val="1"/>
          <w:color w:val="auto"/>
        </w:rPr>
        <w:t>Audit rights</w:t>
      </w:r>
      <w:r>
        <w:rPr>
          <w:rFonts w:ascii="Arial" w:cs="Arial" w:eastAsia="Arial" w:hAnsi="Arial"/>
          <w:sz w:val="18"/>
          <w:szCs w:val="18"/>
          <w:color w:val="auto"/>
        </w:rPr>
        <w:t>. Marqeta is obligated to preserve all records related to the performance of Services, including [***],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a minimum of [***] following the termination of this Agreement. Client, upon reasonable notice to Marqeta, has the right to audit the books, records and procedures of Marqeta regarding information directly related to this Agreement.</w:t>
      </w:r>
    </w:p>
    <w:p>
      <w:pPr>
        <w:spacing w:after="0" w:line="81" w:lineRule="exact"/>
        <w:rPr>
          <w:rFonts w:ascii="Arial" w:cs="Arial" w:eastAsia="Arial" w:hAnsi="Arial"/>
          <w:sz w:val="18"/>
          <w:szCs w:val="18"/>
          <w:color w:val="auto"/>
        </w:rPr>
      </w:pPr>
    </w:p>
    <w:p>
      <w:pPr>
        <w:ind w:left="424" w:right="80" w:hanging="424"/>
        <w:spacing w:after="0" w:line="266" w:lineRule="auto"/>
        <w:tabs>
          <w:tab w:leader="none" w:pos="424"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Supporting Documentation</w:t>
      </w:r>
      <w:r>
        <w:rPr>
          <w:rFonts w:ascii="Arial" w:cs="Arial" w:eastAsia="Arial" w:hAnsi="Arial"/>
          <w:sz w:val="18"/>
          <w:szCs w:val="18"/>
          <w:color w:val="auto"/>
        </w:rPr>
        <w:t>. Marqeta shall maintain supporting documentation for the amounts billable to, and payments made by and to, Client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in accordance with generally accepted accounting principles. Marqeta agrees to provide Client with such supporting documentation with respect to each invoice and statement as may be reasonably requested by Client.</w:t>
      </w:r>
    </w:p>
    <w:p>
      <w:pPr>
        <w:spacing w:after="0" w:line="324" w:lineRule="exact"/>
        <w:rPr>
          <w:sz w:val="20"/>
          <w:szCs w:val="20"/>
          <w:color w:val="auto"/>
        </w:rPr>
      </w:pPr>
    </w:p>
    <w:p>
      <w:pPr>
        <w:ind w:left="424" w:right="200" w:hanging="424"/>
        <w:spacing w:after="0" w:line="258"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RANSITION</w:t>
      </w:r>
      <w:r>
        <w:rPr>
          <w:rFonts w:ascii="Arial" w:cs="Arial" w:eastAsia="Arial" w:hAnsi="Arial"/>
          <w:sz w:val="18"/>
          <w:szCs w:val="18"/>
          <w:color w:val="auto"/>
        </w:rPr>
        <w:t>. In connection with any termination or expiration of this Agreement or Client’s termination of use of Services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for in this Agreement, if requested by Client in its sole discretion, and at Client’s sole expense, including those items at the charges set forth in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or as agreed by the Parties, Marqeta will provide all assistance that Client and any successor provider of services may reasonably require in connection with the Transition of any and all Accounts then processed by Marqeta (the “</w:t>
      </w:r>
      <w:r>
        <w:rPr>
          <w:rFonts w:ascii="Arial" w:cs="Arial" w:eastAsia="Arial" w:hAnsi="Arial"/>
          <w:sz w:val="18"/>
          <w:szCs w:val="18"/>
          <w:u w:val="single" w:color="auto"/>
          <w:color w:val="auto"/>
        </w:rPr>
        <w:t>Transition Services</w:t>
      </w:r>
      <w:r>
        <w:rPr>
          <w:rFonts w:ascii="Arial" w:cs="Arial" w:eastAsia="Arial" w:hAnsi="Arial"/>
          <w:sz w:val="18"/>
          <w:szCs w:val="18"/>
          <w:color w:val="auto"/>
        </w:rPr>
        <w:t>”). If Client elects to receive Transition Services, Marqeta will do the following:</w:t>
      </w:r>
    </w:p>
    <w:p>
      <w:pPr>
        <w:spacing w:after="0" w:line="92" w:lineRule="exact"/>
        <w:rPr>
          <w:rFonts w:ascii="Arial" w:cs="Arial" w:eastAsia="Arial" w:hAnsi="Arial"/>
          <w:sz w:val="18"/>
          <w:szCs w:val="18"/>
          <w:color w:val="auto"/>
        </w:rPr>
      </w:pPr>
    </w:p>
    <w:p>
      <w:pPr>
        <w:ind w:left="964" w:hanging="532"/>
        <w:spacing w:after="0" w:line="293" w:lineRule="auto"/>
        <w:tabs>
          <w:tab w:leader="none" w:pos="964" w:val="left"/>
        </w:tabs>
        <w:numPr>
          <w:ilvl w:val="1"/>
          <w:numId w:val="291"/>
        </w:numPr>
        <w:rPr>
          <w:rFonts w:ascii="Arial" w:cs="Arial" w:eastAsia="Arial" w:hAnsi="Arial"/>
          <w:sz w:val="16"/>
          <w:szCs w:val="16"/>
          <w:color w:val="auto"/>
        </w:rPr>
      </w:pPr>
      <w:r>
        <w:rPr>
          <w:rFonts w:ascii="Arial" w:cs="Arial" w:eastAsia="Arial" w:hAnsi="Arial"/>
          <w:sz w:val="16"/>
          <w:szCs w:val="16"/>
          <w:color w:val="auto"/>
        </w:rPr>
        <w:t>Marqeta shall make available to such successor provider the information or data Marqeta possesses regarding Client’s Cardholders and any and all Client Accounts then processed by Marqeta together with adequate instructions concerning the format and means of accessing such information. Without limiting the foregoing, Marqeta shall provide to a successor provider an explanation of the data layout and fields in the master file tapes containing Client’s Account data, test tapes containing appropriate test data for use in preparing for the Transition, and, at the date of Transition, master file tapes containing all of Client’s Account data together with an explanation of any changes in the data layout and fields therein that have occurred since Marqeta first provided such information to the successor provider.</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365" w:name="page366"/>
    <w:bookmarkEnd w:id="365"/>
    <w:p>
      <w:pPr>
        <w:ind w:left="964" w:right="60" w:hanging="532"/>
        <w:spacing w:after="0" w:line="253" w:lineRule="auto"/>
        <w:tabs>
          <w:tab w:leader="none" w:pos="964"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before the expiration or termination of the Term, if Client elects to receive Transition Services, Client shall provide written notice to Marqeta designating a date for initiation of the process for planning and undertaking a Transition, and Client and Marqeta will negotiate in good faith to establish the appropriate date for completion of Transition. Such negotiations will take into account (1) the availability of Marqeta Personnel, (2) Marqeta’s existing commitments to other Marqeta customers to undertake activities requiring the use of significant amounts of Marqeta resources, such as other customer implementations and Transitions, and (3) Marqeta’s reasonable programming blackout periods that apply to other Marqeta customers. The proposed date for completion of Transition shall be no fewer than one hundred eighty (180) days following said written notice, but in no event shall be prior to the last day of the Term. Notwithstanding any provision herein to the contrary, this Agreement shall continue on the same commercial terms and conditions until the completion of the Transition.</w:t>
      </w:r>
    </w:p>
    <w:p>
      <w:pPr>
        <w:spacing w:after="0" w:line="101" w:lineRule="exact"/>
        <w:rPr>
          <w:rFonts w:ascii="Arial" w:cs="Arial" w:eastAsia="Arial" w:hAnsi="Arial"/>
          <w:sz w:val="18"/>
          <w:szCs w:val="18"/>
          <w:color w:val="auto"/>
        </w:rPr>
      </w:pPr>
    </w:p>
    <w:p>
      <w:pPr>
        <w:ind w:left="964" w:right="140" w:hanging="532"/>
        <w:spacing w:after="0" w:line="259" w:lineRule="auto"/>
        <w:tabs>
          <w:tab w:leader="none" w:pos="96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the event Client elects not to receive Transition Services, the Parties will work in good faith to implement an orderly wind down of the Services after expiration or termination of this Agreement, including a mutually agreed upon set of rules and communications to Cardholders. The wind down period will not exceed six (6) months after termination or expiration of this Agreement, unless required by Applicable Law or the parties agree otherwise.</w:t>
      </w:r>
    </w:p>
    <w:p>
      <w:pPr>
        <w:spacing w:after="0" w:line="331" w:lineRule="exact"/>
        <w:rPr>
          <w:sz w:val="20"/>
          <w:szCs w:val="20"/>
          <w:color w:val="auto"/>
        </w:rPr>
      </w:pPr>
    </w:p>
    <w:p>
      <w:pPr>
        <w:ind w:left="424" w:hanging="424"/>
        <w:spacing w:after="0"/>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ARRANTIES</w:t>
      </w:r>
      <w:r>
        <w:rPr>
          <w:rFonts w:ascii="Arial" w:cs="Arial" w:eastAsia="Arial" w:hAnsi="Arial"/>
          <w:sz w:val="18"/>
          <w:szCs w:val="18"/>
          <w:color w:val="auto"/>
        </w:rPr>
        <w:t>.</w:t>
      </w:r>
    </w:p>
    <w:p>
      <w:pPr>
        <w:spacing w:after="0" w:line="131" w:lineRule="exact"/>
        <w:rPr>
          <w:sz w:val="20"/>
          <w:szCs w:val="20"/>
          <w:color w:val="auto"/>
        </w:rPr>
      </w:pPr>
    </w:p>
    <w:p>
      <w:pPr>
        <w:ind w:left="424" w:right="160" w:hanging="424"/>
        <w:spacing w:after="0" w:line="293" w:lineRule="auto"/>
        <w:tabs>
          <w:tab w:leader="none" w:pos="424" w:val="left"/>
        </w:tabs>
        <w:numPr>
          <w:ilvl w:val="0"/>
          <w:numId w:val="294"/>
        </w:numPr>
        <w:rPr>
          <w:rFonts w:ascii="Arial" w:cs="Arial" w:eastAsia="Arial" w:hAnsi="Arial"/>
          <w:sz w:val="16"/>
          <w:szCs w:val="16"/>
          <w:color w:val="auto"/>
        </w:rPr>
      </w:pPr>
      <w:r>
        <w:rPr>
          <w:rFonts w:ascii="Arial" w:cs="Arial" w:eastAsia="Arial" w:hAnsi="Arial"/>
          <w:sz w:val="16"/>
          <w:szCs w:val="16"/>
          <w:b w:val="1"/>
          <w:bCs w:val="1"/>
          <w:color w:val="auto"/>
        </w:rPr>
        <w:t>Marqeta Warranties</w:t>
      </w:r>
      <w:r>
        <w:rPr>
          <w:rFonts w:ascii="Arial" w:cs="Arial" w:eastAsia="Arial" w:hAnsi="Arial"/>
          <w:sz w:val="16"/>
          <w:szCs w:val="16"/>
          <w:color w:val="auto"/>
        </w:rPr>
        <w:t>. Marqeta represents and warrants that (i) the Services shall be performed in a commercially reasonable manner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generally accepted industry practices and procedures used in performing services like the Services (the “</w:t>
      </w:r>
      <w:r>
        <w:rPr>
          <w:rFonts w:ascii="Arial" w:cs="Arial" w:eastAsia="Arial" w:hAnsi="Arial"/>
          <w:sz w:val="16"/>
          <w:szCs w:val="16"/>
          <w:u w:val="single" w:color="auto"/>
          <w:color w:val="auto"/>
        </w:rPr>
        <w:t>Standard of Care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24" w:firstLine="8"/>
        <w:spacing w:after="0" w:line="268" w:lineRule="auto"/>
        <w:tabs>
          <w:tab w:leader="none" w:pos="689" w:val="left"/>
        </w:tabs>
        <w:numPr>
          <w:ilvl w:val="1"/>
          <w:numId w:val="294"/>
        </w:numPr>
        <w:rPr>
          <w:rFonts w:ascii="Arial" w:cs="Arial" w:eastAsia="Arial" w:hAnsi="Arial"/>
          <w:sz w:val="17"/>
          <w:szCs w:val="17"/>
          <w:color w:val="auto"/>
        </w:rPr>
      </w:pPr>
      <w:r>
        <w:rPr>
          <w:rFonts w:ascii="Arial" w:cs="Arial" w:eastAsia="Arial" w:hAnsi="Arial"/>
          <w:sz w:val="17"/>
          <w:szCs w:val="17"/>
          <w:color w:val="auto"/>
        </w:rPr>
        <w:t>it has the requisite corporate power and authority to enter into this Agreement and to make the commitments set forth in this Agreement and that it is not a party to any other agreement which would hinder its ability to perform its obligations hereunder; (iii) it is and will continue to be duly qualified and licensed and has made and will continue to make all registrations to do business and to carry out its obligations under this Agreement to the extent required by U.S. federal law and the law of each U.S. state in which Marqeta provides Services; (iv) it is authorized to use Marqeta Materials and to license the Marqeta Materials to Client as contemplated by this Agreement; (v) its performance under this Agreement will not breach (a) any agreement between itself and a third party or (b) any obligation to keep in confidence the proprietary information of another party, (vi) it is not a party to any other agreement which would hinder its ability to perform its obligations hereunder, and (vii) it will comply with all Marqeta Legal Requirements in performing its obligations under this Agreement.</w:t>
      </w:r>
    </w:p>
    <w:p>
      <w:pPr>
        <w:spacing w:after="0" w:line="84" w:lineRule="exact"/>
        <w:rPr>
          <w:rFonts w:ascii="Arial" w:cs="Arial" w:eastAsia="Arial" w:hAnsi="Arial"/>
          <w:sz w:val="17"/>
          <w:szCs w:val="17"/>
          <w:color w:val="auto"/>
        </w:rPr>
      </w:pPr>
    </w:p>
    <w:p>
      <w:pPr>
        <w:ind w:left="424" w:right="260" w:hanging="424"/>
        <w:spacing w:after="0" w:line="261" w:lineRule="auto"/>
        <w:tabs>
          <w:tab w:leader="none" w:pos="424"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t>Marqeta Disclaimer</w:t>
      </w:r>
      <w:r>
        <w:rPr>
          <w:rFonts w:ascii="Arial" w:cs="Arial" w:eastAsia="Arial" w:hAnsi="Arial"/>
          <w:sz w:val="18"/>
          <w:szCs w:val="18"/>
          <w:color w:val="auto"/>
        </w:rPr>
        <w:t>. EXCEPT AS EXPRESSLY PROVIDED IN THIS AGREEMENT, MARQETA MAKES NO REPRESENTATIONS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OF ANY KIND, NATURE OR DESCRIPTION, WHETHER STATUTORY, EXPRESS OR IMPLIED, INCLUDING ANY WARRANTY OF NON-INFRINGEMENT, ERROR-FREE OPERATION, MERCHANTABILITY OR FITNESS FOR A PARTICULAR PURPOSE.</w:t>
      </w:r>
    </w:p>
    <w:p>
      <w:pPr>
        <w:spacing w:after="0" w:line="85" w:lineRule="exact"/>
        <w:rPr>
          <w:rFonts w:ascii="Arial" w:cs="Arial" w:eastAsia="Arial" w:hAnsi="Arial"/>
          <w:sz w:val="18"/>
          <w:szCs w:val="18"/>
          <w:color w:val="auto"/>
        </w:rPr>
      </w:pPr>
    </w:p>
    <w:p>
      <w:pPr>
        <w:ind w:left="424" w:right="140" w:hanging="424"/>
        <w:spacing w:after="0" w:line="294" w:lineRule="auto"/>
        <w:tabs>
          <w:tab w:leader="none" w:pos="424" w:val="left"/>
        </w:tabs>
        <w:numPr>
          <w:ilvl w:val="0"/>
          <w:numId w:val="294"/>
        </w:numPr>
        <w:rPr>
          <w:rFonts w:ascii="Arial" w:cs="Arial" w:eastAsia="Arial" w:hAnsi="Arial"/>
          <w:sz w:val="16"/>
          <w:szCs w:val="16"/>
          <w:color w:val="auto"/>
        </w:rPr>
      </w:pPr>
      <w:r>
        <w:rPr>
          <w:rFonts w:ascii="Arial" w:cs="Arial" w:eastAsia="Arial" w:hAnsi="Arial"/>
          <w:sz w:val="16"/>
          <w:szCs w:val="16"/>
          <w:b w:val="1"/>
          <w:bCs w:val="1"/>
          <w:color w:val="auto"/>
        </w:rPr>
        <w:t>Client Warranties</w:t>
      </w:r>
      <w:r>
        <w:rPr>
          <w:rFonts w:ascii="Arial" w:cs="Arial" w:eastAsia="Arial" w:hAnsi="Arial"/>
          <w:sz w:val="16"/>
          <w:szCs w:val="16"/>
          <w:color w:val="auto"/>
        </w:rPr>
        <w:t>. Client represents and warrants that (i) it has the requisite corporate power and authority to enter into this Agreement and to</w:t>
      </w:r>
      <w:r>
        <w:rPr>
          <w:rFonts w:ascii="Arial" w:cs="Arial" w:eastAsia="Arial" w:hAnsi="Arial"/>
          <w:sz w:val="16"/>
          <w:szCs w:val="16"/>
          <w:b w:val="1"/>
          <w:bCs w:val="1"/>
          <w:color w:val="auto"/>
        </w:rPr>
        <w:t xml:space="preserve"> </w:t>
      </w:r>
      <w:r>
        <w:rPr>
          <w:rFonts w:ascii="Arial" w:cs="Arial" w:eastAsia="Arial" w:hAnsi="Arial"/>
          <w:sz w:val="16"/>
          <w:szCs w:val="16"/>
          <w:color w:val="auto"/>
        </w:rPr>
        <w:t>make the commitments set forth in this Agreement; (ii) it is not a party to any other agreement which would hinder its ability to perform its obligations hereunder; (iii) it is and will continue to be duly qualified and licensed and has made and will continue to make all registrations to do business and to carry out its obligations under this Agreement to the extent required by U.S. federal law and the law of each U.S. state in which Client conducts business; (iv) it is authorized to use Client Materials and to license the Client Materials to Marqeta as contemplated by this Agreement; and (v) it will comply with all Client Legal Requirements in performing its obligations under this Agreement.</w:t>
      </w:r>
    </w:p>
    <w:p>
      <w:pPr>
        <w:spacing w:after="0" w:line="65" w:lineRule="exact"/>
        <w:rPr>
          <w:rFonts w:ascii="Arial" w:cs="Arial" w:eastAsia="Arial" w:hAnsi="Arial"/>
          <w:sz w:val="16"/>
          <w:szCs w:val="16"/>
          <w:color w:val="auto"/>
        </w:rPr>
      </w:pPr>
    </w:p>
    <w:p>
      <w:pPr>
        <w:ind w:left="424" w:right="440" w:hanging="424"/>
        <w:spacing w:after="0" w:line="289" w:lineRule="auto"/>
        <w:tabs>
          <w:tab w:leader="none" w:pos="424" w:val="left"/>
        </w:tabs>
        <w:numPr>
          <w:ilvl w:val="0"/>
          <w:numId w:val="294"/>
        </w:numPr>
        <w:rPr>
          <w:rFonts w:ascii="Arial" w:cs="Arial" w:eastAsia="Arial" w:hAnsi="Arial"/>
          <w:sz w:val="17"/>
          <w:szCs w:val="17"/>
          <w:color w:val="auto"/>
        </w:rPr>
      </w:pPr>
      <w:r>
        <w:rPr>
          <w:rFonts w:ascii="Arial" w:cs="Arial" w:eastAsia="Arial" w:hAnsi="Arial"/>
          <w:sz w:val="17"/>
          <w:szCs w:val="17"/>
          <w:b w:val="1"/>
          <w:bCs w:val="1"/>
          <w:color w:val="auto"/>
        </w:rPr>
        <w:t>Client Disclaimer</w:t>
      </w:r>
      <w:r>
        <w:rPr>
          <w:rFonts w:ascii="Arial" w:cs="Arial" w:eastAsia="Arial" w:hAnsi="Arial"/>
          <w:sz w:val="17"/>
          <w:szCs w:val="17"/>
          <w:color w:val="auto"/>
        </w:rPr>
        <w:t>. EXCEPT AS EXPRESSLY PROVIDED IN THIS AGREEMENT, CLIENT MAKES NO REPRESENTATIONS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OF ANY KIND, NATURE OR DESCRIPTION, WHETHER STATUTORY, EXPRESS OR IMPLIED, INCLUDING ANY WARRANTY OF NON-INFRINGEMENT, MERCHANTABILITY OR FITNESS FOR A PARTICULAR PURPOSE.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66" w:name="page367"/>
    <w:bookmarkEnd w:id="366"/>
    <w:p>
      <w:pPr>
        <w:ind w:left="424" w:hanging="424"/>
        <w:spacing w:after="0"/>
        <w:tabs>
          <w:tab w:leader="none" w:pos="424"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w:t>
      </w:r>
      <w:r>
        <w:rPr>
          <w:rFonts w:ascii="Arial" w:cs="Arial" w:eastAsia="Arial" w:hAnsi="Arial"/>
          <w:sz w:val="14"/>
          <w:szCs w:val="14"/>
          <w:b w:val="1"/>
          <w:bCs w:val="1"/>
          <w:color w:val="auto"/>
        </w:rPr>
        <w:t>RIVACY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tabs>
          <w:tab w:leader="none" w:pos="424" w:val="left"/>
        </w:tabs>
        <w:numPr>
          <w:ilvl w:val="0"/>
          <w:numId w:val="296"/>
        </w:numPr>
        <w:rPr>
          <w:rFonts w:ascii="Arial" w:cs="Arial" w:eastAsia="Arial" w:hAnsi="Arial"/>
          <w:sz w:val="17"/>
          <w:szCs w:val="17"/>
          <w:color w:val="auto"/>
        </w:rPr>
      </w:pPr>
      <w:r>
        <w:rPr>
          <w:rFonts w:ascii="Arial" w:cs="Arial" w:eastAsia="Arial" w:hAnsi="Arial"/>
          <w:sz w:val="17"/>
          <w:szCs w:val="17"/>
          <w:b w:val="1"/>
          <w:bCs w:val="1"/>
          <w:color w:val="auto"/>
        </w:rPr>
        <w:t xml:space="preserve">Client Data. </w:t>
      </w:r>
      <w:r>
        <w:rPr>
          <w:rFonts w:ascii="Arial" w:cs="Arial" w:eastAsia="Arial" w:hAnsi="Arial"/>
          <w:sz w:val="17"/>
          <w:szCs w:val="17"/>
          <w:color w:val="auto"/>
        </w:rPr>
        <w:t>As between Client and Marqeta, Client Data and Transaction Data shall be owned by Client and Issuing Bank. Subject to</w:t>
      </w:r>
    </w:p>
    <w:p>
      <w:pPr>
        <w:spacing w:after="0" w:line="38" w:lineRule="exact"/>
        <w:rPr>
          <w:rFonts w:ascii="Arial" w:cs="Arial" w:eastAsia="Arial" w:hAnsi="Arial"/>
          <w:sz w:val="17"/>
          <w:szCs w:val="17"/>
          <w:color w:val="auto"/>
        </w:rPr>
      </w:pPr>
    </w:p>
    <w:p>
      <w:pPr>
        <w:ind w:left="424"/>
        <w:spacing w:after="0" w:line="295" w:lineRule="auto"/>
        <w:rPr>
          <w:rFonts w:ascii="Arial" w:cs="Arial" w:eastAsia="Arial" w:hAnsi="Arial"/>
          <w:sz w:val="17"/>
          <w:szCs w:val="17"/>
          <w:color w:val="auto"/>
        </w:rPr>
      </w:pPr>
      <w:r>
        <w:rPr>
          <w:rFonts w:ascii="Arial" w:cs="Arial" w:eastAsia="Arial" w:hAnsi="Arial"/>
          <w:sz w:val="16"/>
          <w:szCs w:val="16"/>
          <w:color w:val="auto"/>
        </w:rPr>
        <w:t>Section 11(b) of these General Terms and Conditions, Marqeta may not use any Client Data or Transaction Data for any purpose except (i) to the extent such Client Data or Transaction Data is necessary for Marqeta to perform its obligations under this Agreement; (ii) internally to provide and improve the Services and to perform fraud screening, verify identities, and verify the information contained in Accounts; (iii) as required by Issuing Bank to meets its regulatory obligations; or (iv) as required by any Regulator with jurisdiction over Issuing Bank or the Parties.</w:t>
      </w:r>
    </w:p>
    <w:p>
      <w:pPr>
        <w:spacing w:after="0" w:line="62" w:lineRule="exact"/>
        <w:rPr>
          <w:rFonts w:ascii="Arial" w:cs="Arial" w:eastAsia="Arial" w:hAnsi="Arial"/>
          <w:sz w:val="17"/>
          <w:szCs w:val="17"/>
          <w:color w:val="auto"/>
        </w:rPr>
      </w:pPr>
    </w:p>
    <w:p>
      <w:pPr>
        <w:ind w:left="424" w:right="100" w:hanging="424"/>
        <w:spacing w:after="0" w:line="291" w:lineRule="auto"/>
        <w:tabs>
          <w:tab w:leader="none" w:pos="424" w:val="left"/>
        </w:tabs>
        <w:numPr>
          <w:ilvl w:val="0"/>
          <w:numId w:val="296"/>
        </w:numPr>
        <w:rPr>
          <w:rFonts w:ascii="Arial" w:cs="Arial" w:eastAsia="Arial" w:hAnsi="Arial"/>
          <w:sz w:val="16"/>
          <w:szCs w:val="16"/>
          <w:color w:val="auto"/>
        </w:rPr>
      </w:pPr>
      <w:r>
        <w:rPr>
          <w:rFonts w:ascii="Arial" w:cs="Arial" w:eastAsia="Arial" w:hAnsi="Arial"/>
          <w:sz w:val="16"/>
          <w:szCs w:val="16"/>
          <w:b w:val="1"/>
          <w:bCs w:val="1"/>
          <w:color w:val="auto"/>
        </w:rPr>
        <w:t xml:space="preserve">Aggregated Data. </w:t>
      </w:r>
      <w:r>
        <w:rPr>
          <w:rFonts w:ascii="Arial" w:cs="Arial" w:eastAsia="Arial" w:hAnsi="Arial"/>
          <w:sz w:val="16"/>
          <w:szCs w:val="16"/>
          <w:color w:val="auto"/>
        </w:rPr>
        <w:t>Subject to the restrictions in this Section 11(b), Marqeta may use Aggregated Data in accordance with Applicable Law.</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Aggregated Data shall be aggregated on a national or regional basis with data from Marqeta’s other clients and will not include any geographic information about Client. Marqeta (i) shall not sell any Aggregated Data to any Person, and (ii) shall ensure that neither Client’s identity nor the identity of any Client Affiliate, Client Personnel, Retail Partner, or any of the foregoing’s relationship to Aggregated Data, is discernible or inferable by any means (either from the data itself or the way it is presented). Marqeta shall never identify Client as the source of any Aggregated Data Marqeta uses pursuant to this Section 11(b),. If Client reasonably believes Marqeta has identified Client as the source of the Aggregated Data, Client shall provide Marqeta with notice of such belief, together with reasonable detail and, if applicable, documentation supporting such belief. If Marqeta identifies Client as the source of Aggregated Data, Marqeta must stop using Client Aggregated Data for any purpose.</w:t>
      </w:r>
    </w:p>
    <w:p>
      <w:pPr>
        <w:spacing w:after="0" w:line="64" w:lineRule="exact"/>
        <w:rPr>
          <w:rFonts w:ascii="Arial" w:cs="Arial" w:eastAsia="Arial" w:hAnsi="Arial"/>
          <w:sz w:val="16"/>
          <w:szCs w:val="16"/>
          <w:color w:val="auto"/>
        </w:rPr>
      </w:pPr>
    </w:p>
    <w:p>
      <w:pPr>
        <w:ind w:left="424" w:right="140" w:hanging="424"/>
        <w:spacing w:after="0" w:line="258" w:lineRule="auto"/>
        <w:tabs>
          <w:tab w:leader="none" w:pos="424"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 xml:space="preserve">Security Standards. </w:t>
      </w:r>
      <w:r>
        <w:rPr>
          <w:rFonts w:ascii="Arial" w:cs="Arial" w:eastAsia="Arial" w:hAnsi="Arial"/>
          <w:sz w:val="18"/>
          <w:szCs w:val="18"/>
          <w:color w:val="auto"/>
        </w:rPr>
        <w:t>Marqeta shall implement security measures designed to (i) ensure the security, integrity and confidentiality of; (ii)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any anticipated threats or hazards to the security or integrity of; and (iii) protect against unauthorized access to or use of Cardholder Data and Transaction Data; all in accordance with Marqeta’s information security policy. In providing the Services, Marqeta will comply with all Applicable Laws and Card Brand Rules regarding debit card processing, customer privacy and payment account data security, including PCI standards.</w:t>
      </w:r>
    </w:p>
    <w:p>
      <w:pPr>
        <w:spacing w:after="0" w:line="88" w:lineRule="exact"/>
        <w:rPr>
          <w:rFonts w:ascii="Arial" w:cs="Arial" w:eastAsia="Arial" w:hAnsi="Arial"/>
          <w:sz w:val="18"/>
          <w:szCs w:val="18"/>
          <w:color w:val="auto"/>
        </w:rPr>
      </w:pPr>
    </w:p>
    <w:p>
      <w:pPr>
        <w:ind w:left="424" w:right="80" w:hanging="424"/>
        <w:spacing w:after="0" w:line="266" w:lineRule="auto"/>
        <w:tabs>
          <w:tab w:leader="none" w:pos="424"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Unauthorized Application</w:t>
      </w:r>
      <w:r>
        <w:rPr>
          <w:rFonts w:ascii="Arial" w:cs="Arial" w:eastAsia="Arial" w:hAnsi="Arial"/>
          <w:sz w:val="18"/>
          <w:szCs w:val="18"/>
          <w:color w:val="auto"/>
        </w:rPr>
        <w:t>. The Parties acknowledge and agree that Marqeta shall be solely responsible for the unauthorized or fraudulent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for, access to or use of Cardholder Data or Transaction Data by any Entity, when such unauthorized or fraudulent activity is caused by the negligent acts or omissions, gross or willful misconduct of Marqeta or its Personnel.</w:t>
      </w:r>
    </w:p>
    <w:p>
      <w:pPr>
        <w:spacing w:after="0" w:line="81" w:lineRule="exact"/>
        <w:rPr>
          <w:rFonts w:ascii="Arial" w:cs="Arial" w:eastAsia="Arial" w:hAnsi="Arial"/>
          <w:sz w:val="18"/>
          <w:szCs w:val="18"/>
          <w:color w:val="auto"/>
        </w:rPr>
      </w:pPr>
    </w:p>
    <w:p>
      <w:pPr>
        <w:ind w:left="424" w:right="660" w:hanging="424"/>
        <w:spacing w:after="0" w:line="347" w:lineRule="auto"/>
        <w:tabs>
          <w:tab w:leader="none" w:pos="424" w:val="left"/>
        </w:tabs>
        <w:numPr>
          <w:ilvl w:val="0"/>
          <w:numId w:val="296"/>
        </w:numPr>
        <w:rPr>
          <w:rFonts w:ascii="Arial" w:cs="Arial" w:eastAsia="Arial" w:hAnsi="Arial"/>
          <w:sz w:val="16"/>
          <w:szCs w:val="16"/>
          <w:color w:val="auto"/>
        </w:rPr>
      </w:pPr>
      <w:r>
        <w:rPr>
          <w:rFonts w:ascii="Arial" w:cs="Arial" w:eastAsia="Arial" w:hAnsi="Arial"/>
          <w:sz w:val="16"/>
          <w:szCs w:val="16"/>
          <w:b w:val="1"/>
          <w:bCs w:val="1"/>
          <w:color w:val="auto"/>
        </w:rPr>
        <w:t>Notice of Security Breach</w:t>
      </w:r>
      <w:r>
        <w:rPr>
          <w:rFonts w:ascii="Arial" w:cs="Arial" w:eastAsia="Arial" w:hAnsi="Arial"/>
          <w:sz w:val="16"/>
          <w:szCs w:val="16"/>
          <w:color w:val="auto"/>
        </w:rPr>
        <w:t>. If Marqeta becomes aware of any unauthorized access to Cardholder Data or Transaction Data, Marqeta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report such incident to Client and describe in reasonable detail the circumstances surrounding such unauthorized access.</w:t>
      </w:r>
    </w:p>
    <w:p>
      <w:pPr>
        <w:spacing w:after="0" w:line="264" w:lineRule="exact"/>
        <w:rPr>
          <w:sz w:val="20"/>
          <w:szCs w:val="20"/>
          <w:color w:val="auto"/>
        </w:rPr>
      </w:pPr>
    </w:p>
    <w:p>
      <w:pPr>
        <w:ind w:left="424" w:hanging="424"/>
        <w:spacing w:after="0"/>
        <w:tabs>
          <w:tab w:leader="none" w:pos="424"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color w:val="auto"/>
        </w:rPr>
        <w:t>.</w:t>
      </w:r>
    </w:p>
    <w:p>
      <w:pPr>
        <w:spacing w:after="0" w:line="131" w:lineRule="exact"/>
        <w:rPr>
          <w:sz w:val="20"/>
          <w:szCs w:val="20"/>
          <w:color w:val="auto"/>
        </w:rPr>
      </w:pPr>
    </w:p>
    <w:p>
      <w:pPr>
        <w:ind w:left="424" w:right="60" w:hanging="424"/>
        <w:spacing w:after="0" w:line="287" w:lineRule="auto"/>
        <w:tabs>
          <w:tab w:leader="none" w:pos="424" w:val="left"/>
        </w:tabs>
        <w:numPr>
          <w:ilvl w:val="0"/>
          <w:numId w:val="298"/>
        </w:numPr>
        <w:rPr>
          <w:rFonts w:ascii="Arial" w:cs="Arial" w:eastAsia="Arial" w:hAnsi="Arial"/>
          <w:sz w:val="16"/>
          <w:szCs w:val="16"/>
          <w:color w:val="auto"/>
        </w:rPr>
      </w:pPr>
      <w:r>
        <w:rPr>
          <w:rFonts w:ascii="Arial" w:cs="Arial" w:eastAsia="Arial" w:hAnsi="Arial"/>
          <w:sz w:val="16"/>
          <w:szCs w:val="16"/>
          <w:b w:val="1"/>
          <w:bCs w:val="1"/>
          <w:color w:val="auto"/>
        </w:rPr>
        <w:t>Defined</w:t>
      </w:r>
      <w:r>
        <w:rPr>
          <w:rFonts w:ascii="Arial" w:cs="Arial" w:eastAsia="Arial" w:hAnsi="Arial"/>
          <w:sz w:val="16"/>
          <w:szCs w:val="16"/>
          <w:color w:val="auto"/>
        </w:rPr>
        <w:t>. The Parties acknowledge that they may be furnished with, receive, or otherwise have access to Confidential Information of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“Confidential Information” means all information, in any form, furnished or made available directly or indirectly by one Party to the other before, on or after the Effective Date, which is marked confidential, proprietary or with a similar designation or, if unmarked, which the receiving Party should reasonably know is confidential and proprietary. Confidential Information shall include (i) a Party’s Trade Secrets;</w:t>
      </w:r>
    </w:p>
    <w:p>
      <w:pPr>
        <w:spacing w:after="0" w:line="2" w:lineRule="exact"/>
        <w:rPr>
          <w:rFonts w:ascii="Arial" w:cs="Arial" w:eastAsia="Arial" w:hAnsi="Arial"/>
          <w:sz w:val="16"/>
          <w:szCs w:val="16"/>
          <w:color w:val="auto"/>
        </w:rPr>
      </w:pPr>
    </w:p>
    <w:p>
      <w:pPr>
        <w:ind w:left="424" w:right="220"/>
        <w:spacing w:after="0" w:line="292" w:lineRule="auto"/>
        <w:rPr>
          <w:rFonts w:ascii="Arial" w:cs="Arial" w:eastAsia="Arial" w:hAnsi="Arial"/>
          <w:sz w:val="16"/>
          <w:szCs w:val="16"/>
          <w:color w:val="auto"/>
        </w:rPr>
      </w:pPr>
      <w:r>
        <w:rPr>
          <w:rFonts w:ascii="Arial" w:cs="Arial" w:eastAsia="Arial" w:hAnsi="Arial"/>
          <w:sz w:val="16"/>
          <w:szCs w:val="16"/>
          <w:color w:val="auto"/>
        </w:rPr>
        <w:t>(ii) information concerning the operations, affairs and businesses of either Party, its customers and suppliers; (iii) Documentation and Developments, each of which shall be considered the Confidential Information of Marqeta; and (iv) that portion of any specifications, designs, documents, correspondence, software, data and other materials and Marqeta Properties containing Confidential Information as described herein and provided by either Party or its subcontractors to the other Party in connection with this Agreement. For purposes of this Agreement, Issuing Bank’s Confidential Information and Trade Secrets shall be deemed to be Marqeta’s Confidential Information and Trade Secrets.</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367" w:name="page368"/>
    <w:bookmarkEnd w:id="367"/>
    <w:p>
      <w:pPr>
        <w:ind w:left="424" w:hanging="424"/>
        <w:spacing w:after="0"/>
        <w:tabs>
          <w:tab w:leader="none" w:pos="424"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hanging="532"/>
        <w:spacing w:after="0" w:line="287" w:lineRule="auto"/>
        <w:tabs>
          <w:tab w:leader="none" w:pos="964" w:val="left"/>
        </w:tabs>
        <w:numPr>
          <w:ilvl w:val="1"/>
          <w:numId w:val="299"/>
        </w:numPr>
        <w:rPr>
          <w:rFonts w:ascii="Arial" w:cs="Arial" w:eastAsia="Arial" w:hAnsi="Arial"/>
          <w:sz w:val="16"/>
          <w:szCs w:val="16"/>
          <w:color w:val="auto"/>
        </w:rPr>
      </w:pPr>
      <w:r>
        <w:rPr>
          <w:rFonts w:ascii="Arial" w:cs="Arial" w:eastAsia="Arial" w:hAnsi="Arial"/>
          <w:sz w:val="16"/>
          <w:szCs w:val="16"/>
          <w:color w:val="auto"/>
        </w:rPr>
        <w:t>The receiving Party shall exercise, at a minimum, the same degree of care to prevent unauthorized use or disclosure of the other Party’s Confidential Information as it normally takes to prevent the unauthorized use or disclosure of its own proprietary information of like kind, but in no event less than a commercially reasonable degree of care. The receiving Party shall refrain from using the Confidential Information except as necessary in performing its obligations under this Agreement, and shall limit use or disclosure to individuals needing to know the information to perform their obligations under this Agreement. Neither party shall reverse engineer, disassemble or decompile any prototypes, software or other tangible objects which embody the other party’s Confidential Information and which are provided to the Party hereunder. Neither Party shall disclose the negotiated pricing or terms of this Agreement to any third party, and any such disclosure shall be a material breach of this Agreement, except that, (i) if requested by Issuing Bank to meet its due diligence and regulatory requirements, Marqeta may disclose the requested Client Confidential Information and this Agreement to Issuing Bank, and (ii) a Party may disclose the fact that the other Party is a client and the commercial terms of this Agreement to potential investors and acquirers in connection with a bona fide financing or acquisition due diligence. In any event, each Party shall be liable for any breach of the obligations defined within this Agreement by its respective Personnel, external or internal auditors or independent contractors.</w:t>
      </w:r>
    </w:p>
    <w:p>
      <w:pPr>
        <w:spacing w:after="0" w:line="73" w:lineRule="exact"/>
        <w:rPr>
          <w:rFonts w:ascii="Arial" w:cs="Arial" w:eastAsia="Arial" w:hAnsi="Arial"/>
          <w:sz w:val="16"/>
          <w:szCs w:val="16"/>
          <w:color w:val="auto"/>
        </w:rPr>
      </w:pPr>
    </w:p>
    <w:p>
      <w:pPr>
        <w:ind w:left="964" w:right="80" w:hanging="532"/>
        <w:spacing w:after="0" w:line="259" w:lineRule="auto"/>
        <w:tabs>
          <w:tab w:leader="none" w:pos="96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As requested by a Party during the Term or upon any termination of this Agreement, the other Party shall return or destroy, as the requesting Party may direct, all material in any medium that contains, the requesting Party’s Confidential Information and retain no copies (except those necessary to comply with regulatory requirements applicable to the retaining Party) or pursuant to their data retention policies. Any destruction pursuant to this Section 12(b)(ii) shall be certified in writing.</w:t>
      </w:r>
    </w:p>
    <w:p>
      <w:pPr>
        <w:spacing w:after="0" w:line="88" w:lineRule="exact"/>
        <w:rPr>
          <w:rFonts w:ascii="Arial" w:cs="Arial" w:eastAsia="Arial" w:hAnsi="Arial"/>
          <w:sz w:val="18"/>
          <w:szCs w:val="18"/>
          <w:color w:val="auto"/>
        </w:rPr>
      </w:pPr>
    </w:p>
    <w:p>
      <w:pPr>
        <w:ind w:left="424" w:right="20" w:hanging="424"/>
        <w:spacing w:after="0" w:line="298" w:lineRule="auto"/>
        <w:tabs>
          <w:tab w:leader="none" w:pos="424" w:val="left"/>
        </w:tabs>
        <w:numPr>
          <w:ilvl w:val="0"/>
          <w:numId w:val="299"/>
        </w:numPr>
        <w:rPr>
          <w:rFonts w:ascii="Arial" w:cs="Arial" w:eastAsia="Arial" w:hAnsi="Arial"/>
          <w:sz w:val="16"/>
          <w:szCs w:val="16"/>
          <w:color w:val="auto"/>
        </w:rPr>
      </w:pPr>
      <w:r>
        <w:rPr>
          <w:rFonts w:ascii="Arial" w:cs="Arial" w:eastAsia="Arial" w:hAnsi="Arial"/>
          <w:sz w:val="16"/>
          <w:szCs w:val="16"/>
          <w:b w:val="1"/>
          <w:bCs w:val="1"/>
          <w:color w:val="auto"/>
        </w:rPr>
        <w:t>Exclusions</w:t>
      </w:r>
      <w:r>
        <w:rPr>
          <w:rFonts w:ascii="Arial" w:cs="Arial" w:eastAsia="Arial" w:hAnsi="Arial"/>
          <w:sz w:val="16"/>
          <w:szCs w:val="16"/>
          <w:color w:val="auto"/>
        </w:rPr>
        <w:t>. The restrictions set forth in this Section 12 shall not apply to information which a Party can demonstrate in writing (i) was, at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of disclosure to it, in the public domain; (ii) after disclosure to it, is published or otherwise becomes part of the public domain through no fault of the receiving Party; (iii) was in the legal possession of the receiving Party at the time of disclosure to it without a duty of confidentiality; (iv) was received after disclosure to it from a third party who had a lawful right to disclose such information to such Party without confidentiality restrictions; or (v) was independently developed by the receiving Party without reference to Confidential Information of the furnishing Party.</w:t>
      </w:r>
    </w:p>
    <w:p>
      <w:pPr>
        <w:spacing w:after="0" w:line="59" w:lineRule="exact"/>
        <w:rPr>
          <w:rFonts w:ascii="Arial" w:cs="Arial" w:eastAsia="Arial" w:hAnsi="Arial"/>
          <w:sz w:val="16"/>
          <w:szCs w:val="16"/>
          <w:color w:val="auto"/>
        </w:rPr>
      </w:pPr>
    </w:p>
    <w:p>
      <w:pPr>
        <w:ind w:left="424" w:hanging="424"/>
        <w:spacing w:after="0" w:line="270" w:lineRule="auto"/>
        <w:tabs>
          <w:tab w:leader="none" w:pos="424" w:val="left"/>
        </w:tabs>
        <w:numPr>
          <w:ilvl w:val="0"/>
          <w:numId w:val="299"/>
        </w:numPr>
        <w:rPr>
          <w:rFonts w:ascii="Arial" w:cs="Arial" w:eastAsia="Arial" w:hAnsi="Arial"/>
          <w:sz w:val="17"/>
          <w:szCs w:val="17"/>
          <w:color w:val="auto"/>
        </w:rPr>
      </w:pPr>
      <w:r>
        <w:rPr>
          <w:rFonts w:ascii="Arial" w:cs="Arial" w:eastAsia="Arial" w:hAnsi="Arial"/>
          <w:sz w:val="17"/>
          <w:szCs w:val="17"/>
          <w:b w:val="1"/>
          <w:bCs w:val="1"/>
          <w:color w:val="auto"/>
        </w:rPr>
        <w:t>Legally Required Disclosures</w:t>
      </w:r>
      <w:r>
        <w:rPr>
          <w:rFonts w:ascii="Arial" w:cs="Arial" w:eastAsia="Arial" w:hAnsi="Arial"/>
          <w:sz w:val="17"/>
          <w:szCs w:val="17"/>
          <w:color w:val="auto"/>
        </w:rPr>
        <w:t>. A Party shall not be considered to have breached its obligations by disclosing Confidential Information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 if any Confidential Information is required to be disclosed by a Party under the terms of a valid and effective subpoena or order issued by a court of competent jurisdiction, or by a demand or information request from an executive or administrative agency or other governmental authority, provided that, the Party requested or required to disclose such Confidential Information shall, unless prohibited by the terms of a subpoena, order, or demand, (i) promptly notify the other Party of the existence, terms and circumstances surrounding such demand or request, (ii) consult with the other Party on the advisability of taking legally available steps to resist or narrow such demand or request, and, (iii) if disclosure of such Confidential Information is required, exercise its reasonable best efforts to narrow the scope of disclosure and obtain an order or other reliable assurance that confidential treatment will be accorded to such Confidential Information. To the extent the receiving Party is prohibited from notifying the other Party of a subpoena, order or demand, by the terms of same, the receiving Party shall exercise its reasonable efforts to narrow the scope of disclosure.</w:t>
      </w:r>
    </w:p>
    <w:p>
      <w:pPr>
        <w:spacing w:after="0" w:line="82" w:lineRule="exact"/>
        <w:rPr>
          <w:rFonts w:ascii="Arial" w:cs="Arial" w:eastAsia="Arial" w:hAnsi="Arial"/>
          <w:sz w:val="17"/>
          <w:szCs w:val="17"/>
          <w:color w:val="auto"/>
        </w:rPr>
      </w:pPr>
    </w:p>
    <w:p>
      <w:pPr>
        <w:jc w:val="both"/>
        <w:ind w:left="424" w:hanging="424"/>
        <w:spacing w:after="0" w:line="314" w:lineRule="auto"/>
        <w:tabs>
          <w:tab w:leader="none" w:pos="424" w:val="left"/>
        </w:tabs>
        <w:numPr>
          <w:ilvl w:val="0"/>
          <w:numId w:val="299"/>
        </w:numPr>
        <w:rPr>
          <w:rFonts w:ascii="Arial" w:cs="Arial" w:eastAsia="Arial" w:hAnsi="Arial"/>
          <w:sz w:val="16"/>
          <w:szCs w:val="16"/>
          <w:color w:val="auto"/>
        </w:rPr>
      </w:pPr>
      <w:r>
        <w:rPr>
          <w:rFonts w:ascii="Arial" w:cs="Arial" w:eastAsia="Arial" w:hAnsi="Arial"/>
          <w:sz w:val="16"/>
          <w:szCs w:val="16"/>
          <w:b w:val="1"/>
          <w:bCs w:val="1"/>
          <w:color w:val="auto"/>
        </w:rPr>
        <w:t>Loss of Confidential Information</w:t>
      </w:r>
      <w:r>
        <w:rPr>
          <w:rFonts w:ascii="Arial" w:cs="Arial" w:eastAsia="Arial" w:hAnsi="Arial"/>
          <w:sz w:val="16"/>
          <w:szCs w:val="16"/>
          <w:color w:val="auto"/>
        </w:rPr>
        <w:t>. In the event of any unauthorized disclosure or loss of, or inability to account for, any 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furnishing Party, the receiving Party shall promptly, at its own expense: (i) notify the furnishing Party in writing, (ii) take reasonable steps to minimize the violation; and (iii) reasonably cooperate with the furnishing Party to minimize any damage resulting therefrom.</w:t>
      </w:r>
    </w:p>
    <w:p>
      <w:pPr>
        <w:spacing w:after="0" w:line="47" w:lineRule="exact"/>
        <w:rPr>
          <w:rFonts w:ascii="Arial" w:cs="Arial" w:eastAsia="Arial" w:hAnsi="Arial"/>
          <w:sz w:val="16"/>
          <w:szCs w:val="16"/>
          <w:color w:val="auto"/>
        </w:rPr>
      </w:pPr>
    </w:p>
    <w:p>
      <w:pPr>
        <w:jc w:val="both"/>
        <w:ind w:left="424" w:right="220" w:hanging="424"/>
        <w:spacing w:after="0" w:line="347" w:lineRule="auto"/>
        <w:tabs>
          <w:tab w:leader="none" w:pos="424" w:val="left"/>
        </w:tabs>
        <w:numPr>
          <w:ilvl w:val="0"/>
          <w:numId w:val="299"/>
        </w:numPr>
        <w:rPr>
          <w:rFonts w:ascii="Arial" w:cs="Arial" w:eastAsia="Arial" w:hAnsi="Arial"/>
          <w:sz w:val="16"/>
          <w:szCs w:val="16"/>
          <w:color w:val="auto"/>
        </w:rPr>
      </w:pPr>
      <w:r>
        <w:rPr>
          <w:rFonts w:ascii="Arial" w:cs="Arial" w:eastAsia="Arial" w:hAnsi="Arial"/>
          <w:sz w:val="16"/>
          <w:szCs w:val="16"/>
          <w:b w:val="1"/>
          <w:bCs w:val="1"/>
          <w:color w:val="auto"/>
        </w:rPr>
        <w:t>No Implied Rights</w:t>
      </w:r>
      <w:r>
        <w:rPr>
          <w:rFonts w:ascii="Arial" w:cs="Arial" w:eastAsia="Arial" w:hAnsi="Arial"/>
          <w:sz w:val="16"/>
          <w:szCs w:val="16"/>
          <w:color w:val="auto"/>
        </w:rPr>
        <w:t>. Nothing contained in this Section 13 shall be construed as obligating a Party to disclose its Confidential Information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or as granting to or conferring on a Party, express or implied, any rights or license to the Confidential Information of the other Party.</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368" w:name="page369"/>
    <w:bookmarkEnd w:id="368"/>
    <w:p>
      <w:pPr>
        <w:ind w:left="424" w:right="140" w:hanging="424"/>
        <w:spacing w:after="0" w:line="258" w:lineRule="auto"/>
        <w:tabs>
          <w:tab w:leader="none" w:pos="424"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Non-Disclosure Agreement</w:t>
      </w:r>
      <w:r>
        <w:rPr>
          <w:rFonts w:ascii="Arial" w:cs="Arial" w:eastAsia="Arial" w:hAnsi="Arial"/>
          <w:sz w:val="18"/>
          <w:szCs w:val="18"/>
          <w:color w:val="auto"/>
        </w:rPr>
        <w:t>. The terms of this Section 13 supplement but do not supersede the terms of any agreement of 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entered into between the Parties; provided that any information required to be treated as confidential under such agreement shall be treated as Confidential Information under the terms of this Agreement; and further provided that in the event of a conflict between any provision of this Agreement and that of any agreement of confidentiality previously entered into between the Parties, the provision affording the greater protection to the Confidential Information shall prevail.</w:t>
      </w:r>
    </w:p>
    <w:p>
      <w:pPr>
        <w:spacing w:after="0" w:line="88" w:lineRule="exact"/>
        <w:rPr>
          <w:rFonts w:ascii="Arial" w:cs="Arial" w:eastAsia="Arial" w:hAnsi="Arial"/>
          <w:sz w:val="18"/>
          <w:szCs w:val="18"/>
          <w:color w:val="auto"/>
        </w:rPr>
      </w:pPr>
    </w:p>
    <w:p>
      <w:pPr>
        <w:ind w:left="424" w:right="400" w:hanging="424"/>
        <w:spacing w:after="0" w:line="281" w:lineRule="auto"/>
        <w:tabs>
          <w:tab w:leader="none" w:pos="424" w:val="left"/>
        </w:tabs>
        <w:numPr>
          <w:ilvl w:val="0"/>
          <w:numId w:val="300"/>
        </w:numPr>
        <w:rPr>
          <w:rFonts w:ascii="Arial" w:cs="Arial" w:eastAsia="Arial" w:hAnsi="Arial"/>
          <w:sz w:val="17"/>
          <w:szCs w:val="17"/>
          <w:color w:val="auto"/>
        </w:rPr>
      </w:pPr>
      <w:r>
        <w:rPr>
          <w:rFonts w:ascii="Arial" w:cs="Arial" w:eastAsia="Arial" w:hAnsi="Arial"/>
          <w:sz w:val="17"/>
          <w:szCs w:val="17"/>
          <w:b w:val="1"/>
          <w:bCs w:val="1"/>
          <w:color w:val="auto"/>
        </w:rPr>
        <w:t>Survival</w:t>
      </w:r>
      <w:r>
        <w:rPr>
          <w:rFonts w:ascii="Arial" w:cs="Arial" w:eastAsia="Arial" w:hAnsi="Arial"/>
          <w:sz w:val="17"/>
          <w:szCs w:val="17"/>
          <w:color w:val="auto"/>
        </w:rPr>
        <w:t>. The obligations regarding confidentiality and restriction of use by Marqeta of Client Data and Transaction Data shall survive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or termination of this Agreement. Furthermore, as to all other Confidential Information, the obligations under this Section 13 shall survive the expiration or termination of this Agreement for a period of five (5) years; provided that the obligations under this Section 13 with respect to any item of Trade Secrets shall survive until such item is no longer a Trade Secret.</w:t>
      </w:r>
    </w:p>
    <w:p>
      <w:pPr>
        <w:spacing w:after="0" w:line="70" w:lineRule="exact"/>
        <w:rPr>
          <w:rFonts w:ascii="Arial" w:cs="Arial" w:eastAsia="Arial" w:hAnsi="Arial"/>
          <w:sz w:val="17"/>
          <w:szCs w:val="17"/>
          <w:color w:val="auto"/>
        </w:rPr>
      </w:pPr>
    </w:p>
    <w:p>
      <w:pPr>
        <w:ind w:left="424" w:right="380" w:hanging="424"/>
        <w:spacing w:after="0" w:line="282" w:lineRule="auto"/>
        <w:tabs>
          <w:tab w:leader="none" w:pos="424" w:val="left"/>
        </w:tabs>
        <w:numPr>
          <w:ilvl w:val="0"/>
          <w:numId w:val="300"/>
        </w:numPr>
        <w:rPr>
          <w:rFonts w:ascii="Arial" w:cs="Arial" w:eastAsia="Arial" w:hAnsi="Arial"/>
          <w:sz w:val="18"/>
          <w:szCs w:val="18"/>
          <w:color w:val="auto"/>
        </w:rPr>
      </w:pPr>
      <w:r>
        <w:rPr>
          <w:rFonts w:ascii="Arial" w:cs="Arial" w:eastAsia="Arial" w:hAnsi="Arial"/>
          <w:sz w:val="18"/>
          <w:szCs w:val="18"/>
          <w:b w:val="1"/>
          <w:bCs w:val="1"/>
          <w:color w:val="auto"/>
        </w:rPr>
        <w:t>Trade Secrets</w:t>
      </w:r>
      <w:r>
        <w:rPr>
          <w:rFonts w:ascii="Arial" w:cs="Arial" w:eastAsia="Arial" w:hAnsi="Arial"/>
          <w:sz w:val="18"/>
          <w:szCs w:val="18"/>
          <w:color w:val="auto"/>
        </w:rPr>
        <w:t>. Nothing herein shall be deemed to adversely affect or otherwise waive any rights or remedies available at law or equity that a</w:t>
      </w:r>
      <w:r>
        <w:rPr>
          <w:rFonts w:ascii="Arial" w:cs="Arial" w:eastAsia="Arial" w:hAnsi="Arial"/>
          <w:sz w:val="18"/>
          <w:szCs w:val="18"/>
          <w:b w:val="1"/>
          <w:bCs w:val="1"/>
          <w:color w:val="auto"/>
        </w:rPr>
        <w:t xml:space="preserve"> </w:t>
      </w:r>
      <w:r>
        <w:rPr>
          <w:rFonts w:ascii="Arial" w:cs="Arial" w:eastAsia="Arial" w:hAnsi="Arial"/>
          <w:sz w:val="18"/>
          <w:szCs w:val="18"/>
          <w:color w:val="auto"/>
        </w:rPr>
        <w:t>furnishing Party may have for protection of its Trade Secrets.</w:t>
      </w:r>
    </w:p>
    <w:p>
      <w:pPr>
        <w:spacing w:after="0" w:line="310" w:lineRule="exact"/>
        <w:rPr>
          <w:sz w:val="20"/>
          <w:szCs w:val="20"/>
          <w:color w:val="auto"/>
        </w:rPr>
      </w:pPr>
    </w:p>
    <w:p>
      <w:pPr>
        <w:ind w:left="424" w:hanging="424"/>
        <w:spacing w:after="0"/>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LAIMS</w:t>
      </w:r>
      <w:r>
        <w:rPr>
          <w:rFonts w:ascii="Arial" w:cs="Arial" w:eastAsia="Arial" w:hAnsi="Arial"/>
          <w:sz w:val="18"/>
          <w:szCs w:val="18"/>
          <w:b w:val="1"/>
          <w:bCs w:val="1"/>
          <w:color w:val="auto"/>
        </w:rPr>
        <w:t>; I</w:t>
      </w:r>
      <w:r>
        <w:rPr>
          <w:rFonts w:ascii="Arial" w:cs="Arial" w:eastAsia="Arial" w:hAnsi="Arial"/>
          <w:sz w:val="14"/>
          <w:szCs w:val="14"/>
          <w:b w:val="1"/>
          <w:bCs w:val="1"/>
          <w:color w:val="auto"/>
        </w:rPr>
        <w:t>NSURANCE</w:t>
      </w:r>
      <w:r>
        <w:rPr>
          <w:rFonts w:ascii="Arial" w:cs="Arial" w:eastAsia="Arial" w:hAnsi="Arial"/>
          <w:sz w:val="18"/>
          <w:szCs w:val="18"/>
          <w:color w:val="auto"/>
        </w:rPr>
        <w:t>.</w:t>
      </w:r>
    </w:p>
    <w:p>
      <w:pPr>
        <w:spacing w:after="0" w:line="131" w:lineRule="exact"/>
        <w:rPr>
          <w:sz w:val="20"/>
          <w:szCs w:val="20"/>
          <w:color w:val="auto"/>
        </w:rPr>
      </w:pPr>
    </w:p>
    <w:p>
      <w:pPr>
        <w:ind w:left="424" w:right="60" w:hanging="424"/>
        <w:spacing w:after="0" w:line="289" w:lineRule="auto"/>
        <w:tabs>
          <w:tab w:leader="none" w:pos="424" w:val="left"/>
        </w:tabs>
        <w:numPr>
          <w:ilvl w:val="0"/>
          <w:numId w:val="302"/>
        </w:numPr>
        <w:rPr>
          <w:rFonts w:ascii="Arial" w:cs="Arial" w:eastAsia="Arial" w:hAnsi="Arial"/>
          <w:sz w:val="16"/>
          <w:szCs w:val="16"/>
          <w:color w:val="auto"/>
        </w:rPr>
      </w:pPr>
      <w:r>
        <w:rPr>
          <w:rFonts w:ascii="Arial" w:cs="Arial" w:eastAsia="Arial" w:hAnsi="Arial"/>
          <w:sz w:val="16"/>
          <w:szCs w:val="16"/>
          <w:b w:val="1"/>
          <w:bCs w:val="1"/>
          <w:color w:val="auto"/>
        </w:rPr>
        <w:t>Marqeta Indemnification</w:t>
      </w:r>
      <w:r>
        <w:rPr>
          <w:rFonts w:ascii="Arial" w:cs="Arial" w:eastAsia="Arial" w:hAnsi="Arial"/>
          <w:sz w:val="16"/>
          <w:szCs w:val="16"/>
          <w:color w:val="auto"/>
        </w:rPr>
        <w:t>. Subject to Client’s compliance with Section 14(c) of these General Terms and Conditions, Marqeta agrees to defend,</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and hold harmless Client and its Affiliates, and their respective officers, directors, agents, and employees from and against any and all Damages as a result of a third party Claim arising out of or related to (i) Marqeta’s breach (or, as to defense obligations only, alleged breach) of this Agreement; (ii) Marqeta’s gross negligence, willful misconduct or fraudulent acts or omissions; (iii) Marqeta’s violation of any Applicable Law; or (iv) the infringement of the U.S. Intellectual Property Rights of any third party arising from the permitted use of the Marqeta System under this Agreement. Notwithstanding the foregoing, the indemnification obligations set forth in subsection (iii) of the previous sentence shall not apply to any Damages to the extent they arise from or relate to (1) the combination of the Marqeta System or the Marqeta Card with information, services, materials or products not supplied by Marqeta, (2) any modification of the Marqeta System or Marqeta Card which is not made by or on behalf of Marqeta, (3) any failure by Client to use any modified version of the Marqeta System or Marqeta Card which is provided by Marqeta in order to avoid a claim of infringement, or (4) any use of the Marqeta System or Cards other than as permitted hereunder.</w:t>
      </w:r>
    </w:p>
    <w:p>
      <w:pPr>
        <w:spacing w:after="0" w:line="66" w:lineRule="exact"/>
        <w:rPr>
          <w:rFonts w:ascii="Arial" w:cs="Arial" w:eastAsia="Arial" w:hAnsi="Arial"/>
          <w:sz w:val="16"/>
          <w:szCs w:val="16"/>
          <w:color w:val="auto"/>
        </w:rPr>
      </w:pPr>
    </w:p>
    <w:p>
      <w:pPr>
        <w:ind w:left="424" w:right="20" w:hanging="424"/>
        <w:spacing w:after="0" w:line="292" w:lineRule="auto"/>
        <w:tabs>
          <w:tab w:leader="none" w:pos="424" w:val="left"/>
        </w:tabs>
        <w:numPr>
          <w:ilvl w:val="0"/>
          <w:numId w:val="302"/>
        </w:numPr>
        <w:rPr>
          <w:rFonts w:ascii="Arial" w:cs="Arial" w:eastAsia="Arial" w:hAnsi="Arial"/>
          <w:sz w:val="16"/>
          <w:szCs w:val="16"/>
          <w:color w:val="auto"/>
        </w:rPr>
      </w:pPr>
      <w:r>
        <w:rPr>
          <w:rFonts w:ascii="Arial" w:cs="Arial" w:eastAsia="Arial" w:hAnsi="Arial"/>
          <w:sz w:val="16"/>
          <w:szCs w:val="16"/>
          <w:b w:val="1"/>
          <w:bCs w:val="1"/>
          <w:color w:val="auto"/>
        </w:rPr>
        <w:t>Client Indemnification</w:t>
      </w:r>
      <w:r>
        <w:rPr>
          <w:rFonts w:ascii="Arial" w:cs="Arial" w:eastAsia="Arial" w:hAnsi="Arial"/>
          <w:sz w:val="16"/>
          <w:szCs w:val="16"/>
          <w:color w:val="auto"/>
        </w:rPr>
        <w:t>. Subject to Marqeta’s compliance with Section 13(c) of these General Terms and Conditions, Client agrees to defend,</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and hold harmless Marqeta, Issuing Bank and each of their respective officers, directors, agents and employees from and against any and all Damages as a result of a third party Claim arising out of or related to (i) Client’s breach (or, as to defense obligations only, alleged breach) of this Agreement; (ii) the gross negligence, willful misconduct or fraudulent acts or omissions of Client or any Client Personnel or Retail Partner; (iii) the violation of any Applicable Law by Client or any Client Personnel or Retail Partner; (iv) a claim that the Client Materials infringe the Intellectual Property Rights of any third party; or (v) the business and services of Client or any Retail Partner to the extent such Claims and Damages are not otherwise indemnifiable by Marqeta pursuant to Section 13(a) of these General Terms and Conditions.</w:t>
      </w:r>
    </w:p>
    <w:p>
      <w:pPr>
        <w:spacing w:after="0" w:line="66" w:lineRule="exact"/>
        <w:rPr>
          <w:rFonts w:ascii="Arial" w:cs="Arial" w:eastAsia="Arial" w:hAnsi="Arial"/>
          <w:sz w:val="16"/>
          <w:szCs w:val="16"/>
          <w:color w:val="auto"/>
        </w:rPr>
      </w:pPr>
    </w:p>
    <w:p>
      <w:pPr>
        <w:ind w:left="424" w:hanging="424"/>
        <w:spacing w:after="0" w:line="289" w:lineRule="auto"/>
        <w:tabs>
          <w:tab w:leader="none" w:pos="424" w:val="left"/>
        </w:tabs>
        <w:numPr>
          <w:ilvl w:val="0"/>
          <w:numId w:val="302"/>
        </w:numPr>
        <w:rPr>
          <w:rFonts w:ascii="Arial" w:cs="Arial" w:eastAsia="Arial" w:hAnsi="Arial"/>
          <w:sz w:val="16"/>
          <w:szCs w:val="16"/>
          <w:color w:val="auto"/>
        </w:rPr>
      </w:pPr>
      <w:r>
        <w:rPr>
          <w:rFonts w:ascii="Arial" w:cs="Arial" w:eastAsia="Arial" w:hAnsi="Arial"/>
          <w:sz w:val="16"/>
          <w:szCs w:val="16"/>
          <w:b w:val="1"/>
          <w:bCs w:val="1"/>
          <w:color w:val="auto"/>
        </w:rPr>
        <w:t>Indemnification Procedure</w:t>
      </w:r>
      <w:r>
        <w:rPr>
          <w:rFonts w:ascii="Arial" w:cs="Arial" w:eastAsia="Arial" w:hAnsi="Arial"/>
          <w:sz w:val="16"/>
          <w:szCs w:val="16"/>
          <w:color w:val="auto"/>
        </w:rPr>
        <w:t>. The Party seeking indemnification, as the indemnitee, will provide the other Party, as the indemnitor, prompt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any third party Claim for which indemnity is sought, although failure to provide prompt notice shall not relieve the indemnitor of its indemnification obligations unless such failure materially prejudices indemnitor in defending such Claim. If the indemnitor is so notified, the indemnitor will promptly engage experienced and competent counsel, and will have sole control of the defense and all negotiations for the compromise or settlement of such Claim, and will pay any Damages in respect of such Claim and reimburse the indemnitee for its reasonable expenses incurred in cooperation with and providing assistance to the indemnitor; provided, however, that the indemnitor may not settle any such Claim without the indemnitee’s consent if the proposed settlement would be in the indemnitee’s name or impose pecuniary or other liability or an admission of fault or guilt on the indemnitee or would require the indemnitee to be bound by an injunction of any kind. The indemnitee shall provide reasonable information and assistance in connection with such defense and settlement (at the indemnitor’s expense). Consent to any</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0" w:right="479" w:bottom="1440" w:gutter="0" w:footer="0" w:header="0"/>
        </w:sectPr>
      </w:pPr>
    </w:p>
    <w:bookmarkStart w:id="369" w:name="page370"/>
    <w:bookmarkEnd w:id="369"/>
    <w:p>
      <w:pPr>
        <w:ind w:left="42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will not be unreasonably withheld. Notwithstanding the foregoing, to the extent that such Claim is based on the infringement of a third party’s Intellectual Property Rights, the indemnitor will have the right, at its sole option and expense to procure for the indemnitee the right to continue using such materials, or to replace or modify them with non-infringing materials.</w:t>
      </w:r>
    </w:p>
    <w:p>
      <w:pPr>
        <w:spacing w:after="0" w:line="328" w:lineRule="exact"/>
        <w:rPr>
          <w:sz w:val="20"/>
          <w:szCs w:val="20"/>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NSURANCE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right="100" w:hanging="532"/>
        <w:spacing w:after="0" w:line="277" w:lineRule="auto"/>
        <w:tabs>
          <w:tab w:leader="none" w:pos="964"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Each Party Servicer shall maintain, throughout the Term, an appropriate insurance policy, the limit of which shall be no less than [***] per occurrence or [***] aggregate, for each of the following categories:</w:t>
      </w:r>
    </w:p>
    <w:p>
      <w:pPr>
        <w:spacing w:after="0" w:line="62" w:lineRule="exact"/>
        <w:rPr>
          <w:rFonts w:ascii="Arial" w:cs="Arial" w:eastAsia="Arial" w:hAnsi="Arial"/>
          <w:sz w:val="18"/>
          <w:szCs w:val="18"/>
          <w:color w:val="auto"/>
        </w:rPr>
      </w:pPr>
    </w:p>
    <w:p>
      <w:pPr>
        <w:ind w:left="764" w:hanging="324"/>
        <w:spacing w:after="0"/>
        <w:tabs>
          <w:tab w:leader="none" w:pos="764" w:val="left"/>
        </w:tabs>
        <w:numPr>
          <w:ilvl w:val="2"/>
          <w:numId w:val="303"/>
        </w:numPr>
        <w:rPr>
          <w:rFonts w:ascii="Arial" w:cs="Arial" w:eastAsia="Arial" w:hAnsi="Arial"/>
          <w:sz w:val="17"/>
          <w:szCs w:val="17"/>
          <w:color w:val="auto"/>
        </w:rPr>
      </w:pPr>
      <w:r>
        <w:rPr>
          <w:rFonts w:ascii="Arial" w:cs="Arial" w:eastAsia="Arial" w:hAnsi="Arial"/>
          <w:sz w:val="17"/>
          <w:szCs w:val="17"/>
          <w:color w:val="auto"/>
        </w:rPr>
        <w:t>a comprehensive general liability policy, including, but not limited to, contractual liability, bodily injury, death and/or property damage;</w:t>
      </w:r>
    </w:p>
    <w:p>
      <w:pPr>
        <w:spacing w:after="0" w:line="128" w:lineRule="exact"/>
        <w:rPr>
          <w:rFonts w:ascii="Arial" w:cs="Arial" w:eastAsia="Arial" w:hAnsi="Arial"/>
          <w:sz w:val="17"/>
          <w:szCs w:val="17"/>
          <w:color w:val="auto"/>
        </w:rPr>
      </w:pPr>
    </w:p>
    <w:p>
      <w:pPr>
        <w:ind w:left="444" w:right="280" w:hanging="4"/>
        <w:spacing w:after="0" w:line="277" w:lineRule="auto"/>
        <w:tabs>
          <w:tab w:leader="none" w:pos="759" w:val="left"/>
        </w:tabs>
        <w:numPr>
          <w:ilvl w:val="2"/>
          <w:numId w:val="303"/>
        </w:numPr>
        <w:rPr>
          <w:rFonts w:ascii="Arial" w:cs="Arial" w:eastAsia="Arial" w:hAnsi="Arial"/>
          <w:sz w:val="18"/>
          <w:szCs w:val="18"/>
          <w:color w:val="auto"/>
        </w:rPr>
      </w:pPr>
      <w:r>
        <w:rPr>
          <w:rFonts w:ascii="Arial" w:cs="Arial" w:eastAsia="Arial" w:hAnsi="Arial"/>
          <w:sz w:val="18"/>
          <w:szCs w:val="18"/>
          <w:color w:val="auto"/>
        </w:rPr>
        <w:t>a comprehensive crime policy, including employee dishonesty/fidelity coverage, with respect to the work or operations done in connection with this Agreement;</w:t>
      </w:r>
    </w:p>
    <w:p>
      <w:pPr>
        <w:spacing w:after="0" w:line="62" w:lineRule="exact"/>
        <w:rPr>
          <w:rFonts w:ascii="Arial" w:cs="Arial" w:eastAsia="Arial" w:hAnsi="Arial"/>
          <w:sz w:val="18"/>
          <w:szCs w:val="18"/>
          <w:color w:val="auto"/>
        </w:rPr>
      </w:pPr>
    </w:p>
    <w:p>
      <w:pPr>
        <w:ind w:left="764" w:hanging="324"/>
        <w:spacing w:after="0"/>
        <w:tabs>
          <w:tab w:leader="none" w:pos="764" w:val="left"/>
        </w:tabs>
        <w:numPr>
          <w:ilvl w:val="2"/>
          <w:numId w:val="303"/>
        </w:numPr>
        <w:rPr>
          <w:rFonts w:ascii="Arial" w:cs="Arial" w:eastAsia="Arial" w:hAnsi="Arial"/>
          <w:sz w:val="18"/>
          <w:szCs w:val="18"/>
          <w:color w:val="auto"/>
        </w:rPr>
      </w:pPr>
      <w:r>
        <w:rPr>
          <w:rFonts w:ascii="Arial" w:cs="Arial" w:eastAsia="Arial" w:hAnsi="Arial"/>
          <w:sz w:val="18"/>
          <w:szCs w:val="18"/>
          <w:color w:val="auto"/>
        </w:rPr>
        <w:t>a comprehensive errors and omissions policy; and</w:t>
      </w:r>
    </w:p>
    <w:p>
      <w:pPr>
        <w:spacing w:after="0" w:line="117" w:lineRule="exact"/>
        <w:rPr>
          <w:rFonts w:ascii="Arial" w:cs="Arial" w:eastAsia="Arial" w:hAnsi="Arial"/>
          <w:sz w:val="18"/>
          <w:szCs w:val="18"/>
          <w:color w:val="auto"/>
        </w:rPr>
      </w:pPr>
    </w:p>
    <w:p>
      <w:pPr>
        <w:ind w:left="764" w:hanging="324"/>
        <w:spacing w:after="0"/>
        <w:tabs>
          <w:tab w:leader="none" w:pos="764" w:val="left"/>
        </w:tabs>
        <w:numPr>
          <w:ilvl w:val="2"/>
          <w:numId w:val="303"/>
        </w:numPr>
        <w:rPr>
          <w:rFonts w:ascii="Arial" w:cs="Arial" w:eastAsia="Arial" w:hAnsi="Arial"/>
          <w:sz w:val="18"/>
          <w:szCs w:val="18"/>
          <w:color w:val="auto"/>
        </w:rPr>
      </w:pPr>
      <w:r>
        <w:rPr>
          <w:rFonts w:ascii="Arial" w:cs="Arial" w:eastAsia="Arial" w:hAnsi="Arial"/>
          <w:sz w:val="18"/>
          <w:szCs w:val="18"/>
          <w:color w:val="auto"/>
        </w:rPr>
        <w:t>a workers’ compensation policy in at least the minimum amounts required by any applicable statute or regulation.</w:t>
      </w:r>
    </w:p>
    <w:p>
      <w:pPr>
        <w:spacing w:after="0" w:line="130" w:lineRule="exact"/>
        <w:rPr>
          <w:rFonts w:ascii="Arial" w:cs="Arial" w:eastAsia="Arial" w:hAnsi="Arial"/>
          <w:sz w:val="18"/>
          <w:szCs w:val="18"/>
          <w:color w:val="auto"/>
        </w:rPr>
      </w:pPr>
    </w:p>
    <w:p>
      <w:pPr>
        <w:ind w:left="964" w:right="20" w:hanging="532"/>
        <w:spacing w:after="0" w:line="273" w:lineRule="auto"/>
        <w:tabs>
          <w:tab w:leader="none" w:pos="964" w:val="left"/>
        </w:tabs>
        <w:numPr>
          <w:ilvl w:val="1"/>
          <w:numId w:val="303"/>
        </w:numPr>
        <w:rPr>
          <w:rFonts w:ascii="Arial" w:cs="Arial" w:eastAsia="Arial" w:hAnsi="Arial"/>
          <w:sz w:val="17"/>
          <w:szCs w:val="17"/>
          <w:color w:val="auto"/>
        </w:rPr>
      </w:pPr>
      <w:r>
        <w:rPr>
          <w:rFonts w:ascii="Arial" w:cs="Arial" w:eastAsia="Arial" w:hAnsi="Arial"/>
          <w:sz w:val="17"/>
          <w:szCs w:val="17"/>
          <w:u w:val="single" w:color="auto"/>
          <w:color w:val="auto"/>
        </w:rPr>
        <w:t>Insurance Requirements</w:t>
      </w:r>
      <w:r>
        <w:rPr>
          <w:rFonts w:ascii="Arial" w:cs="Arial" w:eastAsia="Arial" w:hAnsi="Arial"/>
          <w:sz w:val="17"/>
          <w:szCs w:val="17"/>
          <w:color w:val="auto"/>
        </w:rPr>
        <w:t>. Each policy required by this Section 13 shall be carried in the name of the Party. A copy of each policy and any certificates of insurance evidencing the existence of such policy shall be provided to the other Party promptly following such Party’s written or e-mail request. Each insurance policy must be written by insurance carriers that have an A.M. Best rating of “A” or better or are otherwise acceptable to the other Party and shall name the other Party and Issuing Bank as an additional insured. Each party shall promptly provide notice to the other Party in the event of any notice of nonrenewal or cancellation, lapse, termination or reduction in any insurance coverage required to be maintained pursuant to this Section 13(d)(ii).</w:t>
      </w:r>
    </w:p>
    <w:p>
      <w:pPr>
        <w:spacing w:after="0" w:line="322" w:lineRule="exact"/>
        <w:rPr>
          <w:rFonts w:ascii="Arial" w:cs="Arial" w:eastAsia="Arial" w:hAnsi="Arial"/>
          <w:sz w:val="17"/>
          <w:szCs w:val="17"/>
          <w:color w:val="auto"/>
        </w:rPr>
      </w:pPr>
    </w:p>
    <w:p>
      <w:pPr>
        <w:ind w:left="424" w:hanging="424"/>
        <w:spacing w:after="0"/>
        <w:tabs>
          <w:tab w:leader="none" w:pos="424"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IABILITY</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347" w:lineRule="auto"/>
        <w:tabs>
          <w:tab w:leader="none" w:pos="824" w:val="left"/>
        </w:tabs>
        <w:numPr>
          <w:ilvl w:val="1"/>
          <w:numId w:val="304"/>
        </w:numPr>
        <w:rPr>
          <w:rFonts w:ascii="Arial" w:cs="Arial" w:eastAsia="Arial" w:hAnsi="Arial"/>
          <w:sz w:val="16"/>
          <w:szCs w:val="16"/>
          <w:color w:val="auto"/>
        </w:rPr>
      </w:pPr>
      <w:r>
        <w:rPr>
          <w:rFonts w:ascii="Arial" w:cs="Arial" w:eastAsia="Arial" w:hAnsi="Arial"/>
          <w:sz w:val="16"/>
          <w:szCs w:val="16"/>
          <w:b w:val="1"/>
          <w:bCs w:val="1"/>
          <w:color w:val="auto"/>
        </w:rPr>
        <w:t>General Intent</w:t>
      </w:r>
      <w:r>
        <w:rPr>
          <w:rFonts w:ascii="Arial" w:cs="Arial" w:eastAsia="Arial" w:hAnsi="Arial"/>
          <w:sz w:val="16"/>
          <w:szCs w:val="16"/>
          <w:color w:val="auto"/>
        </w:rPr>
        <w:t>. Subject to the specific provisions of this Section 14, it is the intent of the Parties that each Party shall be liable to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for any actual direct damages incurred by such other Party as a result of the breaching Party’s failure to perform its obligations in this Agreement.</w:t>
      </w:r>
    </w:p>
    <w:p>
      <w:pPr>
        <w:spacing w:after="0" w:line="115" w:lineRule="exact"/>
        <w:rPr>
          <w:rFonts w:ascii="Arial" w:cs="Arial" w:eastAsia="Arial" w:hAnsi="Arial"/>
          <w:sz w:val="16"/>
          <w:szCs w:val="16"/>
          <w:color w:val="auto"/>
        </w:rPr>
      </w:pPr>
    </w:p>
    <w:p>
      <w:pPr>
        <w:ind w:left="824" w:hanging="384"/>
        <w:spacing w:after="0"/>
        <w:tabs>
          <w:tab w:leader="none" w:pos="824" w:val="left"/>
        </w:tabs>
        <w:numPr>
          <w:ilvl w:val="1"/>
          <w:numId w:val="304"/>
        </w:numPr>
        <w:rPr>
          <w:rFonts w:ascii="Arial" w:cs="Arial" w:eastAsia="Arial" w:hAnsi="Arial"/>
          <w:sz w:val="18"/>
          <w:szCs w:val="18"/>
          <w:color w:val="auto"/>
        </w:rPr>
      </w:pPr>
      <w:r>
        <w:rPr>
          <w:rFonts w:ascii="Arial" w:cs="Arial" w:eastAsia="Arial" w:hAnsi="Arial"/>
          <w:sz w:val="18"/>
          <w:szCs w:val="18"/>
          <w:b w:val="1"/>
          <w:bCs w:val="1"/>
          <w:color w:val="auto"/>
        </w:rPr>
        <w:t>Liability Restrictions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right="100" w:hanging="532"/>
        <w:spacing w:after="0" w:line="255" w:lineRule="auto"/>
        <w:tabs>
          <w:tab w:leader="none" w:pos="96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EXCEPT FOR A PARTY’S INDEMNIFICATION OBLIGATION UNDER SECTION 13(A) OF THESE GENERAL TERMS AND CONDITIONS AND FOR A PARTY’S GROSS NEGLIGENCE, WILFUL MISCONDUCT, OR FRAUD, IN NO EVENT, WHETHER IN CONTRACT OR TORT (INCLUDING BREACH OF WARRANTY, NEGLIGENCE AND STRICT LIABILITY IN TORT), SHALL EITHER PARTY BE LIABLE TO THE OTHER FOR INDIRECT, INCIDENTAL, CONSEQUENTIAL, SPECIAL, EXEMPLARY, OR PUNITIVE DAMAGES (WHETHER SUCH LOSSES OR DAMAGES WERE FORESEEN, FORESEEABLE, KNOWN OR OTHERWISE).</w:t>
      </w:r>
    </w:p>
    <w:p>
      <w:pPr>
        <w:spacing w:after="0" w:line="97" w:lineRule="exact"/>
        <w:rPr>
          <w:rFonts w:ascii="Arial" w:cs="Arial" w:eastAsia="Arial" w:hAnsi="Arial"/>
          <w:sz w:val="18"/>
          <w:szCs w:val="18"/>
          <w:color w:val="auto"/>
        </w:rPr>
      </w:pPr>
    </w:p>
    <w:p>
      <w:pPr>
        <w:ind w:left="964" w:right="420" w:hanging="532"/>
        <w:spacing w:after="0" w:line="263" w:lineRule="auto"/>
        <w:tabs>
          <w:tab w:leader="none" w:pos="96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Marqeta shall not be responsible to Client for any claims by Client or third parties arising from the failure of any third party software, hardware, communications devices, Internet services, e-mail systems or other systems or services which are not part of the Marqeta System.</w:t>
      </w:r>
    </w:p>
    <w:p>
      <w:pPr>
        <w:spacing w:after="0" w:line="89"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Except for a party’s indemnification obligation under Section 13(a) of these General Terms and Conditions, a party’s gross negligence, wilful misconduct, or fraud, and a Party’s breach of a payment or funding deposit obligation under this Agreement, Party’s total cumulative liability to</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70" w:name="page371"/>
    <w:bookmarkEnd w:id="370"/>
    <w:p>
      <w:pPr>
        <w:ind w:left="984"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other Party, whether in contract or in tort, for any and all breaches under this Agreement, including for purposes of calculating such cumulative liability, any payments made by a Party under the indemnification of a third party claim, as set forth in Section 13(a) of these General Terms and Conditions, shall not exceed the aggregate Fees earned by Marqeta hereunder during the twelve (12) months immediately preceding the date such claim arose (“Liability Cap”).</w:t>
      </w:r>
    </w:p>
    <w:p>
      <w:pPr>
        <w:spacing w:after="0" w:line="183" w:lineRule="exact"/>
        <w:rPr>
          <w:sz w:val="20"/>
          <w:szCs w:val="20"/>
          <w:color w:val="auto"/>
        </w:rPr>
      </w:pPr>
    </w:p>
    <w:p>
      <w:pPr>
        <w:jc w:val="both"/>
        <w:ind w:left="4" w:right="400" w:firstLine="436"/>
        <w:spacing w:after="0" w:line="261" w:lineRule="auto"/>
        <w:tabs>
          <w:tab w:leader="none" w:pos="824" w:val="left"/>
        </w:tabs>
        <w:numPr>
          <w:ilvl w:val="1"/>
          <w:numId w:val="306"/>
        </w:numPr>
        <w:rPr>
          <w:rFonts w:ascii="Arial" w:cs="Arial" w:eastAsia="Arial" w:hAnsi="Arial"/>
          <w:sz w:val="18"/>
          <w:szCs w:val="18"/>
          <w:color w:val="auto"/>
        </w:rPr>
      </w:pPr>
      <w:r>
        <w:rPr>
          <w:rFonts w:ascii="Arial" w:cs="Arial" w:eastAsia="Arial" w:hAnsi="Arial"/>
          <w:sz w:val="18"/>
          <w:szCs w:val="18"/>
          <w:b w:val="1"/>
          <w:bCs w:val="1"/>
          <w:color w:val="auto"/>
        </w:rPr>
        <w:t>Duty to Mitigate</w:t>
      </w:r>
      <w:r>
        <w:rPr>
          <w:rFonts w:ascii="Arial" w:cs="Arial" w:eastAsia="Arial" w:hAnsi="Arial"/>
          <w:sz w:val="18"/>
          <w:szCs w:val="18"/>
          <w:color w:val="auto"/>
        </w:rPr>
        <w:t>. Nothing in this Section 14 will be taken as any way reducing or affecting a general duty to mitigate loss suffered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Client will use reasonable efforts to enforce the terms and conditions in the agreement Client or any Affiliate of Client has with any Business Client or Cardholder in respect of the Account. Nothing contained in this Section 14(c) shall oblige the Client to issue any legal, arbitration or other dispute resolution proceedings against any Cardholder or any third party.</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ESOLUTION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360" w:firstLine="436"/>
        <w:spacing w:after="0" w:line="312" w:lineRule="auto"/>
        <w:tabs>
          <w:tab w:leader="none" w:pos="824" w:val="left"/>
        </w:tabs>
        <w:numPr>
          <w:ilvl w:val="1"/>
          <w:numId w:val="307"/>
        </w:numPr>
        <w:rPr>
          <w:rFonts w:ascii="Arial" w:cs="Arial" w:eastAsia="Arial" w:hAnsi="Arial"/>
          <w:sz w:val="17"/>
          <w:szCs w:val="17"/>
          <w:color w:val="auto"/>
        </w:rPr>
      </w:pPr>
      <w:r>
        <w:rPr>
          <w:rFonts w:ascii="Arial" w:cs="Arial" w:eastAsia="Arial" w:hAnsi="Arial"/>
          <w:sz w:val="17"/>
          <w:szCs w:val="17"/>
          <w:b w:val="1"/>
          <w:bCs w:val="1"/>
          <w:color w:val="auto"/>
        </w:rPr>
        <w:t xml:space="preserve">Disputes. </w:t>
      </w:r>
      <w:r>
        <w:rPr>
          <w:rFonts w:ascii="Arial" w:cs="Arial" w:eastAsia="Arial" w:hAnsi="Arial"/>
          <w:sz w:val="17"/>
          <w:szCs w:val="17"/>
          <w:color w:val="auto"/>
        </w:rPr>
        <w:t>Any dispute between the Parties arising out of or relating to this Agreement, including with respect to the interpretation of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this Agreement and with respect to the performance by either Party, shall be resolved as provided in this Section 15.</w:t>
      </w:r>
    </w:p>
    <w:p>
      <w:pPr>
        <w:spacing w:after="0" w:line="139" w:lineRule="exact"/>
        <w:rPr>
          <w:rFonts w:ascii="Arial" w:cs="Arial" w:eastAsia="Arial" w:hAnsi="Arial"/>
          <w:sz w:val="17"/>
          <w:szCs w:val="17"/>
          <w:color w:val="auto"/>
        </w:rPr>
      </w:pPr>
    </w:p>
    <w:p>
      <w:pPr>
        <w:ind w:left="4" w:right="40" w:firstLine="436"/>
        <w:spacing w:after="0" w:line="285" w:lineRule="auto"/>
        <w:tabs>
          <w:tab w:leader="none" w:pos="834" w:val="left"/>
        </w:tabs>
        <w:numPr>
          <w:ilvl w:val="1"/>
          <w:numId w:val="307"/>
        </w:numPr>
        <w:rPr>
          <w:rFonts w:ascii="Arial" w:cs="Arial" w:eastAsia="Arial" w:hAnsi="Arial"/>
          <w:sz w:val="16"/>
          <w:szCs w:val="16"/>
          <w:color w:val="auto"/>
        </w:rPr>
      </w:pPr>
      <w:r>
        <w:rPr>
          <w:rFonts w:ascii="Arial" w:cs="Arial" w:eastAsia="Arial" w:hAnsi="Arial"/>
          <w:sz w:val="16"/>
          <w:szCs w:val="16"/>
          <w:b w:val="1"/>
          <w:bCs w:val="1"/>
          <w:color w:val="auto"/>
        </w:rPr>
        <w:t>Informal Dispute Resolution</w:t>
      </w:r>
      <w:r>
        <w:rPr>
          <w:rFonts w:ascii="Arial" w:cs="Arial" w:eastAsia="Arial" w:hAnsi="Arial"/>
          <w:sz w:val="16"/>
          <w:szCs w:val="16"/>
          <w:color w:val="auto"/>
        </w:rPr>
        <w:t>. If a dispute is not subject to Section 15(e) of these General Terms and Conditions, upon the written request of</w:t>
      </w:r>
      <w:r>
        <w:rPr>
          <w:rFonts w:ascii="Arial" w:cs="Arial" w:eastAsia="Arial" w:hAnsi="Arial"/>
          <w:sz w:val="16"/>
          <w:szCs w:val="16"/>
          <w:b w:val="1"/>
          <w:bCs w:val="1"/>
          <w:color w:val="auto"/>
        </w:rPr>
        <w:t xml:space="preserve"> </w:t>
      </w:r>
      <w:r>
        <w:rPr>
          <w:rFonts w:ascii="Arial" w:cs="Arial" w:eastAsia="Arial" w:hAnsi="Arial"/>
          <w:sz w:val="16"/>
          <w:szCs w:val="16"/>
          <w:color w:val="auto"/>
        </w:rPr>
        <w:t>either Party setting forth the basis of the dispute in reasonable detail, each Party will appoint a designated representative having authority to resolve and settle such dispute. The designated representatives shall meet as often as the Parties reasonably deem appropriate to discuss the dispute and attempt to resolve the dispute without the necessity of arbitration pursuant to Section 15(c) of these General Terms and Conditions. If a Party requests that informal dispute resolution under this Section 15(b) be initiated, then formal proceedings under Section 15(c) of these General Terms and Conditions may not be commenced until the earlier of (i) the time when the Parties conclude in good faith that amicable resolution of the dispute does not appear likely or</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(ii) the expiration of sixty (60) days following the initial request by a Party to jointly resolve the dispute under this Section 15(b).</w:t>
      </w:r>
    </w:p>
    <w:p>
      <w:pPr>
        <w:spacing w:after="0" w:line="206" w:lineRule="exact"/>
        <w:rPr>
          <w:rFonts w:ascii="Arial" w:cs="Arial" w:eastAsia="Arial" w:hAnsi="Arial"/>
          <w:sz w:val="16"/>
          <w:szCs w:val="16"/>
          <w:color w:val="auto"/>
        </w:rPr>
      </w:pPr>
    </w:p>
    <w:p>
      <w:pPr>
        <w:ind w:left="4" w:right="880" w:firstLine="436"/>
        <w:spacing w:after="0" w:line="347" w:lineRule="auto"/>
        <w:tabs>
          <w:tab w:leader="none" w:pos="824" w:val="left"/>
        </w:tabs>
        <w:numPr>
          <w:ilvl w:val="1"/>
          <w:numId w:val="307"/>
        </w:numPr>
        <w:rPr>
          <w:rFonts w:ascii="Arial" w:cs="Arial" w:eastAsia="Arial" w:hAnsi="Arial"/>
          <w:sz w:val="16"/>
          <w:szCs w:val="16"/>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If a dispute is not resolved pursuant to the informal dispute mechanism in Section 15(b) of these General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the dispute may be submitted by either Party to mandatory and binding arbitration, pursuant to the following conditions:</w:t>
      </w:r>
    </w:p>
    <w:p>
      <w:pPr>
        <w:spacing w:after="0" w:line="25" w:lineRule="exact"/>
        <w:rPr>
          <w:rFonts w:ascii="Arial" w:cs="Arial" w:eastAsia="Arial" w:hAnsi="Arial"/>
          <w:sz w:val="16"/>
          <w:szCs w:val="16"/>
          <w:color w:val="auto"/>
        </w:rPr>
      </w:pPr>
    </w:p>
    <w:p>
      <w:pPr>
        <w:jc w:val="both"/>
        <w:ind w:left="1424" w:right="40" w:hanging="439"/>
        <w:spacing w:after="0" w:line="291" w:lineRule="auto"/>
        <w:tabs>
          <w:tab w:leader="none" w:pos="1424" w:val="left"/>
        </w:tabs>
        <w:numPr>
          <w:ilvl w:val="2"/>
          <w:numId w:val="307"/>
        </w:numPr>
        <w:rPr>
          <w:rFonts w:ascii="Arial" w:cs="Arial" w:eastAsia="Arial" w:hAnsi="Arial"/>
          <w:sz w:val="16"/>
          <w:szCs w:val="16"/>
          <w:color w:val="auto"/>
        </w:rPr>
      </w:pPr>
      <w:r>
        <w:rPr>
          <w:rFonts w:ascii="Arial" w:cs="Arial" w:eastAsia="Arial" w:hAnsi="Arial"/>
          <w:sz w:val="16"/>
          <w:szCs w:val="16"/>
          <w:u w:val="single" w:color="auto"/>
          <w:color w:val="auto"/>
        </w:rPr>
        <w:t>Selection of Arbitrator</w:t>
      </w:r>
      <w:r>
        <w:rPr>
          <w:rFonts w:ascii="Arial" w:cs="Arial" w:eastAsia="Arial" w:hAnsi="Arial"/>
          <w:sz w:val="16"/>
          <w:szCs w:val="16"/>
          <w:color w:val="auto"/>
        </w:rPr>
        <w:t>. The Party making the demand for arbitration shall notify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and the other Party in writing describing in reasonable detail the nature of the dispute and shall request that the AAA furnish a list of five</w:t>
      </w:r>
    </w:p>
    <w:p>
      <w:pPr>
        <w:ind w:left="1424" w:right="60"/>
        <w:spacing w:after="0" w:line="252" w:lineRule="auto"/>
        <w:rPr>
          <w:rFonts w:ascii="Arial" w:cs="Arial" w:eastAsia="Arial" w:hAnsi="Arial"/>
          <w:sz w:val="16"/>
          <w:szCs w:val="16"/>
          <w:color w:val="auto"/>
        </w:rPr>
      </w:pPr>
      <w:r>
        <w:rPr>
          <w:rFonts w:ascii="Arial" w:cs="Arial" w:eastAsia="Arial" w:hAnsi="Arial"/>
          <w:sz w:val="18"/>
          <w:szCs w:val="18"/>
          <w:color w:val="auto"/>
        </w:rPr>
        <w:t>(5) possible arbitrators who shall have substantial experience in the area of information technology and card processing and shall otherwise be qualified to competently address the issues presented. Each Party shall have fifteen (15) days to reject two (2) of the proposed arbitrators. If only one (1) individual has not been so rejected, he or she shall serve as arbitrator. If two (2) or more individuals have not been so rejected, then the Parties shall promptly mutually select the arbitrator from the remaining pool of possible arbitrators; provided, however, that if the Parties are unable to agree on such selection within ten (10) days after notification by the AAA of the need to make such selection, then the AAA shall select the arbitrator from the remaining pool of possible arbitrators.</w:t>
      </w:r>
    </w:p>
    <w:p>
      <w:pPr>
        <w:spacing w:after="0" w:line="97" w:lineRule="exact"/>
        <w:rPr>
          <w:rFonts w:ascii="Arial" w:cs="Arial" w:eastAsia="Arial" w:hAnsi="Arial"/>
          <w:sz w:val="16"/>
          <w:szCs w:val="16"/>
          <w:color w:val="auto"/>
        </w:rPr>
      </w:pPr>
    </w:p>
    <w:p>
      <w:pPr>
        <w:ind w:left="1424" w:hanging="439"/>
        <w:spacing w:after="0"/>
        <w:tabs>
          <w:tab w:leader="none" w:pos="1424" w:val="left"/>
        </w:tabs>
        <w:numPr>
          <w:ilvl w:val="2"/>
          <w:numId w:val="307"/>
        </w:numPr>
        <w:rPr>
          <w:rFonts w:ascii="Arial" w:cs="Arial" w:eastAsia="Arial" w:hAnsi="Arial"/>
          <w:sz w:val="17"/>
          <w:szCs w:val="17"/>
          <w:color w:val="auto"/>
        </w:rPr>
      </w:pPr>
      <w:r>
        <w:rPr>
          <w:rFonts w:ascii="Arial" w:cs="Arial" w:eastAsia="Arial" w:hAnsi="Arial"/>
          <w:sz w:val="17"/>
          <w:szCs w:val="17"/>
          <w:u w:val="single" w:color="auto"/>
          <w:color w:val="auto"/>
        </w:rPr>
        <w:t>Conduct of Arbitration</w:t>
      </w:r>
      <w:r>
        <w:rPr>
          <w:rFonts w:ascii="Arial" w:cs="Arial" w:eastAsia="Arial" w:hAnsi="Arial"/>
          <w:sz w:val="17"/>
          <w:szCs w:val="17"/>
          <w:color w:val="auto"/>
        </w:rPr>
        <w:t>. The arbitration shall be conducted in accordance with the rules for commercial arbitration of the AAA.</w:t>
      </w:r>
    </w:p>
    <w:p>
      <w:pPr>
        <w:spacing w:after="0" w:line="142" w:lineRule="exact"/>
        <w:rPr>
          <w:rFonts w:ascii="Arial" w:cs="Arial" w:eastAsia="Arial" w:hAnsi="Arial"/>
          <w:sz w:val="17"/>
          <w:szCs w:val="17"/>
          <w:color w:val="auto"/>
        </w:rPr>
      </w:pPr>
    </w:p>
    <w:p>
      <w:pPr>
        <w:ind w:left="1424" w:hanging="439"/>
        <w:spacing w:after="0"/>
        <w:tabs>
          <w:tab w:leader="none" w:pos="1424" w:val="left"/>
        </w:tabs>
        <w:numPr>
          <w:ilvl w:val="2"/>
          <w:numId w:val="307"/>
        </w:numPr>
        <w:rPr>
          <w:rFonts w:ascii="Arial" w:cs="Arial" w:eastAsia="Arial" w:hAnsi="Arial"/>
          <w:sz w:val="16"/>
          <w:szCs w:val="16"/>
          <w:color w:val="auto"/>
        </w:rPr>
      </w:pPr>
      <w:r>
        <w:rPr>
          <w:rFonts w:ascii="Arial" w:cs="Arial" w:eastAsia="Arial" w:hAnsi="Arial"/>
          <w:sz w:val="16"/>
          <w:szCs w:val="16"/>
          <w:u w:val="single" w:color="auto"/>
          <w:color w:val="auto"/>
        </w:rPr>
        <w:t>Place of Arbitration Hearings</w:t>
      </w:r>
      <w:r>
        <w:rPr>
          <w:rFonts w:ascii="Arial" w:cs="Arial" w:eastAsia="Arial" w:hAnsi="Arial"/>
          <w:sz w:val="16"/>
          <w:szCs w:val="16"/>
          <w:color w:val="auto"/>
        </w:rPr>
        <w:t>. Unless otherwise agreed to by the Parties, arbitration hearings shall be held in San Francisco Bay area.</w:t>
      </w:r>
    </w:p>
    <w:p>
      <w:pPr>
        <w:spacing w:after="0" w:line="153" w:lineRule="exact"/>
        <w:rPr>
          <w:rFonts w:ascii="Arial" w:cs="Arial" w:eastAsia="Arial" w:hAnsi="Arial"/>
          <w:sz w:val="16"/>
          <w:szCs w:val="16"/>
          <w:color w:val="auto"/>
        </w:rPr>
      </w:pPr>
    </w:p>
    <w:p>
      <w:pPr>
        <w:ind w:left="1424" w:right="120" w:hanging="439"/>
        <w:spacing w:after="0" w:line="342" w:lineRule="auto"/>
        <w:tabs>
          <w:tab w:leader="none" w:pos="1424" w:val="left"/>
        </w:tabs>
        <w:numPr>
          <w:ilvl w:val="2"/>
          <w:numId w:val="307"/>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Unless the arbitrator rules otherwise, the Parties shall jointly and equally pay the expenses of the arbitrator and administrative costs assessed by the AAA, as well as their own expenses incurred during the dispute resolution process.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371" w:name="page372"/>
    <w:bookmarkEnd w:id="371"/>
    <w:p>
      <w:pPr>
        <w:ind w:left="4" w:right="220" w:firstLine="436"/>
        <w:spacing w:after="0" w:line="281" w:lineRule="auto"/>
        <w:tabs>
          <w:tab w:leader="none" w:pos="834" w:val="left"/>
        </w:tabs>
        <w:numPr>
          <w:ilvl w:val="1"/>
          <w:numId w:val="30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w:t>
      </w:r>
      <w:r>
        <w:rPr>
          <w:rFonts w:ascii="Arial" w:cs="Arial" w:eastAsia="Arial" w:hAnsi="Arial"/>
          <w:sz w:val="17"/>
          <w:szCs w:val="17"/>
          <w:color w:val="auto"/>
        </w:rPr>
        <w:t>. The Parties agree that the existence of a dispute, any efforts or proceedings to resolve a dispute, whether informal or</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arbitration, and any rulings or decisions issued by the arbitrator pursuant to Section 15(c), of these General Terms and Conditions shall be held in confidence, shall be treated as compromise and settlement negotiations under applicable evidence rules, and shall be governed as Confidential Information by the terms and conditions of Section 12 of these General Terms and Conditions.</w:t>
      </w:r>
    </w:p>
    <w:p>
      <w:pPr>
        <w:spacing w:after="0" w:line="164" w:lineRule="exact"/>
        <w:rPr>
          <w:rFonts w:ascii="Arial" w:cs="Arial" w:eastAsia="Arial" w:hAnsi="Arial"/>
          <w:sz w:val="17"/>
          <w:szCs w:val="17"/>
          <w:color w:val="auto"/>
        </w:rPr>
      </w:pPr>
    </w:p>
    <w:p>
      <w:pPr>
        <w:ind w:left="4" w:right="220" w:firstLine="436"/>
        <w:spacing w:after="0" w:line="298" w:lineRule="auto"/>
        <w:tabs>
          <w:tab w:leader="none" w:pos="824" w:val="left"/>
        </w:tabs>
        <w:numPr>
          <w:ilvl w:val="1"/>
          <w:numId w:val="308"/>
        </w:numPr>
        <w:rPr>
          <w:rFonts w:ascii="Arial" w:cs="Arial" w:eastAsia="Arial" w:hAnsi="Arial"/>
          <w:sz w:val="16"/>
          <w:szCs w:val="16"/>
          <w:color w:val="auto"/>
        </w:rPr>
      </w:pPr>
      <w:r>
        <w:rPr>
          <w:rFonts w:ascii="Arial" w:cs="Arial" w:eastAsia="Arial" w:hAnsi="Arial"/>
          <w:sz w:val="16"/>
          <w:szCs w:val="16"/>
          <w:b w:val="1"/>
          <w:bCs w:val="1"/>
          <w:color w:val="auto"/>
        </w:rPr>
        <w:t>Equitable Relief</w:t>
      </w:r>
      <w:r>
        <w:rPr>
          <w:rFonts w:ascii="Arial" w:cs="Arial" w:eastAsia="Arial" w:hAnsi="Arial"/>
          <w:sz w:val="16"/>
          <w:szCs w:val="16"/>
          <w:color w:val="auto"/>
        </w:rPr>
        <w:t>. The Parties agree that the only circumstance in which disputes between them shall not be subject to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15(b) and/or 15(c) of these General Terms and Conditions is as set forth in Section 15(f) of these General Terms and Conditions, and when a Party makes a good faith determination that a material breach or threatened breach of the terms of this Agreement by the other Party is such that injunctive or other equitable relief is the only appropriate and adequate remedy. Accordingly, in addition to other remedies available to it, the affected Party will be entitled to seek injunctive or other equitable relief to remedy any threatened or actual breach of any portion of this Agreement.</w:t>
      </w:r>
    </w:p>
    <w:p>
      <w:pPr>
        <w:spacing w:after="0" w:line="153" w:lineRule="exact"/>
        <w:rPr>
          <w:rFonts w:ascii="Arial" w:cs="Arial" w:eastAsia="Arial" w:hAnsi="Arial"/>
          <w:sz w:val="16"/>
          <w:szCs w:val="16"/>
          <w:color w:val="auto"/>
        </w:rPr>
      </w:pPr>
    </w:p>
    <w:p>
      <w:pPr>
        <w:jc w:val="both"/>
        <w:ind w:left="4" w:right="100" w:firstLine="436"/>
        <w:spacing w:after="0" w:line="347" w:lineRule="auto"/>
        <w:tabs>
          <w:tab w:leader="none" w:pos="804" w:val="left"/>
        </w:tabs>
        <w:numPr>
          <w:ilvl w:val="1"/>
          <w:numId w:val="308"/>
        </w:numPr>
        <w:rPr>
          <w:rFonts w:ascii="Arial" w:cs="Arial" w:eastAsia="Arial" w:hAnsi="Arial"/>
          <w:sz w:val="16"/>
          <w:szCs w:val="16"/>
          <w:color w:val="auto"/>
        </w:rPr>
      </w:pPr>
      <w:r>
        <w:rPr>
          <w:rFonts w:ascii="Arial" w:cs="Arial" w:eastAsia="Arial" w:hAnsi="Arial"/>
          <w:sz w:val="16"/>
          <w:szCs w:val="16"/>
          <w:b w:val="1"/>
          <w:bCs w:val="1"/>
          <w:color w:val="auto"/>
        </w:rPr>
        <w:t>No Limitation</w:t>
      </w:r>
      <w:r>
        <w:rPr>
          <w:rFonts w:ascii="Arial" w:cs="Arial" w:eastAsia="Arial" w:hAnsi="Arial"/>
          <w:sz w:val="16"/>
          <w:szCs w:val="16"/>
          <w:color w:val="auto"/>
        </w:rPr>
        <w:t>. This Section 15 shall not be construed to prevent a Party from instituting, and a Party is authorized to institute, formal court</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proceedings, earlier (i) to avoid the expiration of any applicable limitations period, or (ii) to preserve a superior position with respect to other creditors.</w:t>
      </w:r>
    </w:p>
    <w:p>
      <w:pPr>
        <w:spacing w:after="0" w:line="264" w:lineRule="exact"/>
        <w:rPr>
          <w:rFonts w:ascii="Arial" w:cs="Arial" w:eastAsia="Arial" w:hAnsi="Arial"/>
          <w:sz w:val="16"/>
          <w:szCs w:val="16"/>
          <w:color w:val="auto"/>
        </w:rPr>
      </w:pPr>
    </w:p>
    <w:p>
      <w:pPr>
        <w:ind w:left="424" w:hanging="424"/>
        <w:spacing w:after="0"/>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p>
    <w:p>
      <w:pPr>
        <w:spacing w:after="0" w:line="225" w:lineRule="exact"/>
        <w:rPr>
          <w:rFonts w:ascii="Arial" w:cs="Arial" w:eastAsia="Arial" w:hAnsi="Arial"/>
          <w:sz w:val="18"/>
          <w:szCs w:val="18"/>
          <w:color w:val="auto"/>
        </w:rPr>
      </w:pPr>
    </w:p>
    <w:p>
      <w:pPr>
        <w:ind w:left="4" w:firstLine="436"/>
        <w:spacing w:after="0" w:line="298" w:lineRule="auto"/>
        <w:tabs>
          <w:tab w:leader="none" w:pos="824" w:val="left"/>
        </w:tabs>
        <w:numPr>
          <w:ilvl w:val="1"/>
          <w:numId w:val="309"/>
        </w:numPr>
        <w:rPr>
          <w:rFonts w:ascii="Arial" w:cs="Arial" w:eastAsia="Arial" w:hAnsi="Arial"/>
          <w:sz w:val="16"/>
          <w:szCs w:val="16"/>
          <w:color w:val="auto"/>
        </w:rPr>
      </w:pPr>
      <w:r>
        <w:rPr>
          <w:rFonts w:ascii="Arial" w:cs="Arial" w:eastAsia="Arial" w:hAnsi="Arial"/>
          <w:sz w:val="16"/>
          <w:szCs w:val="16"/>
          <w:b w:val="1"/>
          <w:bCs w:val="1"/>
          <w:color w:val="auto"/>
        </w:rPr>
        <w:t>Binding Agreement and Assignment</w:t>
      </w:r>
      <w:r>
        <w:rPr>
          <w:rFonts w:ascii="Arial" w:cs="Arial" w:eastAsia="Arial" w:hAnsi="Arial"/>
          <w:sz w:val="16"/>
          <w:szCs w:val="16"/>
          <w:color w:val="auto"/>
        </w:rPr>
        <w:t>. This Agreement shall be binding on the Parties and their respective successors and permitted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Party may transfer or assign (by merger or operation of law or otherwise) this Agreement or its obligations under this Agreement, in whole or in part, without the prior written consent of the other Party (which consent will not be unreasonably withheld); provided, however, that either Party may transfer or assign this Agreement in whole (but not in part) without such consent to any Affiliate of such Party. Notwithstanding the foregoing, Marqeta shall have the right to grant a security interest in any accounts receivable to which it becomes entitled under this Agreement.</w:t>
      </w:r>
    </w:p>
    <w:p>
      <w:pPr>
        <w:spacing w:after="0" w:line="153" w:lineRule="exact"/>
        <w:rPr>
          <w:rFonts w:ascii="Arial" w:cs="Arial" w:eastAsia="Arial" w:hAnsi="Arial"/>
          <w:sz w:val="16"/>
          <w:szCs w:val="16"/>
          <w:color w:val="auto"/>
        </w:rPr>
      </w:pPr>
    </w:p>
    <w:p>
      <w:pPr>
        <w:ind w:left="824" w:hanging="384"/>
        <w:spacing w:after="0"/>
        <w:tabs>
          <w:tab w:leader="none" w:pos="824" w:val="left"/>
        </w:tabs>
        <w:numPr>
          <w:ilvl w:val="1"/>
          <w:numId w:val="309"/>
        </w:numPr>
        <w:rPr>
          <w:rFonts w:ascii="Arial" w:cs="Arial" w:eastAsia="Arial" w:hAnsi="Arial"/>
          <w:sz w:val="18"/>
          <w:szCs w:val="18"/>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right="100" w:hanging="439"/>
        <w:spacing w:after="0" w:line="255" w:lineRule="auto"/>
        <w:tabs>
          <w:tab w:leader="none" w:pos="1424" w:val="left"/>
        </w:tabs>
        <w:numPr>
          <w:ilvl w:val="2"/>
          <w:numId w:val="309"/>
        </w:numPr>
        <w:rPr>
          <w:rFonts w:ascii="Arial" w:cs="Arial" w:eastAsia="Arial" w:hAnsi="Arial"/>
          <w:sz w:val="18"/>
          <w:szCs w:val="18"/>
          <w:color w:val="auto"/>
        </w:rPr>
      </w:pPr>
      <w:r>
        <w:rPr>
          <w:rFonts w:ascii="Arial" w:cs="Arial" w:eastAsia="Arial" w:hAnsi="Arial"/>
          <w:sz w:val="18"/>
          <w:szCs w:val="18"/>
          <w:color w:val="auto"/>
        </w:rPr>
        <w:t>No Party shall be liable for any default or delay in the performance of its obligations under this Agreement (other than a payment default) if such default or delay is caused, directly or indirectly, by fire, flood, earthquake, elements of nature or acts of God or any other cause beyond the reasonable control of such Party (a “Force Majeure Event”) (provided the non-performing Party is without material fault in causing such default or delay), provided the parties shall at all times take all reasonable steps within their power to prevent Force Majeure Events affecting the performance of their obligations herein, and to mitigate the effect of any Force Majeure Event</w:t>
      </w:r>
    </w:p>
    <w:p>
      <w:pPr>
        <w:spacing w:after="0" w:line="97" w:lineRule="exact"/>
        <w:rPr>
          <w:rFonts w:ascii="Arial" w:cs="Arial" w:eastAsia="Arial" w:hAnsi="Arial"/>
          <w:sz w:val="18"/>
          <w:szCs w:val="18"/>
          <w:color w:val="auto"/>
        </w:rPr>
      </w:pPr>
    </w:p>
    <w:p>
      <w:pPr>
        <w:ind w:left="1424" w:right="40" w:hanging="439"/>
        <w:spacing w:after="0" w:line="287" w:lineRule="auto"/>
        <w:tabs>
          <w:tab w:leader="none" w:pos="1424" w:val="left"/>
        </w:tabs>
        <w:numPr>
          <w:ilvl w:val="2"/>
          <w:numId w:val="309"/>
        </w:numPr>
        <w:rPr>
          <w:rFonts w:ascii="Arial" w:cs="Arial" w:eastAsia="Arial" w:hAnsi="Arial"/>
          <w:sz w:val="16"/>
          <w:szCs w:val="16"/>
          <w:color w:val="auto"/>
        </w:rPr>
      </w:pPr>
      <w:r>
        <w:rPr>
          <w:rFonts w:ascii="Arial" w:cs="Arial" w:eastAsia="Arial" w:hAnsi="Arial"/>
          <w:sz w:val="16"/>
          <w:szCs w:val="16"/>
          <w:color w:val="auto"/>
        </w:rPr>
        <w:t>The non-performing Party shall be excused from performance of the obligation(s) so affected for as long as such circumstances prevail and such Party continues to use its commercially reasonable efforts to recommence performance. Any Party so delayed in its performance shall immediately notify the Party to whom performance is due by telephone (to be confirmed in writing within two</w:t>
      </w:r>
    </w:p>
    <w:p>
      <w:pPr>
        <w:spacing w:after="0" w:line="2" w:lineRule="exact"/>
        <w:rPr>
          <w:rFonts w:ascii="Arial" w:cs="Arial" w:eastAsia="Arial" w:hAnsi="Arial"/>
          <w:sz w:val="16"/>
          <w:szCs w:val="16"/>
          <w:color w:val="auto"/>
        </w:rPr>
      </w:pPr>
    </w:p>
    <w:p>
      <w:pPr>
        <w:ind w:left="1424"/>
        <w:spacing w:after="0"/>
        <w:rPr>
          <w:rFonts w:ascii="Arial" w:cs="Arial" w:eastAsia="Arial" w:hAnsi="Arial"/>
          <w:sz w:val="16"/>
          <w:szCs w:val="16"/>
          <w:color w:val="auto"/>
        </w:rPr>
      </w:pPr>
      <w:r>
        <w:rPr>
          <w:rFonts w:ascii="Arial" w:cs="Arial" w:eastAsia="Arial" w:hAnsi="Arial"/>
          <w:sz w:val="17"/>
          <w:szCs w:val="17"/>
          <w:color w:val="auto"/>
        </w:rPr>
        <w:t>(2) Business Days of the inception of such delay) and describe in reasonable detail the circumstances surrounding such delay.</w:t>
      </w:r>
    </w:p>
    <w:p>
      <w:pPr>
        <w:spacing w:after="0" w:line="127" w:lineRule="exact"/>
        <w:rPr>
          <w:rFonts w:ascii="Arial" w:cs="Arial" w:eastAsia="Arial" w:hAnsi="Arial"/>
          <w:sz w:val="16"/>
          <w:szCs w:val="16"/>
          <w:color w:val="auto"/>
        </w:rPr>
      </w:pPr>
    </w:p>
    <w:p>
      <w:pPr>
        <w:ind w:left="1424" w:right="180" w:hanging="439"/>
        <w:spacing w:after="0" w:line="286" w:lineRule="auto"/>
        <w:tabs>
          <w:tab w:leader="none" w:pos="1424" w:val="left"/>
        </w:tabs>
        <w:numPr>
          <w:ilvl w:val="2"/>
          <w:numId w:val="309"/>
        </w:numPr>
        <w:rPr>
          <w:rFonts w:ascii="Arial" w:cs="Arial" w:eastAsia="Arial" w:hAnsi="Arial"/>
          <w:sz w:val="17"/>
          <w:szCs w:val="17"/>
          <w:color w:val="auto"/>
        </w:rPr>
      </w:pPr>
      <w:r>
        <w:rPr>
          <w:rFonts w:ascii="Arial" w:cs="Arial" w:eastAsia="Arial" w:hAnsi="Arial"/>
          <w:sz w:val="17"/>
          <w:szCs w:val="17"/>
          <w:color w:val="auto"/>
        </w:rPr>
        <w:t>If Marqeta’s performance of the Services necessary for the conduct of those business functions of Client reasonably identified by Client as critical is excused under this Section 16(b) for more than thirty (30) consecutive days, then at Client’s option, Client may elect, by a written notice, to immediately terminate this Agreement without liability to Marqeta.</w:t>
      </w:r>
    </w:p>
    <w:p>
      <w:pPr>
        <w:spacing w:after="0" w:line="161" w:lineRule="exact"/>
        <w:rPr>
          <w:rFonts w:ascii="Arial" w:cs="Arial" w:eastAsia="Arial" w:hAnsi="Arial"/>
          <w:sz w:val="17"/>
          <w:szCs w:val="17"/>
          <w:color w:val="auto"/>
        </w:rPr>
      </w:pPr>
    </w:p>
    <w:p>
      <w:pPr>
        <w:ind w:left="4" w:right="400" w:firstLine="436"/>
        <w:spacing w:after="0" w:line="282" w:lineRule="auto"/>
        <w:tabs>
          <w:tab w:leader="none" w:pos="824" w:val="left"/>
        </w:tabs>
        <w:numPr>
          <w:ilvl w:val="1"/>
          <w:numId w:val="309"/>
        </w:numPr>
        <w:rPr>
          <w:rFonts w:ascii="Arial" w:cs="Arial" w:eastAsia="Arial" w:hAnsi="Arial"/>
          <w:sz w:val="18"/>
          <w:szCs w:val="18"/>
          <w:color w:val="auto"/>
        </w:rPr>
      </w:pPr>
      <w:r>
        <w:rPr>
          <w:rFonts w:ascii="Arial" w:cs="Arial" w:eastAsia="Arial" w:hAnsi="Arial"/>
          <w:sz w:val="18"/>
          <w:szCs w:val="18"/>
          <w:b w:val="1"/>
          <w:bCs w:val="1"/>
          <w:color w:val="auto"/>
        </w:rPr>
        <w:t>Amendments</w:t>
      </w:r>
      <w:r>
        <w:rPr>
          <w:rFonts w:ascii="Arial" w:cs="Arial" w:eastAsia="Arial" w:hAnsi="Arial"/>
          <w:sz w:val="18"/>
          <w:szCs w:val="18"/>
          <w:color w:val="auto"/>
        </w:rPr>
        <w:t>. No change, waiver or discharge relating to the terms of this Agreement, including the Schedules, shall be valid unless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signed by an authorized representative of each Party.</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0" w:right="479" w:bottom="1440" w:gutter="0" w:footer="0" w:header="0"/>
        </w:sectPr>
      </w:pPr>
    </w:p>
    <w:bookmarkStart w:id="372" w:name="page373"/>
    <w:bookmarkEnd w:id="372"/>
    <w:p>
      <w:pPr>
        <w:ind w:right="220" w:firstLine="436"/>
        <w:spacing w:after="0" w:line="312" w:lineRule="auto"/>
        <w:tabs>
          <w:tab w:leader="none" w:pos="830" w:val="left"/>
        </w:tabs>
        <w:numPr>
          <w:ilvl w:val="0"/>
          <w:numId w:val="31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Arial" w:cs="Arial" w:eastAsia="Arial" w:hAnsi="Arial"/>
          <w:sz w:val="17"/>
          <w:szCs w:val="17"/>
          <w:color w:val="auto"/>
        </w:rPr>
        <w:t>. This Agreement and the rights and obligations of the Parties under this Agreement will be governed by and construed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laws of the State of California, without giving effect to the principles thereof relating to the conflicts of laws.</w:t>
      </w:r>
    </w:p>
    <w:p>
      <w:pPr>
        <w:spacing w:after="0" w:line="139" w:lineRule="exact"/>
        <w:rPr>
          <w:rFonts w:ascii="Arial" w:cs="Arial" w:eastAsia="Arial" w:hAnsi="Arial"/>
          <w:sz w:val="17"/>
          <w:szCs w:val="17"/>
          <w:color w:val="auto"/>
        </w:rPr>
      </w:pPr>
    </w:p>
    <w:p>
      <w:pPr>
        <w:ind w:right="40" w:firstLine="436"/>
        <w:spacing w:after="0" w:line="261" w:lineRule="auto"/>
        <w:tabs>
          <w:tab w:leader="none" w:pos="820"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Entire Agreement; Waiver</w:t>
      </w:r>
      <w:r>
        <w:rPr>
          <w:rFonts w:ascii="Arial" w:cs="Arial" w:eastAsia="Arial" w:hAnsi="Arial"/>
          <w:sz w:val="18"/>
          <w:szCs w:val="18"/>
          <w:color w:val="auto"/>
        </w:rPr>
        <w:t>. The first page of this Agreement and these General Terms and Conditions, together with the other Schedules</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represent the entire agreement of the Parties, and any and all prior written or oral communications, agreements, understandings and representations are merged herein and superseded hereby. Further, the failure of either Party to insist on performance of any provision of this Agreement shall not be construed as a waiver of that provision or any other provision at any time.</w:t>
      </w:r>
    </w:p>
    <w:p>
      <w:pPr>
        <w:spacing w:after="0" w:line="179" w:lineRule="exact"/>
        <w:rPr>
          <w:rFonts w:ascii="Arial" w:cs="Arial" w:eastAsia="Arial" w:hAnsi="Arial"/>
          <w:sz w:val="18"/>
          <w:szCs w:val="18"/>
          <w:color w:val="auto"/>
        </w:rPr>
      </w:pPr>
    </w:p>
    <w:p>
      <w:pPr>
        <w:ind w:right="20" w:firstLine="436"/>
        <w:spacing w:after="0" w:line="314" w:lineRule="auto"/>
        <w:tabs>
          <w:tab w:leader="none" w:pos="800" w:val="left"/>
        </w:tabs>
        <w:numPr>
          <w:ilvl w:val="0"/>
          <w:numId w:val="310"/>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In the event that any provision of this Agreement conflicts with the law under which this Agreement is to be construed or if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provision is held invalid by a court with jurisdiction over the Parties, such provision shall be deemed to be restated to reflect as nearly as possible the original intentions of the Parties in accordance with applicable law. The remainder of this Agreement shall remain in full force and effect.</w:t>
      </w:r>
    </w:p>
    <w:p>
      <w:pPr>
        <w:spacing w:after="0" w:line="141" w:lineRule="exact"/>
        <w:rPr>
          <w:rFonts w:ascii="Arial" w:cs="Arial" w:eastAsia="Arial" w:hAnsi="Arial"/>
          <w:sz w:val="16"/>
          <w:szCs w:val="16"/>
          <w:color w:val="auto"/>
        </w:rPr>
      </w:pPr>
    </w:p>
    <w:p>
      <w:pPr>
        <w:ind w:right="140" w:firstLine="436"/>
        <w:spacing w:after="0" w:line="347" w:lineRule="auto"/>
        <w:tabs>
          <w:tab w:leader="none" w:pos="830" w:val="left"/>
        </w:tabs>
        <w:numPr>
          <w:ilvl w:val="0"/>
          <w:numId w:val="310"/>
        </w:numPr>
        <w:rPr>
          <w:rFonts w:ascii="Arial" w:cs="Arial" w:eastAsia="Arial" w:hAnsi="Arial"/>
          <w:sz w:val="16"/>
          <w:szCs w:val="16"/>
          <w:color w:val="auto"/>
        </w:rPr>
      </w:pPr>
      <w:r>
        <w:rPr>
          <w:rFonts w:ascii="Arial" w:cs="Arial" w:eastAsia="Arial" w:hAnsi="Arial"/>
          <w:sz w:val="16"/>
          <w:szCs w:val="16"/>
          <w:b w:val="1"/>
          <w:bCs w:val="1"/>
          <w:color w:val="auto"/>
        </w:rPr>
        <w:t>Public Disclosures</w:t>
      </w:r>
      <w:r>
        <w:rPr>
          <w:rFonts w:ascii="Arial" w:cs="Arial" w:eastAsia="Arial" w:hAnsi="Arial"/>
          <w:sz w:val="16"/>
          <w:szCs w:val="16"/>
          <w:color w:val="auto"/>
        </w:rPr>
        <w:t>. Marqeta may issue public statements, including without limitation any reference to Client within Marqeta’s website,</w:t>
      </w:r>
      <w:r>
        <w:rPr>
          <w:rFonts w:ascii="Arial" w:cs="Arial" w:eastAsia="Arial" w:hAnsi="Arial"/>
          <w:sz w:val="16"/>
          <w:szCs w:val="16"/>
          <w:b w:val="1"/>
          <w:bCs w:val="1"/>
          <w:color w:val="auto"/>
        </w:rPr>
        <w:t xml:space="preserve"> </w:t>
      </w:r>
      <w:r>
        <w:rPr>
          <w:rFonts w:ascii="Arial" w:cs="Arial" w:eastAsia="Arial" w:hAnsi="Arial"/>
          <w:sz w:val="16"/>
          <w:szCs w:val="16"/>
          <w:color w:val="auto"/>
        </w:rPr>
        <w:t>portfolio, and/or speaking engagement, disclosing the existence of this Agreement or the performance of Services upon Client’s prior written approval.</w:t>
      </w:r>
    </w:p>
    <w:p>
      <w:pPr>
        <w:spacing w:after="0" w:line="115" w:lineRule="exact"/>
        <w:rPr>
          <w:rFonts w:ascii="Arial" w:cs="Arial" w:eastAsia="Arial" w:hAnsi="Arial"/>
          <w:sz w:val="16"/>
          <w:szCs w:val="16"/>
          <w:color w:val="auto"/>
        </w:rPr>
      </w:pPr>
    </w:p>
    <w:p>
      <w:pPr>
        <w:ind w:right="60" w:firstLine="436"/>
        <w:spacing w:after="0" w:line="273" w:lineRule="auto"/>
        <w:tabs>
          <w:tab w:leader="none" w:pos="830" w:val="left"/>
        </w:tabs>
        <w:numPr>
          <w:ilvl w:val="0"/>
          <w:numId w:val="310"/>
        </w:numPr>
        <w:rPr>
          <w:rFonts w:ascii="Arial" w:cs="Arial" w:eastAsia="Arial" w:hAnsi="Arial"/>
          <w:sz w:val="17"/>
          <w:szCs w:val="17"/>
          <w:color w:val="auto"/>
        </w:rPr>
      </w:pPr>
      <w:r>
        <w:rPr>
          <w:rFonts w:ascii="Arial" w:cs="Arial" w:eastAsia="Arial" w:hAnsi="Arial"/>
          <w:sz w:val="17"/>
          <w:szCs w:val="17"/>
          <w:b w:val="1"/>
          <w:bCs w:val="1"/>
          <w:color w:val="auto"/>
        </w:rPr>
        <w:t>Non-Solicitation</w:t>
      </w:r>
      <w:r>
        <w:rPr>
          <w:rFonts w:ascii="Arial" w:cs="Arial" w:eastAsia="Arial" w:hAnsi="Arial"/>
          <w:sz w:val="17"/>
          <w:szCs w:val="17"/>
          <w:color w:val="auto"/>
        </w:rPr>
        <w:t>. Each Party agrees that during the Term it will not seek out or induce any person (by offering employment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who is an employee of the other Party to terminate their employment. Notwithstanding the foregoing, it shall not be deemed a violation of this Section 16(h) for either Party to (1) solicit or hire an employee of the other Party, if the initial solicitation to which an employee responds is a general advertisement that is not specifically targeted to the other Party’s employees, such as a newspaper or web site job listing or (2) hire an employee of the other Party if the employee contacts the hiring Party on his or her own initiative, was in discussion with the hiring Party regarding possible employment prior to the signing of this Agreement, or is referred to the hiring Party by search firms, employment agencies, or other similar entities provided that such entities have not been specifically instructed by the hiring Party to target the other Party or its employees.</w:t>
      </w:r>
    </w:p>
    <w:p>
      <w:pPr>
        <w:spacing w:after="0" w:line="171" w:lineRule="exact"/>
        <w:rPr>
          <w:rFonts w:ascii="Arial" w:cs="Arial" w:eastAsia="Arial" w:hAnsi="Arial"/>
          <w:sz w:val="17"/>
          <w:szCs w:val="17"/>
          <w:color w:val="auto"/>
        </w:rPr>
      </w:pPr>
    </w:p>
    <w:p>
      <w:pPr>
        <w:jc w:val="both"/>
        <w:ind w:right="100" w:firstLine="436"/>
        <w:spacing w:after="0" w:line="261" w:lineRule="auto"/>
        <w:tabs>
          <w:tab w:leader="none" w:pos="790"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Rights of Third Parties</w:t>
      </w:r>
      <w:r>
        <w:rPr>
          <w:rFonts w:ascii="Arial" w:cs="Arial" w:eastAsia="Arial" w:hAnsi="Arial"/>
          <w:sz w:val="18"/>
          <w:szCs w:val="18"/>
          <w:color w:val="auto"/>
        </w:rPr>
        <w:t>. This Agreement is entered into solely between, and may be enforced only by, Client and Marqeta.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create any rights in third parties [***], including suppliers, customers, clients or Affiliates of a Party or to create any obligations of a Party to any such third party, which, by virtue of any Applicable Law, might otherwise be enforceable by a third party against either Party to this Agreement.</w:t>
      </w:r>
    </w:p>
    <w:p>
      <w:pPr>
        <w:spacing w:after="0" w:line="179" w:lineRule="exact"/>
        <w:rPr>
          <w:rFonts w:ascii="Arial" w:cs="Arial" w:eastAsia="Arial" w:hAnsi="Arial"/>
          <w:sz w:val="18"/>
          <w:szCs w:val="18"/>
          <w:color w:val="auto"/>
        </w:rPr>
      </w:pPr>
    </w:p>
    <w:p>
      <w:pPr>
        <w:ind w:right="420" w:firstLine="436"/>
        <w:spacing w:after="0" w:line="282" w:lineRule="auto"/>
        <w:tabs>
          <w:tab w:leader="none" w:pos="790"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Cumulative Remedies</w:t>
      </w:r>
      <w:r>
        <w:rPr>
          <w:rFonts w:ascii="Arial" w:cs="Arial" w:eastAsia="Arial" w:hAnsi="Arial"/>
          <w:sz w:val="18"/>
          <w:szCs w:val="18"/>
          <w:color w:val="auto"/>
        </w:rPr>
        <w:t>. Except as otherwise expressly provided, all remedies provided for in this Agreement shall be cumulative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and not in lieu of any other remedies available to either Party at law, in equity or otherwise.</w:t>
      </w:r>
    </w:p>
    <w:p>
      <w:pPr>
        <w:spacing w:after="0" w:line="161" w:lineRule="exact"/>
        <w:rPr>
          <w:rFonts w:ascii="Arial" w:cs="Arial" w:eastAsia="Arial" w:hAnsi="Arial"/>
          <w:sz w:val="18"/>
          <w:szCs w:val="18"/>
          <w:color w:val="auto"/>
        </w:rPr>
      </w:pPr>
    </w:p>
    <w:p>
      <w:pPr>
        <w:ind w:right="700" w:firstLine="436"/>
        <w:spacing w:after="0" w:line="282" w:lineRule="auto"/>
        <w:tabs>
          <w:tab w:leader="none" w:pos="830"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Limitation of Actions</w:t>
      </w:r>
      <w:r>
        <w:rPr>
          <w:rFonts w:ascii="Arial" w:cs="Arial" w:eastAsia="Arial" w:hAnsi="Arial"/>
          <w:sz w:val="18"/>
          <w:szCs w:val="18"/>
          <w:color w:val="auto"/>
        </w:rPr>
        <w:t>. No action, regardless of form, arising out of any claimed breach of this Agreement or the Services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may be brought by either Party more than one (1) year after the cause of action has accrued.</w:t>
      </w:r>
    </w:p>
    <w:p>
      <w:pPr>
        <w:spacing w:after="0" w:line="161" w:lineRule="exact"/>
        <w:rPr>
          <w:rFonts w:ascii="Arial" w:cs="Arial" w:eastAsia="Arial" w:hAnsi="Arial"/>
          <w:sz w:val="18"/>
          <w:szCs w:val="18"/>
          <w:color w:val="auto"/>
        </w:rPr>
      </w:pPr>
    </w:p>
    <w:p>
      <w:pPr>
        <w:ind w:firstLine="436"/>
        <w:spacing w:after="0" w:line="282" w:lineRule="auto"/>
        <w:tabs>
          <w:tab w:leader="none" w:pos="790"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which execution may be by facsimile or electronic e-mail attachments,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will be an original, but all of which will constitute one, and the same, document.</w:t>
      </w:r>
    </w:p>
    <w:p>
      <w:pPr>
        <w:spacing w:after="0" w:line="161" w:lineRule="exact"/>
        <w:rPr>
          <w:rFonts w:ascii="Arial" w:cs="Arial" w:eastAsia="Arial" w:hAnsi="Arial"/>
          <w:sz w:val="18"/>
          <w:szCs w:val="18"/>
          <w:color w:val="auto"/>
        </w:rPr>
      </w:pPr>
    </w:p>
    <w:p>
      <w:pPr>
        <w:ind w:right="420" w:firstLine="436"/>
        <w:spacing w:after="0" w:line="289" w:lineRule="auto"/>
        <w:tabs>
          <w:tab w:leader="none" w:pos="880" w:val="left"/>
        </w:tabs>
        <w:numPr>
          <w:ilvl w:val="0"/>
          <w:numId w:val="310"/>
        </w:numPr>
        <w:rPr>
          <w:rFonts w:ascii="Arial" w:cs="Arial" w:eastAsia="Arial" w:hAnsi="Arial"/>
          <w:sz w:val="17"/>
          <w:szCs w:val="17"/>
          <w:color w:val="auto"/>
        </w:rPr>
      </w:pPr>
      <w:r>
        <w:rPr>
          <w:rFonts w:ascii="Arial" w:cs="Arial" w:eastAsia="Arial" w:hAnsi="Arial"/>
          <w:sz w:val="17"/>
          <w:szCs w:val="17"/>
          <w:b w:val="1"/>
          <w:bCs w:val="1"/>
          <w:color w:val="auto"/>
        </w:rPr>
        <w:t>Relationship of the Parties</w:t>
      </w:r>
      <w:r>
        <w:rPr>
          <w:rFonts w:ascii="Arial" w:cs="Arial" w:eastAsia="Arial" w:hAnsi="Arial"/>
          <w:sz w:val="17"/>
          <w:szCs w:val="17"/>
          <w:color w:val="auto"/>
        </w:rPr>
        <w:t>. Nothing in this Agreement is intended to, or will, create a partnership or joint venture between Client and</w:t>
      </w:r>
      <w:r>
        <w:rPr>
          <w:rFonts w:ascii="Arial" w:cs="Arial" w:eastAsia="Arial" w:hAnsi="Arial"/>
          <w:sz w:val="17"/>
          <w:szCs w:val="17"/>
          <w:b w:val="1"/>
          <w:bCs w:val="1"/>
          <w:color w:val="auto"/>
        </w:rPr>
        <w:t xml:space="preserve"> </w:t>
      </w:r>
      <w:r>
        <w:rPr>
          <w:rFonts w:ascii="Arial" w:cs="Arial" w:eastAsia="Arial" w:hAnsi="Arial"/>
          <w:sz w:val="17"/>
          <w:szCs w:val="17"/>
          <w:color w:val="auto"/>
        </w:rPr>
        <w:t>Marqeta. Except as expressly set forth herein, no Party has any authority hereunder to bind or commit the other Party. In the performance of their respective duties or obligations under this Agreement, no Party will be deemed to be the agent of the other Party.</w:t>
      </w:r>
    </w:p>
    <w:p>
      <w:pPr>
        <w:spacing w:after="0" w:line="157" w:lineRule="exact"/>
        <w:rPr>
          <w:rFonts w:ascii="Arial" w:cs="Arial" w:eastAsia="Arial" w:hAnsi="Arial"/>
          <w:sz w:val="17"/>
          <w:szCs w:val="17"/>
          <w:color w:val="auto"/>
        </w:rPr>
      </w:pPr>
    </w:p>
    <w:p>
      <w:pPr>
        <w:ind w:right="60" w:firstLine="436"/>
        <w:spacing w:after="0" w:line="261" w:lineRule="auto"/>
        <w:tabs>
          <w:tab w:leader="none" w:pos="830"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 xml:space="preserve">Director, Officer and Shareholder Liability. </w:t>
      </w:r>
      <w:r>
        <w:rPr>
          <w:rFonts w:ascii="Arial" w:cs="Arial" w:eastAsia="Arial" w:hAnsi="Arial"/>
          <w:sz w:val="18"/>
          <w:szCs w:val="18"/>
          <w:color w:val="auto"/>
        </w:rPr>
        <w:t>No shareholder or director, officer, employee, agent or other representatives of either Party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Affiliates (or its or their respective successors and assigns) has any liability, personal or otherwise, whatsoever to the other Party or any of its Affiliates (or its or their respective successors and assigns) under this Agreement or any other document delivered in connection with the transactions contemplated hereby or thereby.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373" w:name="page374"/>
    <w:bookmarkEnd w:id="373"/>
    <w:p>
      <w:pPr>
        <w:ind w:left="4" w:hanging="4"/>
        <w:spacing w:after="0" w:line="266" w:lineRule="auto"/>
        <w:tabs>
          <w:tab w:leader="none" w:pos="394"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Drafting. </w:t>
      </w:r>
      <w:r>
        <w:rPr>
          <w:rFonts w:ascii="Arial" w:cs="Arial" w:eastAsia="Arial" w:hAnsi="Arial"/>
          <w:sz w:val="18"/>
          <w:szCs w:val="18"/>
          <w:color w:val="auto"/>
        </w:rPr>
        <w:t>Each Party acknowledges that its legal counsel participated in the drafting of this Agreement. The Parties hereby agree that the rule of</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that ambiguities are to be resolved against the drafting Party is not applicable and will not be employed in the interpretation of this Agreement to favor one Party over the other.</w:t>
      </w:r>
    </w:p>
    <w:p>
      <w:pPr>
        <w:spacing w:after="0" w:line="112"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84"/>
          </w:cols>
          <w:pgMar w:left="436" w:top="270" w:right="67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r>
        <w:rPr>
          <w:rFonts w:ascii="Arial" w:cs="Arial" w:eastAsia="Arial" w:hAnsi="Arial"/>
          <w:sz w:val="18"/>
          <w:szCs w:val="18"/>
          <w:color w:val="auto"/>
        </w:rPr>
        <w:t>. Certain capitalized terms used in this Agreement shall have the meanings set forth as follows:</w:t>
      </w:r>
    </w:p>
    <w:p>
      <w:pPr>
        <w:spacing w:after="0" w:line="22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unique representation of the data and current financial status of a customer account relationship for a Card account under the Card Program, which account is serviced by Marqeta pursuant to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Party, any Entity Controlling, Controlled by, or under common Control with such Party.</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Aggregated Data</w:t>
      </w:r>
      <w:r>
        <w:rPr>
          <w:rFonts w:ascii="Arial" w:cs="Arial" w:eastAsia="Arial" w:hAnsi="Arial"/>
          <w:sz w:val="18"/>
          <w:szCs w:val="18"/>
          <w:color w:val="auto"/>
        </w:rPr>
        <w:t>” means de-identified Client Data and usage information collected by Marqeta resulting from Client’s or Client’s Personnel use of the Services that is combined with de-identified data of a similar nature obtained from Marqeta’s other clients.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given on the first page of the Master Services Agreement.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API</w:t>
      </w:r>
      <w:r>
        <w:rPr>
          <w:rFonts w:ascii="Arial" w:cs="Arial" w:eastAsia="Arial" w:hAnsi="Arial"/>
          <w:sz w:val="18"/>
          <w:szCs w:val="18"/>
          <w:color w:val="auto"/>
        </w:rPr>
        <w:t>” means (a) a set of programming instructions and standards for accessing a web-based software application or web tool through which Client is able to access certain information regarding and manage certain aspects of the Card Program, and other uses as mutually agreed upon in writing by the Parties, and (b) any updates to the APIs under the foregoing subsections (a).</w:t>
      </w:r>
    </w:p>
    <w:p>
      <w:pPr>
        <w:spacing w:after="0" w:line="18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w:t>
      </w:r>
      <w:r>
        <w:rPr>
          <w:rFonts w:ascii="Arial" w:cs="Arial" w:eastAsia="Arial" w:hAnsi="Arial"/>
          <w:sz w:val="16"/>
          <w:szCs w:val="16"/>
          <w:color w:val="auto"/>
        </w:rPr>
        <w:t>” means laws, regulations, statutes, codes, rules, orders, licenses, certifications, decrees, standards or written interpretations imposed by any governmental authority (which includes any political subdivision, whether national, federal, state or local government, or governmental or regulatory body, agency, authority or instrumentality, or any court or arbitrator (public or private), including any Regulator, that, in each case, has or has asserted jurisdiction over the Entity, Issuing Bank or matter in question) that apply to or relate in any way to this Agreement.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Monday through Friday, excluding days on which banks are not open for business in the United States of America.</w:t>
      </w:r>
    </w:p>
    <w:p>
      <w:pPr>
        <w:spacing w:after="0" w:line="237"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Card</w:t>
      </w:r>
      <w:r>
        <w:rPr>
          <w:rFonts w:ascii="Arial" w:cs="Arial" w:eastAsia="Arial" w:hAnsi="Arial"/>
          <w:sz w:val="16"/>
          <w:szCs w:val="16"/>
          <w:color w:val="auto"/>
        </w:rPr>
        <w:t>” means a virtual card, or magnetic stripe or chip-based plastic card issued to a Cardholder in the Card Program that accesses the Cardholder’s balance and other information maintained in the database for such Cardholder and which may be used by such Cardholder to purchase goods and services and/or qualify for discounts, rewards or other privileges as may be further described in these General Terms and Conditions.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Brand</w:t>
      </w:r>
      <w:r>
        <w:rPr>
          <w:rFonts w:ascii="Arial" w:cs="Arial" w:eastAsia="Arial" w:hAnsi="Arial"/>
          <w:sz w:val="18"/>
          <w:szCs w:val="18"/>
          <w:color w:val="auto"/>
        </w:rPr>
        <w:t>” means any payment network(s) through which Card transactions may be authorized and settled.</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Brand Rules</w:t>
      </w:r>
      <w:r>
        <w:rPr>
          <w:rFonts w:ascii="Arial" w:cs="Arial" w:eastAsia="Arial" w:hAnsi="Arial"/>
          <w:sz w:val="18"/>
          <w:szCs w:val="18"/>
          <w:color w:val="auto"/>
        </w:rPr>
        <w:t>” means all rules, regulations and by-laws of the Card Brand, including, if applicable, the Payment Card Industry Data Security Standards or “PCI.”</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Program</w:t>
      </w:r>
      <w:r>
        <w:rPr>
          <w:rFonts w:ascii="Arial" w:cs="Arial" w:eastAsia="Arial" w:hAnsi="Arial"/>
          <w:sz w:val="18"/>
          <w:szCs w:val="18"/>
          <w:color w:val="auto"/>
        </w:rPr>
        <w:t>” shall mean a system of services provided by Marqeta pursuant to the terms of this Agreement under which Cardholders utilize a Card. The features and functionalities generally available for inclusion in the Card Program are described on the Developer Site, as modified from time to time by Marqeta during the Term.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Cardholder</w:t>
      </w:r>
      <w:r>
        <w:rPr>
          <w:rFonts w:ascii="Arial" w:cs="Arial" w:eastAsia="Arial" w:hAnsi="Arial"/>
          <w:sz w:val="18"/>
          <w:szCs w:val="18"/>
          <w:color w:val="auto"/>
        </w:rPr>
        <w:t>” means Client or Client’s authorized users of Cards.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Claim</w:t>
      </w:r>
      <w:r>
        <w:rPr>
          <w:rFonts w:ascii="Arial" w:cs="Arial" w:eastAsia="Arial" w:hAnsi="Arial"/>
          <w:sz w:val="16"/>
          <w:szCs w:val="16"/>
          <w:color w:val="auto"/>
        </w:rPr>
        <w:t>” means an action, allegation, cause of action, cease and desist letter, claim, demand, lawsuit or other litigation or proceeding, or notice.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has the meaning given on the first page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375" w:name="page376"/>
    <w:bookmarkEnd w:id="37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Client Data</w:t>
      </w:r>
      <w:r>
        <w:rPr>
          <w:rFonts w:ascii="Arial" w:cs="Arial" w:eastAsia="Arial" w:hAnsi="Arial"/>
          <w:sz w:val="17"/>
          <w:szCs w:val="17"/>
          <w:color w:val="auto"/>
        </w:rPr>
        <w:t>” shall have the meaning ascribed to “Cardholder Data” in the Payment Card Industry (PCI) Data Security Standard Glossary.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 Legal Requirements</w:t>
      </w:r>
      <w:r>
        <w:rPr>
          <w:rFonts w:ascii="Arial" w:cs="Arial" w:eastAsia="Arial" w:hAnsi="Arial"/>
          <w:sz w:val="18"/>
          <w:szCs w:val="18"/>
          <w:color w:val="auto"/>
        </w:rPr>
        <w:t>” has the meaning given in Section 3(a) of the General Terms and Conditions.</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 Materials</w:t>
      </w:r>
      <w:r>
        <w:rPr>
          <w:rFonts w:ascii="Arial" w:cs="Arial" w:eastAsia="Arial" w:hAnsi="Arial"/>
          <w:sz w:val="18"/>
          <w:szCs w:val="18"/>
          <w:color w:val="auto"/>
        </w:rPr>
        <w:t>” means any material provided to Marqeta by or on behalf of Client in connection with this Agreement, including (a) Client Marks and (b) marketing, service description and promotional materials of Client.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 Personnel</w:t>
      </w:r>
      <w:r>
        <w:rPr>
          <w:rFonts w:ascii="Arial" w:cs="Arial" w:eastAsia="Arial" w:hAnsi="Arial"/>
          <w:sz w:val="18"/>
          <w:szCs w:val="18"/>
          <w:color w:val="auto"/>
        </w:rPr>
        <w:t>” means Affiliates, employees, officers, directors, agents, representatives and subcontractors of Client.</w:t>
      </w:r>
    </w:p>
    <w:p>
      <w:pPr>
        <w:spacing w:after="0" w:line="225"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Client System</w:t>
      </w:r>
      <w:r>
        <w:rPr>
          <w:rFonts w:ascii="Arial" w:cs="Arial" w:eastAsia="Arial" w:hAnsi="Arial"/>
          <w:sz w:val="16"/>
          <w:szCs w:val="16"/>
          <w:color w:val="auto"/>
        </w:rPr>
        <w:t>” means all systems, processes, procedures, models, algorithms, equipment and software controlled and data generated by Client and used by Client to obtain the Services. The Client System shall not include (i) any systems, processes, procedures, equipment, software or services provided by third parties with whom Client has a direct contractual relationship as of the Effective Date, and (ii) any communications, networks or devices, including, the Internet and any virtual private networks or e-mail systems, that are not within the control of Client.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has the meaning given in Section 12 of the General Terms and Conditions.</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and its derivatives mean with regard to any Entity (a) the legal, beneficial or equitable ownership, directly or indirectly, of more than fifty percent (50%) of the capital stock (or other ownership interest, if not a corporation) of such Entity ordinarily having voting rights or (b) the possession, directly or indirectly, of the power to direct or cause the direction of the management and policies of such Entity, by contract or otherwise.</w:t>
      </w:r>
    </w:p>
    <w:p>
      <w:pPr>
        <w:spacing w:after="0" w:line="14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Account</w:t>
      </w:r>
      <w:r>
        <w:rPr>
          <w:rFonts w:ascii="Arial" w:cs="Arial" w:eastAsia="Arial" w:hAnsi="Arial"/>
          <w:sz w:val="18"/>
          <w:szCs w:val="18"/>
          <w:color w:val="auto"/>
        </w:rPr>
        <w:t>” means a pooled deposit account established by Issuing Bank for purposes of receiving reserve funds from the Client Bank Account in accordance with Section 8 (a)(vi) of the General Terms and Conditions.</w:t>
      </w:r>
    </w:p>
    <w:p>
      <w:pPr>
        <w:spacing w:after="0" w:line="170"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means any assessment, fine, bona fide settlement, cost, damage (including consequential, indirect, special, incidental or punitive damages), expense (including reasonable attorneys’ and accountants’ fees, expenses and costs), judgment, liability, loss, or penalty, incurred in connection with a Claim.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Developer Site</w:t>
      </w:r>
      <w:r>
        <w:rPr>
          <w:rFonts w:ascii="Arial" w:cs="Arial" w:eastAsia="Arial" w:hAnsi="Arial"/>
          <w:sz w:val="16"/>
          <w:szCs w:val="16"/>
          <w:color w:val="auto"/>
        </w:rPr>
        <w:t xml:space="preserve">” means the web site located at the “API” tab at </w:t>
      </w:r>
      <w:r>
        <w:rPr>
          <w:rFonts w:ascii="Arial" w:cs="Arial" w:eastAsia="Arial" w:hAnsi="Arial"/>
          <w:sz w:val="16"/>
          <w:szCs w:val="16"/>
          <w:u w:val="single" w:color="auto"/>
          <w:color w:val="auto"/>
        </w:rPr>
        <w:t>https://marqeta.com/</w:t>
      </w:r>
      <w:r>
        <w:rPr>
          <w:rFonts w:ascii="Arial" w:cs="Arial" w:eastAsia="Arial" w:hAnsi="Arial"/>
          <w:sz w:val="16"/>
          <w:szCs w:val="16"/>
          <w:color w:val="auto"/>
        </w:rPr>
        <w:t>, or such successor site or sites as established by Marqeta.</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Developments</w:t>
      </w:r>
      <w:r>
        <w:rPr>
          <w:rFonts w:ascii="Arial" w:cs="Arial" w:eastAsia="Arial" w:hAnsi="Arial"/>
          <w:sz w:val="18"/>
          <w:szCs w:val="18"/>
          <w:color w:val="auto"/>
        </w:rPr>
        <w:t>” has the meaning given in Section 7(c) of the General Terms and Conditions.</w:t>
      </w:r>
    </w:p>
    <w:p>
      <w:pPr>
        <w:spacing w:after="0" w:line="225"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Documentation</w:t>
      </w:r>
      <w:r>
        <w:rPr>
          <w:rFonts w:ascii="Arial" w:cs="Arial" w:eastAsia="Arial" w:hAnsi="Arial"/>
          <w:sz w:val="16"/>
          <w:szCs w:val="16"/>
          <w:color w:val="auto"/>
        </w:rPr>
        <w:t>” means the user manuals and information bulletins, regardless of media or form, including the information available at the Developer Site, which describe the functions, features and operations of the Services as modified by Marqeta from time to time during the Term.</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given on the first page of this Agreement.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Entity</w:t>
      </w:r>
      <w:r>
        <w:rPr>
          <w:rFonts w:ascii="Arial" w:cs="Arial" w:eastAsia="Arial" w:hAnsi="Arial"/>
          <w:sz w:val="18"/>
          <w:szCs w:val="18"/>
          <w:color w:val="auto"/>
        </w:rPr>
        <w:t>” means an individual, a partnership, a corporation, a firm, a limited liability company, a joint stock company, a trust, a joint venture, an unincorporated organization, an estate, a labor union or other legal entity.</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means the sum of the Marqeta fees and charges (including any revenue sharing) incurred by Client for the Services pursuant to the terms and conditions of this Agreement as set forth in </w:t>
      </w:r>
      <w:r>
        <w:rPr>
          <w:rFonts w:ascii="Arial" w:cs="Arial" w:eastAsia="Arial" w:hAnsi="Arial"/>
          <w:sz w:val="18"/>
          <w:szCs w:val="18"/>
          <w:u w:val="single" w:color="auto"/>
          <w:color w:val="auto"/>
        </w:rPr>
        <w:t>Schedule F</w:t>
      </w:r>
      <w:r>
        <w:rPr>
          <w:rFonts w:ascii="Arial" w:cs="Arial" w:eastAsia="Arial" w:hAnsi="Arial"/>
          <w:sz w:val="18"/>
          <w:szCs w:val="18"/>
          <w:color w:val="auto"/>
        </w:rPr>
        <w:t>.</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 Live Date</w:t>
      </w:r>
      <w:r>
        <w:rPr>
          <w:rFonts w:ascii="Arial" w:cs="Arial" w:eastAsia="Arial" w:hAnsi="Arial"/>
          <w:sz w:val="18"/>
          <w:szCs w:val="18"/>
          <w:color w:val="auto"/>
        </w:rPr>
        <w:t>” means the earlier of the date that (i) Client has been provided access by Marqeta to Marqeta’s production APIs (as described in the Implementation Plan) and the ability to create live production Accounts through Marqeta’s API; or (ii) is six (6) months following the Effective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Implementation Plan</w:t>
      </w:r>
      <w:r>
        <w:rPr>
          <w:rFonts w:ascii="Arial" w:cs="Arial" w:eastAsia="Arial" w:hAnsi="Arial"/>
          <w:sz w:val="18"/>
          <w:szCs w:val="18"/>
          <w:color w:val="auto"/>
        </w:rPr>
        <w:t>” has the meaning given in Section 2 of the Program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Implementation Services</w:t>
      </w:r>
      <w:r>
        <w:rPr>
          <w:rFonts w:ascii="Arial" w:cs="Arial" w:eastAsia="Arial" w:hAnsi="Arial"/>
          <w:sz w:val="18"/>
          <w:szCs w:val="18"/>
          <w:color w:val="auto"/>
        </w:rPr>
        <w:t>” has the meaning given in Section 2 of the Program Terms.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440" w:top="274" w:right="659" w:bottom="1440" w:gutter="0" w:footer="0" w:header="0"/>
        </w:sectPr>
      </w:pPr>
    </w:p>
    <w:bookmarkStart w:id="376" w:name="page377"/>
    <w:bookmarkEnd w:id="37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whether or not capitalized mean “include without limitation”, “includes without limitation”, and “including without limitation.”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has the meaning given in Section 3(a) of the Program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Instructions</w:t>
      </w:r>
      <w:r>
        <w:rPr>
          <w:rFonts w:ascii="Arial" w:cs="Arial" w:eastAsia="Arial" w:hAnsi="Arial"/>
          <w:sz w:val="18"/>
          <w:szCs w:val="18"/>
          <w:color w:val="auto"/>
        </w:rPr>
        <w:t>” means all information, data, manuals and instructions provided by Client to Marqeta.</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means the rights related to patents, trademarks, rights of publicity, copyrights, related pending registrations, inventions, processes, Trade Secrets or other proprietary rights throughout the world.</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any financial institution, including a replacement Issuing Bank, with which Marqeta has a written agreement for the issuance of Cards that is duly qualified to issue Cards on a Card Brand.</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“JIT” means Marqeta’s proprietary technology and systems that enables Client to authorize or decline Card transactions via Marqeta’s API based on Client’s records.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Marks</w:t>
      </w:r>
      <w:r>
        <w:rPr>
          <w:rFonts w:ascii="Arial" w:cs="Arial" w:eastAsia="Arial" w:hAnsi="Arial"/>
          <w:sz w:val="18"/>
          <w:szCs w:val="18"/>
          <w:color w:val="auto"/>
        </w:rPr>
        <w:t>” means an Entity’s name, trademarks, service marks and logo.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Marqeta</w:t>
      </w:r>
      <w:r>
        <w:rPr>
          <w:rFonts w:ascii="Arial" w:cs="Arial" w:eastAsia="Arial" w:hAnsi="Arial"/>
          <w:sz w:val="18"/>
          <w:szCs w:val="18"/>
          <w:color w:val="auto"/>
        </w:rPr>
        <w:t>” has the meaning given on the first page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Marqeta Legal Requirements</w:t>
      </w:r>
      <w:r>
        <w:rPr>
          <w:rFonts w:ascii="Arial" w:cs="Arial" w:eastAsia="Arial" w:hAnsi="Arial"/>
          <w:sz w:val="18"/>
          <w:szCs w:val="18"/>
          <w:color w:val="auto"/>
        </w:rPr>
        <w:t>” has the meaning given in Section 1(c) of the General Terms and Conditions.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Marqeta Materials</w:t>
      </w:r>
      <w:r>
        <w:rPr>
          <w:rFonts w:ascii="Arial" w:cs="Arial" w:eastAsia="Arial" w:hAnsi="Arial"/>
          <w:sz w:val="17"/>
          <w:szCs w:val="17"/>
          <w:color w:val="auto"/>
        </w:rPr>
        <w:t>” means any material provided to Client by or on behalf of Marqeta, or in connection with this Agreement, including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 Marqeta Marks, (b) Card Brand Marks, (c) Issuing Bank Marks, and (d) marketing, service description and promotional materials of Marqeta.</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Marqeta Personnel</w:t>
      </w:r>
      <w:r>
        <w:rPr>
          <w:rFonts w:ascii="Arial" w:cs="Arial" w:eastAsia="Arial" w:hAnsi="Arial"/>
          <w:sz w:val="18"/>
          <w:szCs w:val="18"/>
          <w:color w:val="auto"/>
        </w:rPr>
        <w:t>” means Affiliates, employees, officers, directors, agents, representatives and subcontractors of Marqeta.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Marqeta Property</w:t>
      </w:r>
      <w:r>
        <w:rPr>
          <w:rFonts w:ascii="Arial" w:cs="Arial" w:eastAsia="Arial" w:hAnsi="Arial"/>
          <w:sz w:val="18"/>
          <w:szCs w:val="18"/>
          <w:color w:val="auto"/>
        </w:rPr>
        <w:t>” has the meaning given in Section 6(a) of the General Terms and Conditions.</w:t>
      </w:r>
    </w:p>
    <w:p>
      <w:pPr>
        <w:spacing w:after="0" w:line="22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Marqeta System</w:t>
      </w:r>
      <w:r>
        <w:rPr>
          <w:rFonts w:ascii="Arial" w:cs="Arial" w:eastAsia="Arial" w:hAnsi="Arial"/>
          <w:sz w:val="18"/>
          <w:szCs w:val="18"/>
          <w:color w:val="auto"/>
        </w:rPr>
        <w:t>” means all systems, processes, procedures, models, algorithms, equipment and software controlled and data generated by Marqeta and used by Marqeta, including Marqeta’s APIs, to provide the Services. The Marqeta System shall not include (i) any systems, processes, procedures, equipment, software or services provided by Client or any third parties with whom Client has a direct contractual relationship as of the Effective Date, or (ii) any communications, networks or devices, including the Internet and any virtual private networks or e-mail systems, that are not within the control of Marqeta or any Marqeta Personnel.</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Schedule 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Additional Service</w:t>
      </w:r>
      <w:r>
        <w:rPr>
          <w:rFonts w:ascii="Arial" w:cs="Arial" w:eastAsia="Arial" w:hAnsi="Arial"/>
          <w:sz w:val="18"/>
          <w:szCs w:val="18"/>
          <w:color w:val="auto"/>
        </w:rPr>
        <w:t>” has the meaning given in Section 1(a)(ii) of the Program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Client and Marqeta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either Client or Marqeta.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Personnel</w:t>
      </w:r>
      <w:r>
        <w:rPr>
          <w:rFonts w:ascii="Arial" w:cs="Arial" w:eastAsia="Arial" w:hAnsi="Arial"/>
          <w:sz w:val="18"/>
          <w:szCs w:val="18"/>
          <w:color w:val="auto"/>
        </w:rPr>
        <w:t>” means Affiliates, employees, officers, directors, agents, representatives and subcontractors of the applicable Party.</w:t>
      </w:r>
    </w:p>
    <w:p>
      <w:pPr>
        <w:spacing w:after="0" w:line="22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Processing Services</w:t>
      </w:r>
      <w:r>
        <w:rPr>
          <w:rFonts w:ascii="Arial" w:cs="Arial" w:eastAsia="Arial" w:hAnsi="Arial"/>
          <w:sz w:val="16"/>
          <w:szCs w:val="16"/>
          <w:color w:val="auto"/>
        </w:rPr>
        <w:t xml:space="preserve">” means Marqeta’s proprietary open and closed loop Account creation, maintenance, transition and closure services; Account load, payment transaction authorization and processing (including purchase and other transaction tracking and accounting), and related services such as reconciliation, statement preparation, settlement facilitation, Marqeta API access, spend control features and real-time and just-in-time funding configurations and functionality , event notifications, and data access services; loyalty and reward and merchant specific account functionality services; and related services such as reporting and merchant onboarding all as more fully set forth on </w:t>
      </w:r>
      <w:r>
        <w:rPr>
          <w:rFonts w:ascii="Arial" w:cs="Arial" w:eastAsia="Arial" w:hAnsi="Arial"/>
          <w:sz w:val="16"/>
          <w:szCs w:val="16"/>
          <w:u w:val="single" w:color="auto"/>
          <w:color w:val="auto"/>
        </w:rPr>
        <w:t>Schedule F</w:t>
      </w:r>
      <w:r>
        <w:rPr>
          <w:rFonts w:ascii="Arial" w:cs="Arial" w:eastAsia="Arial" w:hAnsi="Arial"/>
          <w:sz w:val="16"/>
          <w:szCs w:val="16"/>
          <w:color w:val="auto"/>
        </w:rPr>
        <w:t>, as updated to from time to time by Marqeta.</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77" w:name="page378"/>
    <w:bookmarkEnd w:id="377"/>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Program Management Services</w:t>
      </w:r>
      <w:r>
        <w:rPr>
          <w:rFonts w:ascii="Arial" w:cs="Arial" w:eastAsia="Arial" w:hAnsi="Arial"/>
          <w:sz w:val="18"/>
          <w:szCs w:val="18"/>
          <w:color w:val="auto"/>
        </w:rPr>
        <w:t xml:space="preserve">” means services consisting of the overall management of the Card Program, including managing the relationship with the Issuing Bank and Card Brand, obtaining Issuing Bank approvals, providing information required by Issuing Bank in connection with the Card Program, creation of Cardholder agreements, which shall be subject to Client review and approval, coordinating the activities of the parties, providing services in connection with the Card Program and Card Program monitoring and training, all as more fully set forth on </w:t>
      </w:r>
      <w:r>
        <w:rPr>
          <w:rFonts w:ascii="Arial" w:cs="Arial" w:eastAsia="Arial" w:hAnsi="Arial"/>
          <w:sz w:val="18"/>
          <w:szCs w:val="18"/>
          <w:u w:val="single" w:color="auto"/>
          <w:color w:val="auto"/>
        </w:rPr>
        <w:t>Schedule F</w:t>
      </w:r>
      <w:r>
        <w:rPr>
          <w:rFonts w:ascii="Arial" w:cs="Arial" w:eastAsia="Arial" w:hAnsi="Arial"/>
          <w:sz w:val="18"/>
          <w:szCs w:val="18"/>
          <w:color w:val="auto"/>
        </w:rPr>
        <w:t>, as updated from time to time by Marqeta.</w:t>
      </w:r>
    </w:p>
    <w:p>
      <w:pPr>
        <w:spacing w:after="0" w:line="188"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w:t>
      </w:r>
      <w:r>
        <w:rPr>
          <w:rFonts w:ascii="Arial" w:cs="Arial" w:eastAsia="Arial" w:hAnsi="Arial"/>
          <w:sz w:val="17"/>
          <w:szCs w:val="17"/>
          <w:color w:val="auto"/>
        </w:rPr>
        <w:t>” means a governmental authority that is charged with monitoring, regulating and/or overseeing the business practices of the respective Parties or Issuing Bank, including Federal Financial Institutions Examination Council, the Board of Governors of the Federal Reserve System (FRB), the Federal Deposit Insurance Corporation (FDIC), the National Credit Union Administration (NCUA), the Office of the Comptroller of the Currency (OCC), the Consumer Financial Protection Bureau (CFPB), and the Financial Crimes Enforcement Network (FinCEN), state banking commissions, or any successor bodies that regulate financial institutions and financial service providers.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Renewal Term</w:t>
      </w:r>
      <w:r>
        <w:rPr>
          <w:rFonts w:ascii="Arial" w:cs="Arial" w:eastAsia="Arial" w:hAnsi="Arial"/>
          <w:sz w:val="18"/>
          <w:szCs w:val="18"/>
          <w:color w:val="auto"/>
        </w:rPr>
        <w:t>” has the meaning given in Section 3(a) of the Program Terms.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Retail Partner</w:t>
      </w:r>
      <w:r>
        <w:rPr>
          <w:rFonts w:ascii="Arial" w:cs="Arial" w:eastAsia="Arial" w:hAnsi="Arial"/>
          <w:sz w:val="18"/>
          <w:szCs w:val="18"/>
          <w:color w:val="auto"/>
        </w:rPr>
        <w:t>” means a retailer, if any, who makes incentives, rewards, goods or services available in connection with the Card Program through a separate agreement with Client, as contemplated by the Implementation Plan or otherwise agreed by the Parties.</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means the services, functions and responsibilities consisting of Processing Services, Program Management Services and New Additional Services.</w:t>
      </w:r>
    </w:p>
    <w:p>
      <w:pPr>
        <w:spacing w:after="0" w:line="170"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Servicing Year</w:t>
      </w:r>
      <w:r>
        <w:rPr>
          <w:rFonts w:ascii="Arial" w:cs="Arial" w:eastAsia="Arial" w:hAnsi="Arial"/>
          <w:sz w:val="17"/>
          <w:szCs w:val="17"/>
          <w:color w:val="auto"/>
        </w:rPr>
        <w:t>” means a twelve (12) month period commencing on the Go Live Date. Each Servicing Year is identified in this Agreement by a numerical suffix corresponding to the order in which such Servicing Year will occur during the Term (e.g., the first Servicing Year of the Term is referred to as “Servicing Year 1,” the second Servicing Year of the Term is referred to as “Servicing Year 2,” etc.).</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of Care</w:t>
      </w:r>
      <w:r>
        <w:rPr>
          <w:rFonts w:ascii="Arial" w:cs="Arial" w:eastAsia="Arial" w:hAnsi="Arial"/>
          <w:sz w:val="18"/>
          <w:szCs w:val="18"/>
          <w:color w:val="auto"/>
        </w:rPr>
        <w:t>” has the meaning given in Section 10(a) of the General Terms and Conditions.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means has the meaning given in Section 1(a) of the Program Terms.</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w:t>
      </w:r>
      <w:r>
        <w:rPr>
          <w:rFonts w:ascii="Arial" w:cs="Arial" w:eastAsia="Arial" w:hAnsi="Arial"/>
          <w:sz w:val="18"/>
          <w:szCs w:val="18"/>
          <w:color w:val="auto"/>
        </w:rPr>
        <w:t>” means any proprietary information of a Party, including technical or non-technical data, formulas, patterns, compilations, computer programs and software, devices, drawings, processes, methods, techniques, data, lists of actual or potential customers and suppliers and other business information which (a) such Party derives economic value, actual or potential, from not being generally known to or readily ascertainable by other persons who can obtain economic value from its disclosure or use; and (b) is the subject of efforts by the disclosing Party or its Affiliates that are reasonable under the circumstances to maintain its secrecy.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Data</w:t>
      </w:r>
      <w:r>
        <w:rPr>
          <w:rFonts w:ascii="Arial" w:cs="Arial" w:eastAsia="Arial" w:hAnsi="Arial"/>
          <w:sz w:val="18"/>
          <w:szCs w:val="18"/>
          <w:color w:val="auto"/>
        </w:rPr>
        <w:t>” means any data, exclusive of Client Data, used in or generated by the provision of Services.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w:t>
      </w:r>
      <w:r>
        <w:rPr>
          <w:rFonts w:ascii="Arial" w:cs="Arial" w:eastAsia="Arial" w:hAnsi="Arial"/>
          <w:sz w:val="18"/>
          <w:szCs w:val="18"/>
          <w:color w:val="auto"/>
        </w:rPr>
        <w:t>” means Services delivered by Marqeta consisting of (a) the transfer of data relating to Accounts from Marqeta to Client or Client’s designee and (b) the migration of the processing, card servicing, program management and related operations performed by Marqeta to Client or Client’s designee.</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Update</w:t>
      </w:r>
      <w:r>
        <w:rPr>
          <w:rFonts w:ascii="Arial" w:cs="Arial" w:eastAsia="Arial" w:hAnsi="Arial"/>
          <w:sz w:val="18"/>
          <w:szCs w:val="18"/>
          <w:color w:val="auto"/>
        </w:rPr>
        <w:t>” means any enhancement, revision, update, upgrade, improvement, modification, correction or new release of any portion of the Services made by Marqeta in connection with the Services.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terms used in this Agreement and defined in the context in which they are used shall have the meaning there indicated.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EES</w:t>
      </w:r>
      <w:r>
        <w:rPr>
          <w:rFonts w:ascii="Arial" w:cs="Arial" w:eastAsia="Arial" w:hAnsi="Arial"/>
          <w:sz w:val="18"/>
          <w:szCs w:val="18"/>
          <w:b w:val="1"/>
          <w:bCs w:val="1"/>
          <w:color w:val="auto"/>
        </w:rPr>
        <w:t xml:space="preserve"> - P</w:t>
      </w:r>
      <w:r>
        <w:rPr>
          <w:rFonts w:ascii="Arial" w:cs="Arial" w:eastAsia="Arial" w:hAnsi="Arial"/>
          <w:sz w:val="14"/>
          <w:szCs w:val="14"/>
          <w:b w:val="1"/>
          <w:bCs w:val="1"/>
          <w:color w:val="auto"/>
        </w:rPr>
        <w:t>ROGRAM</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ETUP</w:t>
      </w:r>
      <w:r>
        <w:rPr>
          <w:rFonts w:ascii="Arial" w:cs="Arial" w:eastAsia="Arial" w:hAnsi="Arial"/>
          <w:sz w:val="18"/>
          <w:szCs w:val="18"/>
          <w:b w:val="1"/>
          <w:bCs w:val="1"/>
          <w:color w:val="auto"/>
        </w:rPr>
        <w:t xml:space="preserve"> &amp; P</w:t>
      </w:r>
      <w:r>
        <w:rPr>
          <w:rFonts w:ascii="Arial" w:cs="Arial" w:eastAsia="Arial" w:hAnsi="Arial"/>
          <w:sz w:val="14"/>
          <w:szCs w:val="14"/>
          <w:b w:val="1"/>
          <w:bCs w:val="1"/>
          <w:color w:val="auto"/>
        </w:rPr>
        <w:t>ROCESSING</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services and fees are integral to the delivery of the Services and are a material component of the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Setup</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900" w:type="dxa"/>
            <w:vAlign w:val="bottom"/>
            <w:tcBorders>
              <w:top w:val="single" w:sz="8" w:color="auto"/>
              <w:left w:val="single" w:sz="8" w:color="auto"/>
              <w:bottom w:val="single" w:sz="8" w:color="auto"/>
              <w:right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Item</w:t>
            </w:r>
          </w:p>
        </w:tc>
        <w:tc>
          <w:tcPr>
            <w:tcW w:w="3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Description</w:t>
            </w:r>
          </w:p>
        </w:tc>
        <w:tc>
          <w:tcPr>
            <w:tcW w:w="1180" w:type="dxa"/>
            <w:vAlign w:val="bottom"/>
            <w:tcBorders>
              <w:top w:val="single" w:sz="8" w:color="auto"/>
              <w:bottom w:val="single" w:sz="8" w:color="auto"/>
              <w:right w:val="single" w:sz="8" w:color="auto"/>
            </w:tcBorders>
          </w:tcPr>
          <w:p>
            <w:pPr>
              <w:spacing w:after="0"/>
              <w:rPr>
                <w:sz w:val="14"/>
                <w:szCs w:val="14"/>
                <w:color w:val="auto"/>
              </w:rPr>
            </w:pP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r>
      <w:tr>
        <w:trPr>
          <w:trHeight w:val="209"/>
        </w:trPr>
        <w:tc>
          <w:tcPr>
            <w:tcW w:w="1900" w:type="dxa"/>
            <w:vAlign w:val="bottom"/>
            <w:tcBorders>
              <w:left w:val="single" w:sz="8" w:color="auto"/>
              <w:bottom w:val="single" w:sz="8" w:color="auto"/>
              <w:right w:val="single" w:sz="8" w:color="auto"/>
            </w:tcBorders>
          </w:tcPr>
          <w:p>
            <w:pPr>
              <w:jc w:val="right"/>
              <w:ind w:right="1275"/>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auto"/>
            </w:tcBorders>
          </w:tcPr>
          <w:p>
            <w:pPr>
              <w:jc w:val="right"/>
              <w:ind w:right="245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33"/>
        </w:trPr>
        <w:tc>
          <w:tcPr>
            <w:tcW w:w="1900" w:type="dxa"/>
            <w:vAlign w:val="bottom"/>
          </w:tcPr>
          <w:p>
            <w:pPr>
              <w:jc w:val="right"/>
              <w:spacing w:after="0"/>
              <w:rPr>
                <w:sz w:val="20"/>
                <w:szCs w:val="20"/>
                <w:color w:val="auto"/>
              </w:rPr>
            </w:pPr>
            <w:r>
              <w:rPr>
                <w:rFonts w:ascii="Arial" w:cs="Arial" w:eastAsia="Arial" w:hAnsi="Arial"/>
                <w:sz w:val="18"/>
                <w:szCs w:val="18"/>
                <w:b w:val="1"/>
                <w:bCs w:val="1"/>
                <w:color w:val="auto"/>
                <w:w w:val="83"/>
              </w:rPr>
              <w:t>Processing Services Fees</w:t>
            </w: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43"/>
        </w:trPr>
        <w:tc>
          <w:tcPr>
            <w:tcW w:w="19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r>
      <w:tr>
        <w:trPr>
          <w:trHeight w:val="142"/>
        </w:trPr>
        <w:tc>
          <w:tcPr>
            <w:tcW w:w="1900" w:type="dxa"/>
            <w:vAlign w:val="bottom"/>
            <w:tcBorders>
              <w:left w:val="single" w:sz="8" w:color="auto"/>
              <w:bottom w:val="single" w:sz="8" w:color="auto"/>
              <w:right w:val="single" w:sz="8" w:color="auto"/>
            </w:tcBorders>
          </w:tcPr>
          <w:p>
            <w:pPr>
              <w:jc w:val="right"/>
              <w:ind w:right="655"/>
              <w:spacing w:after="0" w:line="142" w:lineRule="exact"/>
              <w:rPr>
                <w:sz w:val="20"/>
                <w:szCs w:val="20"/>
                <w:color w:val="auto"/>
              </w:rPr>
            </w:pPr>
            <w:r>
              <w:rPr>
                <w:rFonts w:ascii="Arial" w:cs="Arial" w:eastAsia="Arial" w:hAnsi="Arial"/>
                <w:sz w:val="14"/>
                <w:szCs w:val="14"/>
                <w:b w:val="1"/>
                <w:bCs w:val="1"/>
                <w:color w:val="auto"/>
              </w:rPr>
              <w:t>Item</w:t>
            </w:r>
          </w:p>
        </w:tc>
        <w:tc>
          <w:tcPr>
            <w:tcW w:w="302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Description</w:t>
            </w:r>
          </w:p>
        </w:tc>
        <w:tc>
          <w:tcPr>
            <w:tcW w:w="11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Unit</w:t>
            </w:r>
          </w:p>
        </w:tc>
        <w:tc>
          <w:tcPr>
            <w:tcW w:w="40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Fee</w:t>
            </w:r>
          </w:p>
        </w:tc>
      </w:tr>
      <w:tr>
        <w:trPr>
          <w:trHeight w:val="224"/>
        </w:trPr>
        <w:tc>
          <w:tcPr>
            <w:tcW w:w="1900" w:type="dxa"/>
            <w:vAlign w:val="bottom"/>
            <w:tcBorders>
              <w:left w:val="single" w:sz="8" w:color="auto"/>
              <w:right w:val="single" w:sz="8" w:color="auto"/>
            </w:tcBorders>
          </w:tcPr>
          <w:p>
            <w:pPr>
              <w:jc w:val="right"/>
              <w:ind w:right="1275"/>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2455"/>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r>
      <w:tr>
        <w:trPr>
          <w:trHeight w:val="224"/>
        </w:trPr>
        <w:tc>
          <w:tcPr>
            <w:tcW w:w="1900" w:type="dxa"/>
            <w:vAlign w:val="bottom"/>
            <w:tcBorders>
              <w:left w:val="single" w:sz="8" w:color="auto"/>
              <w:right w:val="single" w:sz="8" w:color="auto"/>
            </w:tcBorders>
          </w:tcPr>
          <w:p>
            <w:pPr>
              <w:jc w:val="right"/>
              <w:ind w:right="1275"/>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2455"/>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r>
      <w:tr>
        <w:trPr>
          <w:trHeight w:val="224"/>
        </w:trPr>
        <w:tc>
          <w:tcPr>
            <w:tcW w:w="1900" w:type="dxa"/>
            <w:vAlign w:val="bottom"/>
            <w:tcBorders>
              <w:left w:val="single" w:sz="8" w:color="auto"/>
              <w:right w:val="single" w:sz="8" w:color="auto"/>
            </w:tcBorders>
          </w:tcPr>
          <w:p>
            <w:pPr>
              <w:jc w:val="right"/>
              <w:ind w:right="1275"/>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2455"/>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r>
      <w:tr>
        <w:trPr>
          <w:trHeight w:val="224"/>
        </w:trPr>
        <w:tc>
          <w:tcPr>
            <w:tcW w:w="1900" w:type="dxa"/>
            <w:vAlign w:val="bottom"/>
            <w:tcBorders>
              <w:left w:val="single" w:sz="8" w:color="auto"/>
              <w:right w:val="single" w:sz="8" w:color="auto"/>
            </w:tcBorders>
          </w:tcPr>
          <w:p>
            <w:pPr>
              <w:jc w:val="right"/>
              <w:ind w:right="1275"/>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2455"/>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2"/>
        </w:trPr>
        <w:tc>
          <w:tcPr>
            <w:tcW w:w="1900" w:type="dxa"/>
            <w:vAlign w:val="bottom"/>
            <w:tcBorders>
              <w:left w:val="single" w:sz="8" w:color="auto"/>
              <w:bottom w:val="single" w:sz="8" w:color="auto"/>
              <w:right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r>
      <w:tr>
        <w:trPr>
          <w:trHeight w:val="358"/>
        </w:trPr>
        <w:tc>
          <w:tcPr>
            <w:tcW w:w="19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24"/>
                <w:szCs w:val="24"/>
                <w:color w:val="auto"/>
              </w:rPr>
            </w:pPr>
          </w:p>
        </w:tc>
        <w:tc>
          <w:tcPr>
            <w:tcW w:w="40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79" w:name="page380"/>
    <w:bookmarkEnd w:id="379"/>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Processing Services Fees (continued)</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700" w:type="dxa"/>
            <w:vAlign w:val="bottom"/>
            <w:tcBorders>
              <w:top w:val="single" w:sz="8" w:color="auto"/>
              <w:left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Item</w:t>
            </w:r>
          </w:p>
        </w:tc>
        <w:tc>
          <w:tcPr>
            <w:tcW w:w="1140" w:type="dxa"/>
            <w:vAlign w:val="bottom"/>
            <w:tcBorders>
              <w:top w:val="single" w:sz="8" w:color="auto"/>
              <w:bottom w:val="single" w:sz="8" w:color="auto"/>
            </w:tcBorders>
          </w:tcPr>
          <w:p>
            <w:pPr>
              <w:spacing w:after="0"/>
              <w:rPr>
                <w:sz w:val="14"/>
                <w:szCs w:val="14"/>
                <w:color w:val="auto"/>
              </w:rPr>
            </w:pPr>
          </w:p>
        </w:tc>
        <w:tc>
          <w:tcPr>
            <w:tcW w:w="306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Description</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spacing w:after="0"/>
              <w:rPr>
                <w:sz w:val="19"/>
                <w:szCs w:val="19"/>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0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0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0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right w:val="single" w:sz="8" w:color="auto"/>
            </w:tcBorders>
            <w:vMerge w:val="restart"/>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0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vMerge w:val="continue"/>
          </w:tcPr>
          <w:p>
            <w:pPr>
              <w:spacing w:after="0"/>
              <w:rPr>
                <w:sz w:val="19"/>
                <w:szCs w:val="19"/>
                <w:color w:val="auto"/>
              </w:rPr>
            </w:pPr>
          </w:p>
        </w:tc>
        <w:tc>
          <w:tcPr>
            <w:tcW w:w="1200" w:type="dxa"/>
            <w:vAlign w:val="bottom"/>
            <w:tcBorders>
              <w:right w:val="single" w:sz="8" w:color="auto"/>
            </w:tcBorders>
            <w:vMerge w:val="continue"/>
          </w:tcPr>
          <w:p>
            <w:pPr>
              <w:spacing w:after="0"/>
              <w:rPr>
                <w:sz w:val="19"/>
                <w:szCs w:val="19"/>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0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0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spacing w:after="0"/>
              <w:rPr>
                <w:sz w:val="19"/>
                <w:szCs w:val="19"/>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0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0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spacing w:after="0"/>
              <w:rPr>
                <w:sz w:val="19"/>
                <w:szCs w:val="19"/>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0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0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44" w:hanging="444"/>
        <w:spacing w:after="0"/>
        <w:tabs>
          <w:tab w:leader="none" w:pos="444" w:val="left"/>
        </w:tabs>
        <w:numPr>
          <w:ilvl w:val="0"/>
          <w:numId w:val="312"/>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System Access Fee</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700" w:type="dxa"/>
            <w:vAlign w:val="bottom"/>
            <w:tcBorders>
              <w:top w:val="single" w:sz="8" w:color="auto"/>
              <w:left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Item</w:t>
            </w:r>
          </w:p>
        </w:tc>
        <w:tc>
          <w:tcPr>
            <w:tcW w:w="1160" w:type="dxa"/>
            <w:vAlign w:val="bottom"/>
            <w:tcBorders>
              <w:top w:val="single" w:sz="8" w:color="auto"/>
              <w:bottom w:val="single" w:sz="8" w:color="auto"/>
            </w:tcBorders>
          </w:tcPr>
          <w:p>
            <w:pPr>
              <w:spacing w:after="0"/>
              <w:rPr>
                <w:sz w:val="14"/>
                <w:szCs w:val="14"/>
                <w:color w:val="auto"/>
              </w:rPr>
            </w:pPr>
          </w:p>
        </w:tc>
        <w:tc>
          <w:tcPr>
            <w:tcW w:w="314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4"/>
                <w:szCs w:val="14"/>
                <w:b w:val="1"/>
                <w:bCs w:val="1"/>
                <w:color w:val="auto"/>
              </w:rPr>
              <w:t>Description</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r>
      <w:tr>
        <w:trPr>
          <w:trHeight w:val="224"/>
        </w:trPr>
        <w:tc>
          <w:tcPr>
            <w:tcW w:w="70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spacing w:after="0"/>
              <w:rPr>
                <w:sz w:val="19"/>
                <w:szCs w:val="19"/>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31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jc w:val="right"/>
              <w:ind w:right="119"/>
              <w:spacing w:after="0"/>
              <w:rPr>
                <w:sz w:val="20"/>
                <w:szCs w:val="20"/>
                <w:color w:val="auto"/>
              </w:rPr>
            </w:pPr>
            <w:r>
              <w:rPr>
                <w:rFonts w:ascii="Arial" w:cs="Arial" w:eastAsia="Arial" w:hAnsi="Arial"/>
                <w:sz w:val="18"/>
                <w:szCs w:val="18"/>
                <w:color w:val="auto"/>
              </w:rPr>
              <w:t>[***]</w:t>
            </w:r>
          </w:p>
        </w:tc>
        <w:tc>
          <w:tcPr>
            <w:tcW w:w="4000" w:type="dxa"/>
            <w:vAlign w:val="bottom"/>
            <w:tcBorders>
              <w:right w:val="single" w:sz="8" w:color="auto"/>
            </w:tcBorders>
          </w:tcPr>
          <w:p>
            <w:pPr>
              <w:jc w:val="right"/>
              <w:ind w:right="1699"/>
              <w:spacing w:after="0"/>
              <w:rPr>
                <w:sz w:val="20"/>
                <w:szCs w:val="20"/>
                <w:color w:val="auto"/>
              </w:rPr>
            </w:pPr>
            <w:r>
              <w:rPr>
                <w:rFonts w:ascii="Arial" w:cs="Arial" w:eastAsia="Arial" w:hAnsi="Arial"/>
                <w:sz w:val="18"/>
                <w:szCs w:val="18"/>
                <w:color w:val="auto"/>
              </w:rPr>
              <w:t>[***]</w:t>
            </w:r>
          </w:p>
        </w:tc>
      </w:tr>
      <w:tr>
        <w:trPr>
          <w:trHeight w:val="202"/>
        </w:trPr>
        <w:tc>
          <w:tcPr>
            <w:tcW w:w="700" w:type="dxa"/>
            <w:vAlign w:val="bottom"/>
            <w:tcBorders>
              <w:left w:val="single" w:sz="8" w:color="auto"/>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4000" w:type="dxa"/>
            <w:vAlign w:val="bottom"/>
            <w:tcBorders>
              <w:bottom w:val="single" w:sz="8" w:color="auto"/>
              <w:right w:val="single" w:sz="8" w:color="auto"/>
            </w:tcBorders>
          </w:tcPr>
          <w:p>
            <w:pPr>
              <w:spacing w:after="0"/>
              <w:rPr>
                <w:sz w:val="17"/>
                <w:szCs w:val="17"/>
                <w:color w:val="auto"/>
              </w:rPr>
            </w:pPr>
          </w:p>
        </w:tc>
      </w:tr>
    </w:tbl>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Revenue Sharing:</w:t>
      </w:r>
    </w:p>
    <w:p>
      <w:pPr>
        <w:spacing w:after="0" w:line="117" w:lineRule="exact"/>
        <w:rPr>
          <w:sz w:val="20"/>
          <w:szCs w:val="20"/>
          <w:color w:val="auto"/>
        </w:rPr>
      </w:pPr>
    </w:p>
    <w:p>
      <w:pPr>
        <w:ind w:left="444" w:hanging="444"/>
        <w:spacing w:after="0"/>
        <w:tabs>
          <w:tab w:leader="none" w:pos="444"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 xml:space="preserve">Interchange </w:t>
      </w:r>
      <w:r>
        <w:rPr>
          <w:rFonts w:ascii="Arial" w:cs="Arial" w:eastAsia="Arial" w:hAnsi="Arial"/>
          <w:sz w:val="18"/>
          <w:szCs w:val="18"/>
          <w:color w:val="auto"/>
        </w:rPr>
        <w:t>[***]</w:t>
      </w:r>
      <w:r>
        <w:rPr>
          <w:rFonts w:ascii="Arial" w:cs="Arial" w:eastAsia="Arial" w:hAnsi="Arial"/>
          <w:sz w:val="18"/>
          <w:szCs w:val="18"/>
          <w:b w:val="1"/>
          <w:bCs w:val="1"/>
          <w:color w:val="auto"/>
        </w:rPr>
        <w:t xml:space="preserve"> Fee</w:t>
      </w:r>
    </w:p>
    <w:p>
      <w:pPr>
        <w:spacing w:after="0" w:line="121"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Marqeta will share with Client a portion of the Net Interchange it receives from the Issuing Bank related to settled [***] transactions from the Client Program and the provision of the Services (“</w:t>
      </w:r>
      <w:r>
        <w:rPr>
          <w:rFonts w:ascii="Arial" w:cs="Arial" w:eastAsia="Arial" w:hAnsi="Arial"/>
          <w:sz w:val="18"/>
          <w:szCs w:val="18"/>
          <w:u w:val="single" w:color="auto"/>
          <w:color w:val="auto"/>
        </w:rPr>
        <w:t>[***] Interchange [***] Fee</w:t>
      </w:r>
      <w:r>
        <w:rPr>
          <w:rFonts w:ascii="Arial" w:cs="Arial" w:eastAsia="Arial" w:hAnsi="Arial"/>
          <w:sz w:val="18"/>
          <w:szCs w:val="18"/>
          <w:color w:val="auto"/>
        </w:rPr>
        <w:t>”), as per the table below. For the purposes of the [***] Interchange [***] Fee, “Net Interchange” shall mean [***].</w:t>
      </w:r>
    </w:p>
    <w:p>
      <w:pPr>
        <w:spacing w:after="0" w:line="205"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700" w:type="dxa"/>
            <w:vAlign w:val="bottom"/>
            <w:tcBorders>
              <w:top w:val="single" w:sz="8" w:color="auto"/>
              <w:left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Item</w:t>
            </w:r>
          </w:p>
        </w:tc>
        <w:tc>
          <w:tcPr>
            <w:tcW w:w="1140" w:type="dxa"/>
            <w:vAlign w:val="bottom"/>
            <w:tcBorders>
              <w:top w:val="single" w:sz="8" w:color="auto"/>
              <w:bottom w:val="single" w:sz="8" w:color="auto"/>
            </w:tcBorders>
          </w:tcPr>
          <w:p>
            <w:pPr>
              <w:spacing w:after="0"/>
              <w:rPr>
                <w:sz w:val="14"/>
                <w:szCs w:val="14"/>
                <w:color w:val="auto"/>
              </w:rPr>
            </w:pPr>
          </w:p>
        </w:tc>
        <w:tc>
          <w:tcPr>
            <w:tcW w:w="392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 Transaction Volume</w:t>
            </w:r>
          </w:p>
        </w:tc>
        <w:tc>
          <w:tcPr>
            <w:tcW w:w="4080" w:type="dxa"/>
            <w:vAlign w:val="bottom"/>
            <w:tcBorders>
              <w:top w:val="single" w:sz="8" w:color="auto"/>
              <w:bottom w:val="single" w:sz="8" w:color="auto"/>
              <w:right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 of Net Interchange Shared with Client</w:t>
            </w:r>
          </w:p>
        </w:tc>
      </w:tr>
      <w:tr>
        <w:trPr>
          <w:trHeight w:val="224"/>
        </w:trPr>
        <w:tc>
          <w:tcPr>
            <w:tcW w:w="700" w:type="dxa"/>
            <w:vAlign w:val="bottom"/>
            <w:tcBorders>
              <w:lef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spacing w:after="0"/>
              <w:rPr>
                <w:sz w:val="19"/>
                <w:szCs w:val="19"/>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3920" w:type="dxa"/>
            <w:vAlign w:val="bottom"/>
            <w:tcBorders>
              <w:right w:val="single" w:sz="8" w:color="auto"/>
            </w:tcBorders>
          </w:tcPr>
          <w:p>
            <w:pPr>
              <w:spacing w:after="0"/>
              <w:rPr>
                <w:sz w:val="19"/>
                <w:szCs w:val="19"/>
                <w:color w:val="auto"/>
              </w:rPr>
            </w:pPr>
          </w:p>
        </w:tc>
        <w:tc>
          <w:tcPr>
            <w:tcW w:w="4080" w:type="dxa"/>
            <w:vAlign w:val="bottom"/>
            <w:tcBorders>
              <w:right w:val="single" w:sz="8" w:color="auto"/>
            </w:tcBorders>
          </w:tcPr>
          <w:p>
            <w:pPr>
              <w:jc w:val="right"/>
              <w:ind w:right="3519"/>
              <w:spacing w:after="0"/>
              <w:rPr>
                <w:sz w:val="20"/>
                <w:szCs w:val="20"/>
                <w:color w:val="auto"/>
              </w:rPr>
            </w:pPr>
            <w:r>
              <w:rPr>
                <w:rFonts w:ascii="Arial" w:cs="Arial" w:eastAsia="Arial" w:hAnsi="Arial"/>
                <w:sz w:val="18"/>
                <w:szCs w:val="18"/>
                <w:color w:val="auto"/>
              </w:rPr>
              <w:t>[***]</w:t>
            </w:r>
          </w:p>
        </w:tc>
      </w:tr>
      <w:tr>
        <w:trPr>
          <w:trHeight w:val="202"/>
        </w:trPr>
        <w:tc>
          <w:tcPr>
            <w:tcW w:w="700" w:type="dxa"/>
            <w:vAlign w:val="bottom"/>
            <w:tcBorders>
              <w:left w:val="single" w:sz="8" w:color="auto"/>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920" w:type="dxa"/>
            <w:vAlign w:val="bottom"/>
            <w:tcBorders>
              <w:bottom w:val="single" w:sz="8" w:color="auto"/>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r>
    </w:tbl>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0" w:right="439" w:bottom="1440" w:gutter="0" w:footer="0" w:header="0"/>
        </w:sectPr>
      </w:pPr>
    </w:p>
    <w:bookmarkStart w:id="380" w:name="page381"/>
    <w:bookmarkEnd w:id="38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E</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ERFORMANCE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TANDARDS</w:t>
      </w:r>
    </w:p>
    <w:p>
      <w:pPr>
        <w:spacing w:after="0" w:line="252" w:lineRule="exact"/>
        <w:rPr>
          <w:sz w:val="20"/>
          <w:szCs w:val="20"/>
          <w:color w:val="auto"/>
        </w:rPr>
      </w:pPr>
    </w:p>
    <w:p>
      <w:pPr>
        <w:ind w:left="964" w:right="100" w:hanging="532"/>
        <w:spacing w:after="0" w:line="282" w:lineRule="auto"/>
        <w:tabs>
          <w:tab w:leader="none" w:pos="964" w:val="left"/>
        </w:tabs>
        <w:numPr>
          <w:ilvl w:val="1"/>
          <w:numId w:val="314"/>
        </w:numPr>
        <w:rPr>
          <w:rFonts w:ascii="Arial" w:cs="Arial" w:eastAsia="Arial" w:hAnsi="Arial"/>
          <w:sz w:val="18"/>
          <w:szCs w:val="18"/>
          <w:color w:val="auto"/>
        </w:rPr>
      </w:pPr>
      <w:r>
        <w:rPr>
          <w:rFonts w:ascii="Arial" w:cs="Arial" w:eastAsia="Arial" w:hAnsi="Arial"/>
          <w:sz w:val="18"/>
          <w:szCs w:val="18"/>
          <w:b w:val="1"/>
          <w:bCs w:val="1"/>
          <w:color w:val="auto"/>
        </w:rPr>
        <w:t xml:space="preserve">Regular Business Hours. </w:t>
      </w:r>
      <w:r>
        <w:rPr>
          <w:rFonts w:ascii="Arial" w:cs="Arial" w:eastAsia="Arial" w:hAnsi="Arial"/>
          <w:sz w:val="18"/>
          <w:szCs w:val="18"/>
          <w:color w:val="auto"/>
        </w:rPr>
        <w:t>Marqeta’s regular business hours are from 8:30am to 5:30pm Pacific Time, Monday through Friday,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bank holidays.</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1"/>
          <w:numId w:val="314"/>
        </w:numPr>
        <w:rPr>
          <w:rFonts w:ascii="Arial" w:cs="Arial" w:eastAsia="Arial" w:hAnsi="Arial"/>
          <w:sz w:val="18"/>
          <w:szCs w:val="18"/>
          <w:color w:val="auto"/>
        </w:rPr>
      </w:pPr>
      <w:r>
        <w:rPr>
          <w:rFonts w:ascii="Arial" w:cs="Arial" w:eastAsia="Arial" w:hAnsi="Arial"/>
          <w:sz w:val="18"/>
          <w:szCs w:val="18"/>
          <w:b w:val="1"/>
          <w:bCs w:val="1"/>
          <w:color w:val="auto"/>
        </w:rPr>
        <w:t xml:space="preserve">“Measurement Period” </w:t>
      </w:r>
      <w:r>
        <w:rPr>
          <w:rFonts w:ascii="Arial" w:cs="Arial" w:eastAsia="Arial" w:hAnsi="Arial"/>
          <w:sz w:val="18"/>
          <w:szCs w:val="18"/>
          <w:color w:val="auto"/>
        </w:rPr>
        <w:t>means [***].</w:t>
      </w:r>
    </w:p>
    <w:p>
      <w:pPr>
        <w:spacing w:after="0" w:line="130" w:lineRule="exact"/>
        <w:rPr>
          <w:rFonts w:ascii="Arial" w:cs="Arial" w:eastAsia="Arial" w:hAnsi="Arial"/>
          <w:sz w:val="18"/>
          <w:szCs w:val="18"/>
          <w:color w:val="auto"/>
        </w:rPr>
      </w:pPr>
    </w:p>
    <w:p>
      <w:pPr>
        <w:ind w:left="964" w:right="120" w:hanging="532"/>
        <w:spacing w:after="0" w:line="289" w:lineRule="auto"/>
        <w:tabs>
          <w:tab w:leader="none" w:pos="964" w:val="left"/>
        </w:tabs>
        <w:numPr>
          <w:ilvl w:val="1"/>
          <w:numId w:val="314"/>
        </w:numPr>
        <w:rPr>
          <w:rFonts w:ascii="Arial" w:cs="Arial" w:eastAsia="Arial" w:hAnsi="Arial"/>
          <w:sz w:val="17"/>
          <w:szCs w:val="17"/>
          <w:color w:val="auto"/>
        </w:rPr>
      </w:pPr>
      <w:r>
        <w:rPr>
          <w:rFonts w:ascii="Arial" w:cs="Arial" w:eastAsia="Arial" w:hAnsi="Arial"/>
          <w:sz w:val="17"/>
          <w:szCs w:val="17"/>
          <w:b w:val="1"/>
          <w:bCs w:val="1"/>
          <w:color w:val="auto"/>
        </w:rPr>
        <w:t xml:space="preserve">Uptime Requirements. </w:t>
      </w:r>
      <w:r>
        <w:rPr>
          <w:rFonts w:ascii="Arial" w:cs="Arial" w:eastAsia="Arial" w:hAnsi="Arial"/>
          <w:sz w:val="17"/>
          <w:szCs w:val="17"/>
          <w:color w:val="auto"/>
        </w:rPr>
        <w:t>The online request availability Performance Standard is measured by the time when the Marqeta platform is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support API calls from Client, send JIT authorization requests to Client, receive JIT authorization responses from Client, and receive authorization requests from the Card Brands. The requirement will be [***] or greater in any given [***].</w:t>
      </w:r>
    </w:p>
    <w:p>
      <w:pPr>
        <w:spacing w:after="0" w:line="63" w:lineRule="exact"/>
        <w:rPr>
          <w:rFonts w:ascii="Arial" w:cs="Arial" w:eastAsia="Arial" w:hAnsi="Arial"/>
          <w:sz w:val="17"/>
          <w:szCs w:val="17"/>
          <w:color w:val="auto"/>
        </w:rPr>
      </w:pPr>
    </w:p>
    <w:p>
      <w:pPr>
        <w:ind w:left="964" w:hanging="532"/>
        <w:spacing w:after="0" w:line="289" w:lineRule="auto"/>
        <w:tabs>
          <w:tab w:leader="none" w:pos="964" w:val="left"/>
        </w:tabs>
        <w:numPr>
          <w:ilvl w:val="1"/>
          <w:numId w:val="314"/>
        </w:numPr>
        <w:rPr>
          <w:rFonts w:ascii="Arial" w:cs="Arial" w:eastAsia="Arial" w:hAnsi="Arial"/>
          <w:sz w:val="17"/>
          <w:szCs w:val="17"/>
          <w:color w:val="auto"/>
        </w:rPr>
      </w:pPr>
      <w:r>
        <w:rPr>
          <w:rFonts w:ascii="Arial" w:cs="Arial" w:eastAsia="Arial" w:hAnsi="Arial"/>
          <w:sz w:val="17"/>
          <w:szCs w:val="17"/>
          <w:b w:val="1"/>
          <w:bCs w:val="1"/>
          <w:color w:val="auto"/>
        </w:rPr>
        <w:t>Response Requirements</w:t>
      </w:r>
      <w:r>
        <w:rPr>
          <w:rFonts w:ascii="Arial" w:cs="Arial" w:eastAsia="Arial" w:hAnsi="Arial"/>
          <w:sz w:val="17"/>
          <w:szCs w:val="17"/>
          <w:color w:val="auto"/>
        </w:rPr>
        <w:t>. The API Response Time Performance Standard is measured by the time that it takes for the Marqeta platform to</w:t>
      </w:r>
      <w:r>
        <w:rPr>
          <w:rFonts w:ascii="Arial" w:cs="Arial" w:eastAsia="Arial" w:hAnsi="Arial"/>
          <w:sz w:val="17"/>
          <w:szCs w:val="17"/>
          <w:b w:val="1"/>
          <w:bCs w:val="1"/>
          <w:color w:val="auto"/>
        </w:rPr>
        <w:t xml:space="preserve"> </w:t>
      </w:r>
      <w:r>
        <w:rPr>
          <w:rFonts w:ascii="Arial" w:cs="Arial" w:eastAsia="Arial" w:hAnsi="Arial"/>
          <w:sz w:val="17"/>
          <w:szCs w:val="17"/>
          <w:color w:val="auto"/>
        </w:rPr>
        <w:t>respond to API calls from Client. The requirement for this “Service Level” is a maximum response time of [***] or less for at least [***] of all requests during any given [***]. Marqeta will provide Client a minimum of [***] to respond to JIT requests.</w:t>
      </w:r>
    </w:p>
    <w:p>
      <w:pPr>
        <w:spacing w:after="0" w:line="63" w:lineRule="exact"/>
        <w:rPr>
          <w:rFonts w:ascii="Arial" w:cs="Arial" w:eastAsia="Arial" w:hAnsi="Arial"/>
          <w:sz w:val="17"/>
          <w:szCs w:val="17"/>
          <w:color w:val="auto"/>
        </w:rPr>
      </w:pPr>
    </w:p>
    <w:p>
      <w:pPr>
        <w:ind w:left="964" w:right="80" w:hanging="532"/>
        <w:spacing w:after="0" w:line="347" w:lineRule="auto"/>
        <w:tabs>
          <w:tab w:leader="none" w:pos="964" w:val="left"/>
        </w:tabs>
        <w:numPr>
          <w:ilvl w:val="1"/>
          <w:numId w:val="314"/>
        </w:numPr>
        <w:rPr>
          <w:rFonts w:ascii="Arial" w:cs="Arial" w:eastAsia="Arial" w:hAnsi="Arial"/>
          <w:sz w:val="16"/>
          <w:szCs w:val="16"/>
          <w:color w:val="auto"/>
        </w:rPr>
      </w:pPr>
      <w:r>
        <w:rPr>
          <w:rFonts w:ascii="Arial" w:cs="Arial" w:eastAsia="Arial" w:hAnsi="Arial"/>
          <w:sz w:val="16"/>
          <w:szCs w:val="16"/>
          <w:b w:val="1"/>
          <w:bCs w:val="1"/>
          <w:color w:val="auto"/>
        </w:rPr>
        <w:t xml:space="preserve">Planned Outages. </w:t>
      </w:r>
      <w:r>
        <w:rPr>
          <w:rFonts w:ascii="Arial" w:cs="Arial" w:eastAsia="Arial" w:hAnsi="Arial"/>
          <w:sz w:val="16"/>
          <w:szCs w:val="16"/>
          <w:color w:val="auto"/>
        </w:rPr>
        <w:t>At least [***] in advance, Marqeta will notify Client of scheduled downtime for maintenance or upgrades (time where</w:t>
      </w:r>
      <w:r>
        <w:rPr>
          <w:rFonts w:ascii="Arial" w:cs="Arial" w:eastAsia="Arial" w:hAnsi="Arial"/>
          <w:sz w:val="16"/>
          <w:szCs w:val="16"/>
          <w:b w:val="1"/>
          <w:bCs w:val="1"/>
          <w:color w:val="auto"/>
        </w:rPr>
        <w:t xml:space="preserve"> </w:t>
      </w:r>
      <w:r>
        <w:rPr>
          <w:rFonts w:ascii="Arial" w:cs="Arial" w:eastAsia="Arial" w:hAnsi="Arial"/>
          <w:sz w:val="16"/>
          <w:szCs w:val="16"/>
          <w:color w:val="auto"/>
        </w:rPr>
        <w:t>the Marqeta System is not available to Client) (“Scheduled Maintenance”). Scheduled Maintenance will not exceed more than [***].</w:t>
      </w:r>
    </w:p>
    <w:p>
      <w:pPr>
        <w:spacing w:after="0" w:line="21" w:lineRule="exact"/>
        <w:rPr>
          <w:rFonts w:ascii="Arial" w:cs="Arial" w:eastAsia="Arial" w:hAnsi="Arial"/>
          <w:sz w:val="16"/>
          <w:szCs w:val="16"/>
          <w:color w:val="auto"/>
        </w:rPr>
      </w:pPr>
    </w:p>
    <w:p>
      <w:pPr>
        <w:ind w:left="964" w:right="20" w:hanging="532"/>
        <w:spacing w:after="0" w:line="347" w:lineRule="auto"/>
        <w:tabs>
          <w:tab w:leader="none" w:pos="964" w:val="left"/>
        </w:tabs>
        <w:numPr>
          <w:ilvl w:val="1"/>
          <w:numId w:val="314"/>
        </w:numPr>
        <w:rPr>
          <w:rFonts w:ascii="Arial" w:cs="Arial" w:eastAsia="Arial" w:hAnsi="Arial"/>
          <w:sz w:val="16"/>
          <w:szCs w:val="16"/>
          <w:color w:val="auto"/>
        </w:rPr>
      </w:pPr>
      <w:r>
        <w:rPr>
          <w:rFonts w:ascii="Arial" w:cs="Arial" w:eastAsia="Arial" w:hAnsi="Arial"/>
          <w:sz w:val="16"/>
          <w:szCs w:val="16"/>
          <w:b w:val="1"/>
          <w:bCs w:val="1"/>
          <w:color w:val="auto"/>
        </w:rPr>
        <w:t>Service Level Reporting</w:t>
      </w:r>
      <w:r>
        <w:rPr>
          <w:rFonts w:ascii="Arial" w:cs="Arial" w:eastAsia="Arial" w:hAnsi="Arial"/>
          <w:sz w:val="16"/>
          <w:szCs w:val="16"/>
          <w:color w:val="auto"/>
        </w:rPr>
        <w:t>. Client will notify Marqeta of any non-compliance with the Service Levels as soon as reasonably possible. If</w:t>
      </w:r>
      <w:r>
        <w:rPr>
          <w:rFonts w:ascii="Arial" w:cs="Arial" w:eastAsia="Arial" w:hAnsi="Arial"/>
          <w:sz w:val="16"/>
          <w:szCs w:val="16"/>
          <w:b w:val="1"/>
          <w:bCs w:val="1"/>
          <w:color w:val="auto"/>
        </w:rPr>
        <w:t xml:space="preserve"> </w:t>
      </w:r>
      <w:r>
        <w:rPr>
          <w:rFonts w:ascii="Arial" w:cs="Arial" w:eastAsia="Arial" w:hAnsi="Arial"/>
          <w:sz w:val="16"/>
          <w:szCs w:val="16"/>
          <w:color w:val="auto"/>
        </w:rPr>
        <w:t>Marqeta becomes aware that a Service Level has been missed, then Marqeta will notify Client and provide information about the problem.</w:t>
      </w:r>
    </w:p>
    <w:p>
      <w:pPr>
        <w:spacing w:after="0" w:line="21" w:lineRule="exact"/>
        <w:rPr>
          <w:rFonts w:ascii="Arial" w:cs="Arial" w:eastAsia="Arial" w:hAnsi="Arial"/>
          <w:sz w:val="16"/>
          <w:szCs w:val="16"/>
          <w:color w:val="auto"/>
        </w:rPr>
      </w:pPr>
    </w:p>
    <w:p>
      <w:pPr>
        <w:ind w:left="964" w:right="280" w:hanging="532"/>
        <w:spacing w:after="0" w:line="282" w:lineRule="auto"/>
        <w:tabs>
          <w:tab w:leader="none" w:pos="964" w:val="left"/>
        </w:tabs>
        <w:numPr>
          <w:ilvl w:val="1"/>
          <w:numId w:val="314"/>
        </w:numPr>
        <w:rPr>
          <w:rFonts w:ascii="Arial" w:cs="Arial" w:eastAsia="Arial" w:hAnsi="Arial"/>
          <w:sz w:val="18"/>
          <w:szCs w:val="18"/>
          <w:color w:val="auto"/>
        </w:rPr>
      </w:pPr>
      <w:r>
        <w:rPr>
          <w:rFonts w:ascii="Arial" w:cs="Arial" w:eastAsia="Arial" w:hAnsi="Arial"/>
          <w:sz w:val="18"/>
          <w:szCs w:val="18"/>
          <w:b w:val="1"/>
          <w:bCs w:val="1"/>
          <w:color w:val="auto"/>
        </w:rPr>
        <w:t>Service Level Credits</w:t>
      </w:r>
      <w:r>
        <w:rPr>
          <w:rFonts w:ascii="Arial" w:cs="Arial" w:eastAsia="Arial" w:hAnsi="Arial"/>
          <w:sz w:val="18"/>
          <w:szCs w:val="18"/>
          <w:color w:val="auto"/>
        </w:rPr>
        <w:t>. For any Measurement Period in which Marqeta does not meet a Service Level that constitutes a [***], Marqeta</w:t>
      </w:r>
      <w:r>
        <w:rPr>
          <w:rFonts w:ascii="Arial" w:cs="Arial" w:eastAsia="Arial" w:hAnsi="Arial"/>
          <w:sz w:val="18"/>
          <w:szCs w:val="18"/>
          <w:b w:val="1"/>
          <w:bCs w:val="1"/>
          <w:color w:val="auto"/>
        </w:rPr>
        <w:t xml:space="preserve"> </w:t>
      </w:r>
      <w:r>
        <w:rPr>
          <w:rFonts w:ascii="Arial" w:cs="Arial" w:eastAsia="Arial" w:hAnsi="Arial"/>
          <w:sz w:val="18"/>
          <w:szCs w:val="18"/>
          <w:color w:val="auto"/>
        </w:rPr>
        <w:t>will pay Client the following amount, as applicable (each a “Service Level Credit”):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For the first failure to meet a Service Level in a Measurement Period that results in a Severity Level [***] incident, Marqeta will pay Client [***].</w:t>
      </w:r>
    </w:p>
    <w:p>
      <w:pPr>
        <w:spacing w:after="0" w:line="153" w:lineRule="exact"/>
        <w:rPr>
          <w:rFonts w:ascii="Arial" w:cs="Arial" w:eastAsia="Arial" w:hAnsi="Arial"/>
          <w:sz w:val="16"/>
          <w:szCs w:val="16"/>
          <w:color w:val="auto"/>
        </w:rPr>
      </w:pPr>
    </w:p>
    <w:p>
      <w:pPr>
        <w:ind w:left="424" w:right="260" w:hanging="424"/>
        <w:spacing w:after="0" w:line="277" w:lineRule="auto"/>
        <w:tabs>
          <w:tab w:leader="none" w:pos="42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For the second failure to meet a Service Level in a Measurement Period that results in a Severity Level [***] incident, Marqeta will pay Client [***].</w:t>
      </w:r>
    </w:p>
    <w:p>
      <w:pPr>
        <w:spacing w:after="0" w:line="75"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For the third (or more) failures to meet a Service Level in a Measurement Period that results in a Severity Level [***] incident, Marqeta will pay Client [***].</w:t>
      </w:r>
    </w:p>
    <w:p>
      <w:pPr>
        <w:spacing w:after="0" w:line="75" w:lineRule="exact"/>
        <w:rPr>
          <w:rFonts w:ascii="Arial" w:cs="Arial" w:eastAsia="Arial" w:hAnsi="Arial"/>
          <w:sz w:val="18"/>
          <w:szCs w:val="18"/>
          <w:color w:val="auto"/>
        </w:rPr>
      </w:pPr>
    </w:p>
    <w:p>
      <w:pPr>
        <w:ind w:left="964" w:right="100" w:hanging="532"/>
        <w:spacing w:after="0" w:line="263" w:lineRule="auto"/>
        <w:tabs>
          <w:tab w:leader="none" w:pos="96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Without limiting the foregoing, Marqeta will respond to Client’s requests for support on issues relating to the Services in accordance with the table below (which are described in further detail below). The severity level assigned to issues will be determined in good faith by Client.</w:t>
      </w:r>
    </w:p>
    <w:p>
      <w:pPr>
        <w:spacing w:after="0" w:line="85" w:lineRule="exact"/>
        <w:rPr>
          <w:rFonts w:ascii="Arial" w:cs="Arial" w:eastAsia="Arial" w:hAnsi="Arial"/>
          <w:sz w:val="18"/>
          <w:szCs w:val="18"/>
          <w:color w:val="auto"/>
        </w:rPr>
      </w:pPr>
    </w:p>
    <w:p>
      <w:pPr>
        <w:ind w:left="964" w:hanging="532"/>
        <w:spacing w:after="0"/>
        <w:tabs>
          <w:tab w:leader="none" w:pos="964" w:val="left"/>
        </w:tabs>
        <w:numPr>
          <w:ilvl w:val="1"/>
          <w:numId w:val="315"/>
        </w:numPr>
        <w:rPr>
          <w:rFonts w:ascii="Arial" w:cs="Arial" w:eastAsia="Arial" w:hAnsi="Arial"/>
          <w:sz w:val="18"/>
          <w:szCs w:val="18"/>
          <w:color w:val="auto"/>
        </w:rPr>
      </w:pPr>
      <w:r>
        <w:rPr>
          <w:rFonts w:ascii="Arial" w:cs="Arial" w:eastAsia="Arial" w:hAnsi="Arial"/>
          <w:sz w:val="18"/>
          <w:szCs w:val="18"/>
          <w:b w:val="1"/>
          <w:bCs w:val="1"/>
          <w:color w:val="auto"/>
        </w:rPr>
        <w:t>Severity Level Descriptions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0 </w:t>
      </w:r>
      <w:r>
        <w:rPr>
          <w:rFonts w:ascii="Arial" w:cs="Arial" w:eastAsia="Arial" w:hAnsi="Arial"/>
          <w:sz w:val="18"/>
          <w:szCs w:val="18"/>
          <w:color w:val="auto"/>
        </w:rPr>
        <w:t>- [***].</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1 </w:t>
      </w:r>
      <w:r>
        <w:rPr>
          <w:rFonts w:ascii="Arial" w:cs="Arial" w:eastAsia="Arial" w:hAnsi="Arial"/>
          <w:sz w:val="18"/>
          <w:szCs w:val="18"/>
          <w:color w:val="auto"/>
        </w:rPr>
        <w:t>- [***].</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2 </w:t>
      </w:r>
      <w:r>
        <w:rPr>
          <w:rFonts w:ascii="Arial" w:cs="Arial" w:eastAsia="Arial" w:hAnsi="Arial"/>
          <w:sz w:val="18"/>
          <w:szCs w:val="18"/>
          <w:color w:val="auto"/>
        </w:rPr>
        <w:t>- [***].</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3 </w:t>
      </w:r>
      <w:r>
        <w:rPr>
          <w:rFonts w:ascii="Arial" w:cs="Arial" w:eastAsia="Arial" w:hAnsi="Arial"/>
          <w:sz w:val="18"/>
          <w:szCs w:val="18"/>
          <w:color w:val="auto"/>
        </w:rPr>
        <w:t>- [***].</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0" w:right="499" w:bottom="1440" w:gutter="0" w:footer="0" w:header="0"/>
        </w:sectPr>
      </w:pPr>
    </w:p>
    <w:bookmarkStart w:id="381" w:name="page382"/>
    <w:bookmarkEnd w:id="381"/>
    <w:p>
      <w:pPr>
        <w:ind w:left="964" w:hanging="532"/>
        <w:spacing w:after="0"/>
        <w:tabs>
          <w:tab w:leader="none" w:pos="964" w:val="left"/>
        </w:tabs>
        <w:numPr>
          <w:ilvl w:val="1"/>
          <w:numId w:val="31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Resolution</w:t>
      </w:r>
      <w:r>
        <w:rPr>
          <w:rFonts w:ascii="Arial" w:cs="Arial" w:eastAsia="Arial" w:hAnsi="Arial"/>
          <w:sz w:val="17"/>
          <w:szCs w:val="17"/>
          <w:color w:val="auto"/>
        </w:rPr>
        <w:t>. Technical support issues meeting the severity level descriptions set forth above will be addressed as set forth below:</w:t>
      </w:r>
    </w:p>
    <w:p>
      <w:pPr>
        <w:spacing w:after="0" w:line="142" w:lineRule="exact"/>
        <w:rPr>
          <w:rFonts w:ascii="Arial" w:cs="Arial" w:eastAsia="Arial" w:hAnsi="Arial"/>
          <w:sz w:val="17"/>
          <w:szCs w:val="17"/>
          <w:color w:val="auto"/>
        </w:rPr>
      </w:pPr>
    </w:p>
    <w:p>
      <w:pPr>
        <w:ind w:left="424" w:hanging="424"/>
        <w:spacing w:after="0" w:line="261" w:lineRule="auto"/>
        <w:tabs>
          <w:tab w:leader="none" w:pos="424" w:val="left"/>
        </w:tabs>
        <w:numPr>
          <w:ilvl w:val="0"/>
          <w:numId w:val="317"/>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0 </w:t>
      </w:r>
      <w:r>
        <w:rPr>
          <w:rFonts w:ascii="Arial" w:cs="Arial" w:eastAsia="Arial" w:hAnsi="Arial"/>
          <w:sz w:val="18"/>
          <w:szCs w:val="18"/>
          <w:color w:val="auto"/>
        </w:rPr>
        <w:t>- Marqeta resources will initially respond within [***] of discovery by Marqeta or notice from Client of the issue, and will [***],</w:t>
      </w:r>
      <w:r>
        <w:rPr>
          <w:rFonts w:ascii="Arial" w:cs="Arial" w:eastAsia="Arial" w:hAnsi="Arial"/>
          <w:sz w:val="18"/>
          <w:szCs w:val="18"/>
          <w:b w:val="1"/>
          <w:bCs w:val="1"/>
          <w:color w:val="auto"/>
        </w:rPr>
        <w:t xml:space="preserve"> </w:t>
      </w:r>
      <w:r>
        <w:rPr>
          <w:rFonts w:ascii="Arial" w:cs="Arial" w:eastAsia="Arial" w:hAnsi="Arial"/>
          <w:sz w:val="18"/>
          <w:szCs w:val="18"/>
          <w:color w:val="auto"/>
        </w:rPr>
        <w:t>to resolve all Severity Level 0 incidents until the issue has a temporary repair/workaround in place. A permanent repair will be performed during working hours. Upon request by Marqeta, Client will use reasonable efforts to make a designated contact available [***] to assist Marqeta resources in the investigation of the issue.</w:t>
      </w:r>
    </w:p>
    <w:p>
      <w:pPr>
        <w:spacing w:after="0" w:line="85" w:lineRule="exact"/>
        <w:rPr>
          <w:rFonts w:ascii="Arial" w:cs="Arial" w:eastAsia="Arial" w:hAnsi="Arial"/>
          <w:sz w:val="18"/>
          <w:szCs w:val="18"/>
          <w:color w:val="auto"/>
        </w:rPr>
      </w:pPr>
    </w:p>
    <w:p>
      <w:pPr>
        <w:ind w:left="424" w:right="80" w:hanging="424"/>
        <w:spacing w:after="0" w:line="266" w:lineRule="auto"/>
        <w:tabs>
          <w:tab w:leader="none" w:pos="424" w:val="left"/>
        </w:tabs>
        <w:numPr>
          <w:ilvl w:val="0"/>
          <w:numId w:val="317"/>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1 </w:t>
      </w:r>
      <w:r>
        <w:rPr>
          <w:rFonts w:ascii="Arial" w:cs="Arial" w:eastAsia="Arial" w:hAnsi="Arial"/>
          <w:sz w:val="18"/>
          <w:szCs w:val="18"/>
          <w:color w:val="auto"/>
        </w:rPr>
        <w:t>- Marqeta resources will initially respond [***] of discovery by Marqeta or of notice from Client of the issue, and work [***] to</w:t>
      </w:r>
      <w:r>
        <w:rPr>
          <w:rFonts w:ascii="Arial" w:cs="Arial" w:eastAsia="Arial" w:hAnsi="Arial"/>
          <w:sz w:val="18"/>
          <w:szCs w:val="18"/>
          <w:b w:val="1"/>
          <w:bCs w:val="1"/>
          <w:color w:val="auto"/>
        </w:rPr>
        <w:t xml:space="preserve"> </w:t>
      </w:r>
      <w:r>
        <w:rPr>
          <w:rFonts w:ascii="Arial" w:cs="Arial" w:eastAsia="Arial" w:hAnsi="Arial"/>
          <w:sz w:val="18"/>
          <w:szCs w:val="18"/>
          <w:color w:val="auto"/>
        </w:rPr>
        <w:t>resolve all Severity Level 1 incidents until the issue has a temporary repair/workaround in place. A permanent repair will be performed during working hours.</w:t>
      </w:r>
    </w:p>
    <w:p>
      <w:pPr>
        <w:spacing w:after="0" w:line="81" w:lineRule="exact"/>
        <w:rPr>
          <w:rFonts w:ascii="Arial" w:cs="Arial" w:eastAsia="Arial" w:hAnsi="Arial"/>
          <w:sz w:val="18"/>
          <w:szCs w:val="18"/>
          <w:color w:val="auto"/>
        </w:rPr>
      </w:pPr>
    </w:p>
    <w:p>
      <w:pPr>
        <w:ind w:left="424" w:right="260" w:hanging="424"/>
        <w:spacing w:after="0" w:line="282" w:lineRule="auto"/>
        <w:tabs>
          <w:tab w:leader="none" w:pos="424" w:val="left"/>
        </w:tabs>
        <w:numPr>
          <w:ilvl w:val="0"/>
          <w:numId w:val="317"/>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2 </w:t>
      </w:r>
      <w:r>
        <w:rPr>
          <w:rFonts w:ascii="Arial" w:cs="Arial" w:eastAsia="Arial" w:hAnsi="Arial"/>
          <w:sz w:val="18"/>
          <w:szCs w:val="18"/>
          <w:color w:val="auto"/>
        </w:rPr>
        <w:t>- Marqeta resources will initially respond within [***] of notice from Client of the issue, and will work during working hours</w:t>
      </w:r>
      <w:r>
        <w:rPr>
          <w:rFonts w:ascii="Arial" w:cs="Arial" w:eastAsia="Arial" w:hAnsi="Arial"/>
          <w:sz w:val="18"/>
          <w:szCs w:val="18"/>
          <w:b w:val="1"/>
          <w:bCs w:val="1"/>
          <w:color w:val="auto"/>
        </w:rPr>
        <w:t xml:space="preserve"> </w:t>
      </w:r>
      <w:r>
        <w:rPr>
          <w:rFonts w:ascii="Arial" w:cs="Arial" w:eastAsia="Arial" w:hAnsi="Arial"/>
          <w:sz w:val="18"/>
          <w:szCs w:val="18"/>
          <w:color w:val="auto"/>
        </w:rPr>
        <w:t>until a temporary repair is in place and then work to provide a permanent repair.</w:t>
      </w:r>
    </w:p>
    <w:p>
      <w:pPr>
        <w:spacing w:after="0" w:line="67" w:lineRule="exact"/>
        <w:rPr>
          <w:rFonts w:ascii="Arial" w:cs="Arial" w:eastAsia="Arial" w:hAnsi="Arial"/>
          <w:sz w:val="18"/>
          <w:szCs w:val="18"/>
          <w:color w:val="auto"/>
        </w:rPr>
      </w:pPr>
    </w:p>
    <w:p>
      <w:pPr>
        <w:ind w:left="424" w:right="400" w:hanging="424"/>
        <w:spacing w:after="0" w:line="282" w:lineRule="auto"/>
        <w:tabs>
          <w:tab w:leader="none" w:pos="424" w:val="left"/>
        </w:tabs>
        <w:numPr>
          <w:ilvl w:val="0"/>
          <w:numId w:val="317"/>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3 </w:t>
      </w:r>
      <w:r>
        <w:rPr>
          <w:rFonts w:ascii="Arial" w:cs="Arial" w:eastAsia="Arial" w:hAnsi="Arial"/>
          <w:sz w:val="18"/>
          <w:szCs w:val="18"/>
          <w:color w:val="auto"/>
        </w:rPr>
        <w:t>- Marqeta resources initially respond within [***] of notice from Client of the issue, and will work during working hours to</w:t>
      </w:r>
      <w:r>
        <w:rPr>
          <w:rFonts w:ascii="Arial" w:cs="Arial" w:eastAsia="Arial" w:hAnsi="Arial"/>
          <w:sz w:val="18"/>
          <w:szCs w:val="18"/>
          <w:b w:val="1"/>
          <w:bCs w:val="1"/>
          <w:color w:val="auto"/>
        </w:rPr>
        <w:t xml:space="preserve"> </w:t>
      </w:r>
      <w:r>
        <w:rPr>
          <w:rFonts w:ascii="Arial" w:cs="Arial" w:eastAsia="Arial" w:hAnsi="Arial"/>
          <w:sz w:val="18"/>
          <w:szCs w:val="18"/>
          <w:color w:val="auto"/>
        </w:rPr>
        <w:t>resolve Severity Level 3 incidents in order of their priority.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1 TO MASTER SERVICES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Amendment No. 1 to Master Services Agreement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this 1st day of September, 2016 (the “</w:t>
      </w:r>
      <w:r>
        <w:rPr>
          <w:rFonts w:ascii="Arial" w:cs="Arial" w:eastAsia="Arial" w:hAnsi="Arial"/>
          <w:sz w:val="17"/>
          <w:szCs w:val="17"/>
          <w:u w:val="single" w:color="auto"/>
          <w:color w:val="auto"/>
        </w:rPr>
        <w:t>Amendment Effective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Date</w:t>
      </w:r>
      <w:r>
        <w:rPr>
          <w:rFonts w:ascii="Arial" w:cs="Arial" w:eastAsia="Arial" w:hAnsi="Arial"/>
          <w:sz w:val="17"/>
          <w:szCs w:val="17"/>
          <w:color w:val="auto"/>
        </w:rPr>
        <w:t>”) by and between Square, Inc., a Delaware corporation, whose principal address is 1455 Market Street Suite 600, San Francisco, CA 94103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Client</w:t>
      </w:r>
      <w:r>
        <w:rPr>
          <w:rFonts w:ascii="Arial" w:cs="Arial" w:eastAsia="Arial" w:hAnsi="Arial"/>
          <w:sz w:val="16"/>
          <w:szCs w:val="16"/>
          <w:color w:val="auto"/>
        </w:rPr>
        <w:t>”), and Marqeta, Inc., a Delaware corporation, whose principal address is 6201-B Doyle Street, Emeryville, CA 94608 (hereinafter “</w:t>
      </w:r>
      <w:r>
        <w:rPr>
          <w:rFonts w:ascii="Arial" w:cs="Arial" w:eastAsia="Arial" w:hAnsi="Arial"/>
          <w:sz w:val="16"/>
          <w:szCs w:val="16"/>
          <w:u w:val="single" w:color="auto"/>
          <w:color w:val="auto"/>
        </w:rPr>
        <w:t>Marqeta</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amends that certain Master Services Agreement between Client and Marqeta dated April 19, 2016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Capitalized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herein and not otherwise defined shall have the meaning ascribed to them in the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WHEREAS, Client and Marqeta desire to amend the Original Agreement on the terms set forth in this Amendment.</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NOW, THEREFORE, in consideration of the mutual obligations in this Amendment and for other good and valuable consideration, the receipt and sufficiency of which are acknowledged, the parties to this Amendment agree as follows:</w:t>
      </w:r>
    </w:p>
    <w:p>
      <w:pPr>
        <w:spacing w:after="0" w:line="170" w:lineRule="exact"/>
        <w:rPr>
          <w:sz w:val="20"/>
          <w:szCs w:val="20"/>
          <w:color w:val="auto"/>
        </w:rPr>
      </w:pPr>
    </w:p>
    <w:p>
      <w:pPr>
        <w:ind w:left="760" w:hanging="324"/>
        <w:spacing w:after="0"/>
        <w:tabs>
          <w:tab w:leader="none" w:pos="7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Section 1(b) of Schedule A to the Original Agreement shall be deleted in its entirety and replaced with the following:</w:t>
      </w:r>
    </w:p>
    <w:p>
      <w:pPr>
        <w:spacing w:after="0" w:line="113" w:lineRule="exact"/>
        <w:rPr>
          <w:sz w:val="20"/>
          <w:szCs w:val="20"/>
          <w:color w:val="auto"/>
        </w:rPr>
      </w:pPr>
    </w:p>
    <w:p>
      <w:pPr>
        <w:ind w:left="440" w:right="20"/>
        <w:spacing w:after="0" w:line="274" w:lineRule="auto"/>
        <w:rPr>
          <w:sz w:val="20"/>
          <w:szCs w:val="20"/>
          <w:color w:val="auto"/>
        </w:rPr>
      </w:pPr>
      <w:r>
        <w:rPr>
          <w:rFonts w:ascii="Arial" w:cs="Arial" w:eastAsia="Arial" w:hAnsi="Arial"/>
          <w:sz w:val="17"/>
          <w:szCs w:val="17"/>
          <w:b w:val="1"/>
          <w:bCs w:val="1"/>
          <w:color w:val="auto"/>
        </w:rPr>
        <w:t xml:space="preserve">“(b) Instructions and Client Provided Information. </w:t>
      </w:r>
      <w:r>
        <w:rPr>
          <w:rFonts w:ascii="Arial" w:cs="Arial" w:eastAsia="Arial" w:hAnsi="Arial"/>
          <w:sz w:val="17"/>
          <w:szCs w:val="17"/>
          <w:color w:val="auto"/>
        </w:rPr>
        <w:t>In performing its obligations and responsibilities under this Agreement, Marqeta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rely upon, without additional inquiry, Client Data, Consumer Cardholder Data, Transaction Data, Consumer Transaction Data and Instructions, as provided by Client to Marqeta; provided, however, that to the extent that Marqeta in good faith reasonably believes that any Instruction is contrary to the provisions of this Agreement, Applicable Law, Card Brand Rules, or requirements of the Issuing Bank, Marqeta shall promptly provide notice to Client setting forth in reasonable detail the reason for its belief, after which point the Parties agree to work together in good faith to resolve any issues resulting from such Instruction.”</w:t>
      </w:r>
    </w:p>
    <w:p>
      <w:pPr>
        <w:spacing w:after="0" w:line="177" w:lineRule="exact"/>
        <w:rPr>
          <w:sz w:val="20"/>
          <w:szCs w:val="20"/>
          <w:color w:val="auto"/>
        </w:rPr>
      </w:pPr>
    </w:p>
    <w:p>
      <w:pPr>
        <w:ind w:left="760" w:hanging="324"/>
        <w:spacing w:after="0"/>
        <w:tabs>
          <w:tab w:leader="none" w:pos="7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Section 2 of Schedule B to the Original Agreement shall be amended to include new Sections 2(k), 2(l), 2(m) and 2(n) as follows:</w:t>
      </w:r>
    </w:p>
    <w:p>
      <w:pPr>
        <w:spacing w:after="0" w:line="113" w:lineRule="exact"/>
        <w:rPr>
          <w:sz w:val="20"/>
          <w:szCs w:val="20"/>
          <w:color w:val="auto"/>
        </w:rPr>
      </w:pPr>
    </w:p>
    <w:p>
      <w:pPr>
        <w:ind w:left="440"/>
        <w:spacing w:after="0" w:line="287" w:lineRule="auto"/>
        <w:rPr>
          <w:sz w:val="20"/>
          <w:szCs w:val="20"/>
          <w:color w:val="auto"/>
        </w:rPr>
      </w:pPr>
      <w:r>
        <w:rPr>
          <w:rFonts w:ascii="Arial" w:cs="Arial" w:eastAsia="Arial" w:hAnsi="Arial"/>
          <w:sz w:val="16"/>
          <w:szCs w:val="16"/>
          <w:color w:val="auto"/>
        </w:rPr>
        <w:t xml:space="preserve">“(k) </w:t>
      </w:r>
      <w:r>
        <w:rPr>
          <w:rFonts w:ascii="Arial" w:cs="Arial" w:eastAsia="Arial" w:hAnsi="Arial"/>
          <w:sz w:val="16"/>
          <w:szCs w:val="16"/>
          <w:b w:val="1"/>
          <w:bCs w:val="1"/>
          <w:color w:val="auto"/>
        </w:rPr>
        <w:t>Consumer Cardholder Interface; Consumer Cardholder Agreement</w:t>
      </w:r>
      <w:r>
        <w:rPr>
          <w:rFonts w:ascii="Arial" w:cs="Arial" w:eastAsia="Arial" w:hAnsi="Arial"/>
          <w:sz w:val="16"/>
          <w:szCs w:val="16"/>
          <w:color w:val="auto"/>
        </w:rPr>
        <w:t>. Client shall be solely responsible for providing any required web and/or mobile interface to enable potential and actual Consumer Cardholders, as applicable, to provide appropriate permissions in connection with and obtaining Cards, receive disclosures and other information required by Applicable Law, Issuing Bank and the Cardholder Agreement, and manage their Accounts. Client shall not alter the consumer information that it receives from such Consumer Cardholders that Client provides to Marqeta. Client shall be able to track Consumer Cardholder’s acceptance of Card terms and conditions, Issuing Bank’s privacy policy and “opt-in” acceptance and withdrawals utilizing such interface, maintain and retrieve records of the forgoing, each on an individual Consumer Cardholder basis. Client shall require that Consumers provide and Client shall provide to Marqeta with the information Client receives from Consumer Cardholders, and any updates Client receives thereto, necessary for Issuing Bank to provide Consumer Cardholder Accounts with FDIC pass through insurance up to the limits provide for under Applicable Law. Promptly following Marqeta’s reasonable written or e-mail request, Client shall provide Marqeta, in a mutually agreeable format, with the contact information for each Consumer Cardholder, as such contact information is updated by the Consumer Cardholder from time to time; and agrees that Marqeta (on Issuing Bank’s behalf) or Issuing Bank may, to meet Issuing Bank’s regulatory requirements, communicate directly with Consumer Cardholders. Client shall comply with the terms and conditions in the Cardholder Agreement applicable to Client for Cards issued to Consumer Cardholders.</w:t>
      </w:r>
    </w:p>
    <w:p>
      <w:pPr>
        <w:spacing w:after="0" w:line="56" w:lineRule="exact"/>
        <w:rPr>
          <w:sz w:val="20"/>
          <w:szCs w:val="20"/>
          <w:color w:val="auto"/>
        </w:rPr>
      </w:pPr>
    </w:p>
    <w:p>
      <w:pPr>
        <w:ind w:left="440" w:right="60" w:hanging="4"/>
        <w:spacing w:after="0" w:line="258" w:lineRule="auto"/>
        <w:tabs>
          <w:tab w:leader="none" w:pos="655"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Customer Support and Communications</w:t>
      </w:r>
      <w:r>
        <w:rPr>
          <w:rFonts w:ascii="Arial" w:cs="Arial" w:eastAsia="Arial" w:hAnsi="Arial"/>
          <w:sz w:val="18"/>
          <w:szCs w:val="18"/>
          <w:color w:val="auto"/>
        </w:rPr>
        <w:t>. Client shall be solely responsible for providing, either directly or via a third party service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Issuing Bank, customer support for Consumer Cardholders and customer notifications in compliance with Issuing Bank’s requirements provided to Client. All such services shall be provided in a manner and only with content, including customer service scripts, approved by Issuing Bank. Client shall promptly inform Marqeta of all material complaints Client or its customer service representatives or providers receive from Consumer Cardholders in connection with the Program.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383" w:name="page384"/>
    <w:bookmarkEnd w:id="383"/>
    <w:p>
      <w:pPr>
        <w:ind w:left="304" w:hanging="304"/>
        <w:spacing w:after="0"/>
        <w:tabs>
          <w:tab w:leader="none" w:pos="304"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KYC</w:t>
      </w:r>
      <w:r>
        <w:rPr>
          <w:rFonts w:ascii="Arial" w:cs="Arial" w:eastAsia="Arial" w:hAnsi="Arial"/>
          <w:sz w:val="18"/>
          <w:szCs w:val="18"/>
          <w:color w:val="auto"/>
        </w:rPr>
        <w:t>. [***].</w:t>
      </w:r>
    </w:p>
    <w:p>
      <w:pPr>
        <w:spacing w:after="0" w:line="117" w:lineRule="exact"/>
        <w:rPr>
          <w:rFonts w:ascii="Arial" w:cs="Arial" w:eastAsia="Arial" w:hAnsi="Arial"/>
          <w:sz w:val="18"/>
          <w:szCs w:val="18"/>
          <w:color w:val="auto"/>
        </w:rPr>
      </w:pPr>
    </w:p>
    <w:p>
      <w:pPr>
        <w:ind w:left="4" w:right="80" w:hanging="4"/>
        <w:spacing w:after="0" w:line="314" w:lineRule="auto"/>
        <w:tabs>
          <w:tab w:leader="none" w:pos="258"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Account Balance System of Record</w:t>
      </w:r>
      <w:r>
        <w:rPr>
          <w:rFonts w:ascii="Arial" w:cs="Arial" w:eastAsia="Arial" w:hAnsi="Arial"/>
          <w:sz w:val="16"/>
          <w:szCs w:val="16"/>
          <w:color w:val="auto"/>
        </w:rPr>
        <w:t>. Client shall (i) maintain the system of record for funds balances on the Accounts, including funds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availability for transactions, and (ii) in response to receiving a Card transaction request from Marqeta via the Marqeta System, approve or decline the transaction; provided that Client shall not approve any Card transaction or partial transaction for more than the available balance.”</w:t>
      </w:r>
    </w:p>
    <w:p>
      <w:pPr>
        <w:spacing w:after="0" w:line="146" w:lineRule="exact"/>
        <w:rPr>
          <w:sz w:val="20"/>
          <w:szCs w:val="20"/>
          <w:color w:val="auto"/>
        </w:rPr>
      </w:pPr>
    </w:p>
    <w:p>
      <w:pPr>
        <w:ind w:left="324" w:hanging="324"/>
        <w:spacing w:after="0"/>
        <w:tabs>
          <w:tab w:leader="none" w:pos="32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Section 11(a) of Schedule B to the Original Agreement shall be deleted in its entirety and replaced with the following:</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 Client Data and Cardholder Data.</w:t>
      </w:r>
    </w:p>
    <w:p>
      <w:pPr>
        <w:spacing w:after="0" w:line="121" w:lineRule="exact"/>
        <w:rPr>
          <w:sz w:val="20"/>
          <w:szCs w:val="20"/>
          <w:color w:val="auto"/>
        </w:rPr>
      </w:pPr>
    </w:p>
    <w:p>
      <w:pPr>
        <w:ind w:left="4" w:firstLine="419"/>
        <w:spacing w:after="0" w:line="296" w:lineRule="auto"/>
        <w:tabs>
          <w:tab w:leader="none" w:pos="641"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Client Data</w:t>
      </w:r>
      <w:r>
        <w:rPr>
          <w:rFonts w:ascii="Arial" w:cs="Arial" w:eastAsia="Arial" w:hAnsi="Arial"/>
          <w:sz w:val="16"/>
          <w:szCs w:val="16"/>
          <w:color w:val="auto"/>
        </w:rPr>
        <w:t>. As between Client and Marqeta, Client Data and Transaction Data shall be owned by Client and Issuing Bank. Subject to Section 11(b) of these General Terms and Conditions, Marqeta may not use any Client Data or Transaction Data for any purpose except (i) to the extent such Client Data or Transaction Data is necessary for Marqeta to perform its obligations under this Agreement; (ii) internally to provide and improve the Services and to perform fraud screening, verify identities, and verify the information contained in Accounts; (iii) as required by Issuing Bank to meets its regulatory obligations; or (iv) as required by any Regulator with jurisdiction over Issuing Bank or the Parties.</w:t>
      </w:r>
    </w:p>
    <w:p>
      <w:pPr>
        <w:spacing w:after="0" w:line="53" w:lineRule="exact"/>
        <w:rPr>
          <w:rFonts w:ascii="Arial" w:cs="Arial" w:eastAsia="Arial" w:hAnsi="Arial"/>
          <w:sz w:val="16"/>
          <w:szCs w:val="16"/>
          <w:color w:val="auto"/>
        </w:rPr>
      </w:pPr>
    </w:p>
    <w:p>
      <w:pPr>
        <w:ind w:left="684" w:hanging="261"/>
        <w:spacing w:after="0"/>
        <w:tabs>
          <w:tab w:leader="none" w:pos="684"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Consumer Cardholder Data, Consumer Card Data and Personal Data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00" w:firstLine="948"/>
        <w:spacing w:after="0" w:line="254" w:lineRule="auto"/>
        <w:tabs>
          <w:tab w:leader="none" w:pos="125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As between Client and Marqeta, (i) Consumer Cardholder Data collected directly from Consumer Cardholders by Client in connection with obtaining and managing Cards shall be owned by Client and Issuing Bank; and Consumer Transaction Data shall be owned by Issuing Bank. Notwithstanding the foregoing, to the extent permissible by Applicable Law, an appropriate “opt-in” notice agreed to by Consumer Cardholders permitting Issuing Bank to provide Client with Consumer Transaction Data related to transactions from the use of Cards, Marqeta will make all such Transaction Data available to Client. Client may use such Consumer Cardholder Data and Consumer Transaction Data as permitted by Applicable Law, Issuing Bank’s privacy policy then in effect, such notice, and Consumer Cardholder’s right to rescind the permissions provided in such notice.</w:t>
      </w:r>
    </w:p>
    <w:p>
      <w:pPr>
        <w:spacing w:after="0" w:line="86" w:lineRule="exact"/>
        <w:rPr>
          <w:rFonts w:ascii="Arial" w:cs="Arial" w:eastAsia="Arial" w:hAnsi="Arial"/>
          <w:sz w:val="18"/>
          <w:szCs w:val="18"/>
          <w:color w:val="auto"/>
        </w:rPr>
      </w:pPr>
    </w:p>
    <w:p>
      <w:pPr>
        <w:ind w:left="1244" w:hanging="292"/>
        <w:spacing w:after="0"/>
        <w:tabs>
          <w:tab w:leader="none" w:pos="1244" w:val="left"/>
        </w:tabs>
        <w:numPr>
          <w:ilvl w:val="2"/>
          <w:numId w:val="323"/>
        </w:numPr>
        <w:rPr>
          <w:rFonts w:ascii="Arial" w:cs="Arial" w:eastAsia="Arial" w:hAnsi="Arial"/>
          <w:sz w:val="18"/>
          <w:szCs w:val="18"/>
          <w:color w:val="auto"/>
        </w:rPr>
      </w:pPr>
      <w:r>
        <w:rPr>
          <w:rFonts w:ascii="Arial" w:cs="Arial" w:eastAsia="Arial" w:hAnsi="Arial"/>
          <w:sz w:val="18"/>
          <w:szCs w:val="18"/>
          <w:color w:val="auto"/>
        </w:rPr>
        <w:t>The Parties acknowledge that, as between the Parties, all Consumer Card Data is owned by Issuing Bank.</w:t>
      </w:r>
    </w:p>
    <w:p>
      <w:pPr>
        <w:spacing w:after="0" w:line="117" w:lineRule="exact"/>
        <w:rPr>
          <w:rFonts w:ascii="Arial" w:cs="Arial" w:eastAsia="Arial" w:hAnsi="Arial"/>
          <w:sz w:val="18"/>
          <w:szCs w:val="18"/>
          <w:color w:val="auto"/>
        </w:rPr>
      </w:pPr>
    </w:p>
    <w:p>
      <w:pPr>
        <w:ind w:left="4" w:right="180" w:firstLine="948"/>
        <w:spacing w:after="0" w:line="284" w:lineRule="auto"/>
        <w:tabs>
          <w:tab w:leader="none" w:pos="1240" w:val="left"/>
        </w:tabs>
        <w:numPr>
          <w:ilvl w:val="2"/>
          <w:numId w:val="323"/>
        </w:numPr>
        <w:rPr>
          <w:rFonts w:ascii="Arial" w:cs="Arial" w:eastAsia="Arial" w:hAnsi="Arial"/>
          <w:sz w:val="16"/>
          <w:szCs w:val="16"/>
          <w:color w:val="auto"/>
        </w:rPr>
      </w:pPr>
      <w:r>
        <w:rPr>
          <w:rFonts w:ascii="Arial" w:cs="Arial" w:eastAsia="Arial" w:hAnsi="Arial"/>
          <w:sz w:val="16"/>
          <w:szCs w:val="16"/>
          <w:color w:val="auto"/>
        </w:rPr>
        <w:t>The Parties acknowledge and agree that Personal Data is subject to Applicable Law related to the use of nonpublic personal information, including the Gramm-Leach-Bliley Act and associated regulations. Marqeta and Client each agree to protect all Personal Data each Party receives or processes in relation to this Agreement in accordance with all Applicable Laws (including the Gramm-Leach-Bliley Act and associated regulations and state privacy laws), including but not limited to: (i) restricting employee and agent/subcontractor access to Personal Data, (ii) not disclosing Personal Data to any third Entity (except to Issuing Bank in the case of disclosure by Marqeta) without the other Party’s written permission, (iii) only disclosing Personal Data to the other Party to the extent necessary to perform the terms of this Agreement,</w:t>
      </w:r>
    </w:p>
    <w:p>
      <w:pPr>
        <w:spacing w:after="0" w:line="4" w:lineRule="exact"/>
        <w:rPr>
          <w:rFonts w:ascii="Arial" w:cs="Arial" w:eastAsia="Arial" w:hAnsi="Arial"/>
          <w:sz w:val="16"/>
          <w:szCs w:val="16"/>
          <w:color w:val="auto"/>
        </w:rPr>
      </w:pPr>
    </w:p>
    <w:p>
      <w:pPr>
        <w:ind w:left="4" w:right="100" w:hanging="4"/>
        <w:spacing w:after="0" w:line="270" w:lineRule="auto"/>
        <w:tabs>
          <w:tab w:leader="none" w:pos="308"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applying appropriate security measures to protect Personal Data, and (v) deleting any Personal Data in its possession or control at the expiration or termination of this Agreement unless the other Party has received the same information independent of this Agreement or otherwise agreed between the Parties, and subject to the Parties’ data retention policies and Issuing Bank requirements. In the event of any unauthorized, unlawful, and/or unintended processing, access, disclosure, exposure, alteration, loss, or destruction of Personal Data by a Party, such Party will immediately notify the other Party and will investigate and remediate such incident and provide appropriate response and redress to the Persons effected and will inform the other Party of such actions.</w:t>
      </w:r>
    </w:p>
    <w:p>
      <w:pPr>
        <w:spacing w:after="0" w:line="70" w:lineRule="exact"/>
        <w:rPr>
          <w:rFonts w:ascii="Arial" w:cs="Arial" w:eastAsia="Arial" w:hAnsi="Arial"/>
          <w:sz w:val="17"/>
          <w:szCs w:val="17"/>
          <w:color w:val="auto"/>
        </w:rPr>
      </w:pPr>
    </w:p>
    <w:p>
      <w:pPr>
        <w:ind w:left="4" w:right="600" w:firstLine="419"/>
        <w:spacing w:after="0" w:line="291" w:lineRule="auto"/>
        <w:tabs>
          <w:tab w:leader="none" w:pos="741" w:val="left"/>
        </w:tabs>
        <w:numPr>
          <w:ilvl w:val="1"/>
          <w:numId w:val="324"/>
        </w:numPr>
        <w:rPr>
          <w:rFonts w:ascii="Arial" w:cs="Arial" w:eastAsia="Arial" w:hAnsi="Arial"/>
          <w:sz w:val="16"/>
          <w:szCs w:val="16"/>
          <w:color w:val="auto"/>
        </w:rPr>
      </w:pPr>
      <w:r>
        <w:rPr>
          <w:rFonts w:ascii="Arial" w:cs="Arial" w:eastAsia="Arial" w:hAnsi="Arial"/>
          <w:sz w:val="16"/>
          <w:szCs w:val="16"/>
          <w:color w:val="auto"/>
        </w:rPr>
        <w:t>Marqeta and Issuing Bank’s Independent Use of Data. Marqeta agrees that it will only use Personal Data, Cardholder Data and Transaction Data derived hereunder solely (A) in connection with (i) the provision of the Services, (ii) the performance of this Agreement,</w:t>
      </w:r>
    </w:p>
    <w:p>
      <w:pPr>
        <w:ind w:left="324" w:hanging="324"/>
        <w:spacing w:after="0"/>
        <w:tabs>
          <w:tab w:leader="none" w:pos="3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internal analyses and (iv) protecting</w:t>
      </w:r>
    </w:p>
    <w:p>
      <w:pPr>
        <w:spacing w:after="0" w:line="14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0" w:right="459" w:bottom="1440" w:gutter="0" w:footer="0" w:header="0"/>
        </w:sectPr>
      </w:pPr>
    </w:p>
    <w:bookmarkStart w:id="384" w:name="page385"/>
    <w:bookmarkEnd w:id="384"/>
    <w:p>
      <w:pPr>
        <w:ind w:left="4"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actual or suspected fraud, unauthorized transactions claims or liability, and (B) otherwise to comply with Issuing Bank’s privacy policy, applicable law, and official state or federal inquiries. For the avoidance of doubt, Marqeta shall not use Personal Data, Cardholder Data nor Transaction Data to market its own products to Cardholders, nor for any other purpose not otherwise detailing in this Section 11(a)(iii). Marqeta shall, prior to launch, secure Issuing Bank’s written agreement to substantially comply with this Section 11(a)(iii) and share such written agreement with Client.”</w:t>
      </w:r>
    </w:p>
    <w:p>
      <w:pPr>
        <w:spacing w:after="0" w:line="188" w:lineRule="exact"/>
        <w:rPr>
          <w:sz w:val="20"/>
          <w:szCs w:val="20"/>
          <w:color w:val="auto"/>
        </w:rPr>
      </w:pPr>
    </w:p>
    <w:p>
      <w:pPr>
        <w:ind w:left="324" w:hanging="324"/>
        <w:spacing w:after="0"/>
        <w:tabs>
          <w:tab w:leader="none" w:pos="32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Sections 11(c), 11 (d) and 11(e) of Schedule B to the Original Agreement shall be deleted in their entirety and replaced as follows:</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“(c) Security Standards. </w:t>
      </w:r>
      <w:r>
        <w:rPr>
          <w:rFonts w:ascii="Arial" w:cs="Arial" w:eastAsia="Arial" w:hAnsi="Arial"/>
          <w:sz w:val="17"/>
          <w:szCs w:val="17"/>
          <w:color w:val="auto"/>
        </w:rPr>
        <w:t>Marqeta shall implement security measures designed to (i) ensure the security, integrity and confidentiality of;</w:t>
      </w:r>
    </w:p>
    <w:p>
      <w:pPr>
        <w:spacing w:after="0" w:line="39" w:lineRule="exact"/>
        <w:rPr>
          <w:sz w:val="20"/>
          <w:szCs w:val="20"/>
          <w:color w:val="auto"/>
        </w:rPr>
      </w:pPr>
    </w:p>
    <w:p>
      <w:pPr>
        <w:ind w:left="4" w:hanging="4"/>
        <w:spacing w:after="0" w:line="253" w:lineRule="auto"/>
        <w:tabs>
          <w:tab w:leader="none" w:pos="26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protect against any anticipated threats or hazards to the security or integrity of; and (iii) protect against unauthorized access to or use of Client Data, Consumer Cardholder Data, Transaction Data and Consumer Transaction Data; all in accordance with Marqeta’s information security policy. In providing the Services, Marqeta will comply with all Applicable Laws and Card Brand Rules regarding debit card processing, customer privacy and payment account data security, including PCI standards.</w:t>
      </w:r>
    </w:p>
    <w:p>
      <w:pPr>
        <w:spacing w:after="0" w:line="81" w:lineRule="exact"/>
        <w:rPr>
          <w:sz w:val="20"/>
          <w:szCs w:val="20"/>
          <w:color w:val="auto"/>
        </w:rPr>
      </w:pPr>
    </w:p>
    <w:p>
      <w:pPr>
        <w:ind w:left="4" w:right="120" w:hanging="4"/>
        <w:spacing w:after="0" w:line="314" w:lineRule="auto"/>
        <w:tabs>
          <w:tab w:leader="none" w:pos="269"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Unauthorized Application. </w:t>
      </w:r>
      <w:r>
        <w:rPr>
          <w:rFonts w:ascii="Arial" w:cs="Arial" w:eastAsia="Arial" w:hAnsi="Arial"/>
          <w:sz w:val="16"/>
          <w:szCs w:val="16"/>
          <w:color w:val="auto"/>
        </w:rPr>
        <w:t>The Parties acknowledge and agree that Marqeta shall be solely responsible for the unauthorized or fraudulent</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for, access to or use of Client Data, Consumer Cardholder Data, Transaction Data or Consumer Transaction Data by any Entity, when such unauthorized or fraudulent activity is caused by the negligent acts or omissions, gross or willful misconduct of Marqeta or its Personnel.</w:t>
      </w:r>
    </w:p>
    <w:p>
      <w:pPr>
        <w:spacing w:after="0" w:line="33" w:lineRule="exact"/>
        <w:rPr>
          <w:rFonts w:ascii="Arial" w:cs="Arial" w:eastAsia="Arial" w:hAnsi="Arial"/>
          <w:sz w:val="16"/>
          <w:szCs w:val="16"/>
          <w:b w:val="1"/>
          <w:bCs w:val="1"/>
          <w:color w:val="auto"/>
        </w:rPr>
      </w:pPr>
    </w:p>
    <w:p>
      <w:pPr>
        <w:jc w:val="both"/>
        <w:ind w:left="4" w:right="320" w:hanging="4"/>
        <w:spacing w:after="0" w:line="266" w:lineRule="auto"/>
        <w:tabs>
          <w:tab w:leader="none" w:pos="248"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Security Breach. </w:t>
      </w:r>
      <w:r>
        <w:rPr>
          <w:rFonts w:ascii="Arial" w:cs="Arial" w:eastAsia="Arial" w:hAnsi="Arial"/>
          <w:sz w:val="18"/>
          <w:szCs w:val="18"/>
          <w:color w:val="auto"/>
        </w:rPr>
        <w:t>If Marqeta becomes aware of any unauthorized access to Client Data, Consumer Cardholder Data,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Data or Consumer Transaction Data, Marqeta shall promptly report such incident to Client and describe in reasonable detail the circumstances surrounding such unauthorized access.”</w:t>
      </w:r>
    </w:p>
    <w:p>
      <w:pPr>
        <w:spacing w:after="0" w:line="180" w:lineRule="exact"/>
        <w:rPr>
          <w:sz w:val="20"/>
          <w:szCs w:val="20"/>
          <w:color w:val="auto"/>
        </w:rPr>
      </w:pPr>
    </w:p>
    <w:p>
      <w:pPr>
        <w:ind w:left="4"/>
        <w:spacing w:after="0"/>
        <w:tabs>
          <w:tab w:leader="none" w:pos="283"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The following definitions in Schedule C to the Original Agreement shall be deleted in their entirety and replaced as follows:</w:t>
      </w:r>
    </w:p>
    <w:p>
      <w:pPr>
        <w:spacing w:after="0" w:line="117" w:lineRule="exact"/>
        <w:rPr>
          <w:sz w:val="20"/>
          <w:szCs w:val="20"/>
          <w:color w:val="auto"/>
        </w:rPr>
      </w:pPr>
    </w:p>
    <w:p>
      <w:pPr>
        <w:ind w:left="4" w:right="1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Cardholder</w:t>
      </w:r>
      <w:r>
        <w:rPr>
          <w:rFonts w:ascii="Arial" w:cs="Arial" w:eastAsia="Arial" w:hAnsi="Arial"/>
          <w:sz w:val="18"/>
          <w:szCs w:val="18"/>
          <w:color w:val="auto"/>
        </w:rPr>
        <w:t>” means Client or Client’s authorized users of Cards, or an Entity that is a natural person, or such person’s authorized users of Cards.</w:t>
      </w:r>
    </w:p>
    <w:p>
      <w:pPr>
        <w:spacing w:after="0" w:line="62" w:lineRule="exact"/>
        <w:rPr>
          <w:sz w:val="20"/>
          <w:szCs w:val="20"/>
          <w:color w:val="auto"/>
        </w:rPr>
      </w:pPr>
    </w:p>
    <w:p>
      <w:pPr>
        <w:ind w:left="4" w:right="300" w:firstLine="423"/>
        <w:spacing w:after="0" w:line="277" w:lineRule="auto"/>
        <w:rPr>
          <w:sz w:val="20"/>
          <w:szCs w:val="20"/>
          <w:color w:val="auto"/>
        </w:rPr>
      </w:pPr>
      <w:r>
        <w:rPr>
          <w:rFonts w:ascii="Arial" w:cs="Arial" w:eastAsia="Arial" w:hAnsi="Arial"/>
          <w:sz w:val="18"/>
          <w:szCs w:val="18"/>
          <w:u w:val="single" w:color="auto"/>
          <w:color w:val="auto"/>
        </w:rPr>
        <w:t>“Transaction Data</w:t>
      </w:r>
      <w:r>
        <w:rPr>
          <w:rFonts w:ascii="Arial" w:cs="Arial" w:eastAsia="Arial" w:hAnsi="Arial"/>
          <w:sz w:val="18"/>
          <w:szCs w:val="18"/>
          <w:color w:val="auto"/>
        </w:rPr>
        <w:t>” means any data, exclusive of Client Data, used in or generated by the provision of Services in connection with Cards issued to Client.”</w:t>
      </w:r>
    </w:p>
    <w:p>
      <w:pPr>
        <w:spacing w:after="0" w:line="170" w:lineRule="exact"/>
        <w:rPr>
          <w:sz w:val="20"/>
          <w:szCs w:val="20"/>
          <w:color w:val="auto"/>
        </w:rPr>
      </w:pPr>
    </w:p>
    <w:p>
      <w:pPr>
        <w:ind w:left="424" w:right="3820" w:hanging="424"/>
        <w:spacing w:after="0" w:line="375" w:lineRule="auto"/>
        <w:tabs>
          <w:tab w:leader="none" w:pos="316"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Schedule C to the Original Agreement shall be amended to add the following definitions: ““</w:t>
      </w:r>
      <w:r>
        <w:rPr>
          <w:rFonts w:ascii="Arial" w:cs="Arial" w:eastAsia="Arial" w:hAnsi="Arial"/>
          <w:sz w:val="18"/>
          <w:szCs w:val="18"/>
          <w:u w:val="single" w:color="auto"/>
          <w:color w:val="auto"/>
        </w:rPr>
        <w:t>Card Data</w:t>
      </w:r>
      <w:r>
        <w:rPr>
          <w:rFonts w:ascii="Arial" w:cs="Arial" w:eastAsia="Arial" w:hAnsi="Arial"/>
          <w:sz w:val="18"/>
          <w:szCs w:val="18"/>
          <w:color w:val="auto"/>
        </w:rPr>
        <w:t>” means the Card or Account numbers or identifiers.</w:t>
      </w:r>
    </w:p>
    <w:p>
      <w:pPr>
        <w:spacing w:after="0" w:line="1"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Cardholder Data</w:t>
      </w:r>
      <w:r>
        <w:rPr>
          <w:rFonts w:ascii="Arial" w:cs="Arial" w:eastAsia="Arial" w:hAnsi="Arial"/>
          <w:sz w:val="18"/>
          <w:szCs w:val="18"/>
          <w:color w:val="auto"/>
        </w:rPr>
        <w:t>” means all data and information, including Personal Data, related to each Consumer Cardholder.</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Consumer Cardholder</w:t>
      </w:r>
      <w:r>
        <w:rPr>
          <w:rFonts w:ascii="Arial" w:cs="Arial" w:eastAsia="Arial" w:hAnsi="Arial"/>
          <w:sz w:val="18"/>
          <w:szCs w:val="18"/>
          <w:color w:val="auto"/>
        </w:rPr>
        <w:t>” means a Cardholder that is a natural person, or such person’s authorized users of Cards.</w:t>
      </w:r>
    </w:p>
    <w:p>
      <w:pPr>
        <w:spacing w:after="0" w:line="117" w:lineRule="exact"/>
        <w:rPr>
          <w:sz w:val="20"/>
          <w:szCs w:val="20"/>
          <w:color w:val="auto"/>
        </w:rPr>
      </w:pPr>
    </w:p>
    <w:p>
      <w:pPr>
        <w:ind w:left="4" w:right="820" w:firstLine="423"/>
        <w:spacing w:after="0" w:line="277" w:lineRule="auto"/>
        <w:rPr>
          <w:sz w:val="20"/>
          <w:szCs w:val="20"/>
          <w:color w:val="auto"/>
        </w:rPr>
      </w:pPr>
      <w:r>
        <w:rPr>
          <w:rFonts w:ascii="Arial" w:cs="Arial" w:eastAsia="Arial" w:hAnsi="Arial"/>
          <w:sz w:val="18"/>
          <w:szCs w:val="18"/>
          <w:u w:val="single" w:color="auto"/>
          <w:color w:val="auto"/>
        </w:rPr>
        <w:t>“Consumer Transaction Data</w:t>
      </w:r>
      <w:r>
        <w:rPr>
          <w:rFonts w:ascii="Arial" w:cs="Arial" w:eastAsia="Arial" w:hAnsi="Arial"/>
          <w:sz w:val="18"/>
          <w:szCs w:val="18"/>
          <w:color w:val="auto"/>
        </w:rPr>
        <w:t>” means any data, exclusive of Cardholder Data, used in or generated by the provision of Services in connection with Cards issued to Consumer Cardholders.</w:t>
      </w:r>
    </w:p>
    <w:p>
      <w:pPr>
        <w:spacing w:after="0" w:line="62" w:lineRule="exact"/>
        <w:rPr>
          <w:sz w:val="20"/>
          <w:szCs w:val="20"/>
          <w:color w:val="auto"/>
        </w:rPr>
      </w:pPr>
    </w:p>
    <w:p>
      <w:pPr>
        <w:ind w:left="4" w:right="40" w:firstLine="423"/>
        <w:spacing w:after="0" w:line="277" w:lineRule="auto"/>
        <w:rPr>
          <w:sz w:val="20"/>
          <w:szCs w:val="20"/>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means any information that can be used directly or indirectly, alone or in combination with other information, to identify an individual.”</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4"/>
          </w:cols>
          <w:pgMar w:left="876" w:top="274" w:right="459" w:bottom="1440" w:gutter="0" w:footer="0" w:header="0"/>
        </w:sectPr>
      </w:pPr>
    </w:p>
    <w:bookmarkStart w:id="385" w:name="page386"/>
    <w:bookmarkEnd w:id="385"/>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 The table setting for the [***] Interchange [***] Fee percentage in the Revenue Sharing section of Schedule D to the Original Agreement shall be deleted in its entirety and replaced as follows:</w:t>
      </w:r>
    </w:p>
    <w:p>
      <w:pPr>
        <w:spacing w:after="0" w:line="192" w:lineRule="exact"/>
        <w:rPr>
          <w:sz w:val="20"/>
          <w:szCs w:val="20"/>
          <w:color w:val="auto"/>
        </w:rPr>
      </w:pPr>
    </w:p>
    <w:tbl>
      <w:tblPr>
        <w:tblLayout w:type="fixed"/>
        <w:tblInd w:w="890" w:type="dxa"/>
        <w:tblCellMar>
          <w:top w:w="0" w:type="dxa"/>
          <w:left w:w="0" w:type="dxa"/>
          <w:bottom w:w="0" w:type="dxa"/>
          <w:right w:w="0" w:type="dxa"/>
        </w:tblCellMar>
      </w:tblPr>
      <w:tr>
        <w:trPr>
          <w:trHeight w:val="139"/>
        </w:trPr>
        <w:tc>
          <w:tcPr>
            <w:tcW w:w="2060" w:type="dxa"/>
            <w:vAlign w:val="bottom"/>
            <w:tcBorders>
              <w:top w:val="single" w:sz="8" w:color="auto"/>
              <w:left w:val="single" w:sz="8" w:color="auto"/>
              <w:right w:val="single" w:sz="8" w:color="auto"/>
            </w:tcBorders>
          </w:tcPr>
          <w:p>
            <w:pPr>
              <w:ind w:left="160"/>
              <w:spacing w:after="0" w:line="139" w:lineRule="exact"/>
              <w:rPr>
                <w:sz w:val="20"/>
                <w:szCs w:val="20"/>
                <w:color w:val="auto"/>
              </w:rPr>
            </w:pPr>
            <w:r>
              <w:rPr>
                <w:rFonts w:ascii="Arial" w:cs="Arial" w:eastAsia="Arial" w:hAnsi="Arial"/>
                <w:sz w:val="14"/>
                <w:szCs w:val="14"/>
                <w:b w:val="1"/>
                <w:bCs w:val="1"/>
                <w:color w:val="auto"/>
              </w:rPr>
              <w:t>Item</w:t>
            </w:r>
          </w:p>
        </w:tc>
        <w:tc>
          <w:tcPr>
            <w:tcW w:w="5280" w:type="dxa"/>
            <w:vAlign w:val="bottom"/>
            <w:tcBorders>
              <w:top w:val="single" w:sz="8" w:color="auto"/>
              <w:right w:val="single" w:sz="8" w:color="auto"/>
            </w:tcBorders>
          </w:tcPr>
          <w:p>
            <w:pPr>
              <w:ind w:left="160"/>
              <w:spacing w:after="0" w:line="139" w:lineRule="exact"/>
              <w:rPr>
                <w:sz w:val="20"/>
                <w:szCs w:val="20"/>
                <w:color w:val="auto"/>
              </w:rPr>
            </w:pPr>
            <w:r>
              <w:rPr>
                <w:rFonts w:ascii="Arial" w:cs="Arial" w:eastAsia="Arial" w:hAnsi="Arial"/>
                <w:sz w:val="14"/>
                <w:szCs w:val="14"/>
                <w:b w:val="1"/>
                <w:bCs w:val="1"/>
                <w:color w:val="auto"/>
              </w:rPr>
              <w:t>[***] Transaction Volume</w:t>
            </w:r>
          </w:p>
        </w:tc>
        <w:tc>
          <w:tcPr>
            <w:tcW w:w="1940" w:type="dxa"/>
            <w:vAlign w:val="bottom"/>
            <w:tcBorders>
              <w:top w:val="single" w:sz="8" w:color="auto"/>
              <w:right w:val="single" w:sz="8" w:color="auto"/>
            </w:tcBorders>
          </w:tcPr>
          <w:p>
            <w:pPr>
              <w:ind w:left="160"/>
              <w:spacing w:after="0" w:line="139" w:lineRule="exact"/>
              <w:rPr>
                <w:sz w:val="20"/>
                <w:szCs w:val="20"/>
                <w:color w:val="auto"/>
              </w:rPr>
            </w:pPr>
            <w:r>
              <w:rPr>
                <w:rFonts w:ascii="Arial" w:cs="Arial" w:eastAsia="Arial" w:hAnsi="Arial"/>
                <w:sz w:val="14"/>
                <w:szCs w:val="14"/>
                <w:b w:val="1"/>
                <w:bCs w:val="1"/>
                <w:color w:val="auto"/>
              </w:rPr>
              <w:t>% of Net Interchange</w:t>
            </w:r>
          </w:p>
        </w:tc>
      </w:tr>
      <w:tr>
        <w:trPr>
          <w:trHeight w:val="185"/>
        </w:trPr>
        <w:tc>
          <w:tcPr>
            <w:tcW w:w="2060" w:type="dxa"/>
            <w:vAlign w:val="bottom"/>
            <w:tcBorders>
              <w:left w:val="single" w:sz="8" w:color="auto"/>
              <w:bottom w:val="single" w:sz="8" w:color="auto"/>
              <w:right w:val="single" w:sz="8" w:color="auto"/>
            </w:tcBorders>
          </w:tcPr>
          <w:p>
            <w:pPr>
              <w:spacing w:after="0"/>
              <w:rPr>
                <w:sz w:val="16"/>
                <w:szCs w:val="16"/>
                <w:color w:val="auto"/>
              </w:rPr>
            </w:pPr>
          </w:p>
        </w:tc>
        <w:tc>
          <w:tcPr>
            <w:tcW w:w="528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Shared with Client</w:t>
            </w:r>
          </w:p>
        </w:tc>
      </w:tr>
      <w:tr>
        <w:trPr>
          <w:trHeight w:val="209"/>
        </w:trPr>
        <w:tc>
          <w:tcPr>
            <w:tcW w:w="2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r>
        <w:trPr>
          <w:trHeight w:val="210"/>
        </w:trPr>
        <w:tc>
          <w:tcPr>
            <w:tcW w:w="2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8.</w:t>
        <w:tab/>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9. This Amendment and the Original Agreement set forth the parties’ entire agreement with respect to the subject matter thereof. Except as expressly modified hereby, the Original Agreement remains unmodified and each party’s rights and obligations thereunder remain in full force and effect. In the event of a conflict between any term or condition set forth in this Amendment and the Original Agreement, the terms and conditions of this Amendment shall govern and prevail. This Amendment may be executed in any number of counterparts, each of which shall be an original, but all of which together shall constitute one and the same agreement. Execution and delivery of this Amendment by exchange of facsimile copies bearing the facsimile signature of a party hereto or electronic email attachments bearing the facsimile or electronic signature of a party hereto shall constitute a valid and binding execution and delivery of this Amendment by such party in the same manner as an ink-signed original.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86" w:name="page387"/>
    <w:bookmarkEnd w:id="386"/>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to be executed by their duly authorized representatives as of the Amendment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QUARE</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ARQETA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Grassadonia</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Omri Dahan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Brian Grassadonia</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Omri Dahan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Square Cash Lead</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Revenue Officer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0"/>
                <w:szCs w:val="20"/>
                <w:color w:val="auto"/>
              </w:rPr>
            </w:pPr>
            <w:r>
              <w:rPr>
                <w:rFonts w:ascii="Arial" w:cs="Arial" w:eastAsia="Arial" w:hAnsi="Arial"/>
                <w:sz w:val="18"/>
                <w:szCs w:val="18"/>
                <w:color w:val="auto"/>
              </w:rPr>
              <w:t>September 1, 2016</w:t>
            </w:r>
          </w:p>
        </w:tc>
        <w:tc>
          <w:tcPr>
            <w:tcW w:w="1340" w:type="dxa"/>
            <w:vAlign w:val="bottom"/>
          </w:tcPr>
          <w:p>
            <w:pPr>
              <w:ind w:left="700"/>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0"/>
                <w:szCs w:val="20"/>
                <w:color w:val="auto"/>
              </w:rPr>
            </w:pPr>
            <w:r>
              <w:rPr>
                <w:rFonts w:ascii="Arial" w:cs="Arial" w:eastAsia="Arial" w:hAnsi="Arial"/>
                <w:sz w:val="18"/>
                <w:szCs w:val="18"/>
                <w:color w:val="auto"/>
              </w:rPr>
              <w:t>September 1, 2016</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QUARE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PPROVAL</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Crissy Solh</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Crissy Solh</w:t>
            </w:r>
          </w:p>
        </w:tc>
        <w:tc>
          <w:tcPr>
            <w:tcW w:w="13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Product Counsel</w:t>
            </w:r>
          </w:p>
        </w:tc>
        <w:tc>
          <w:tcPr>
            <w:tcW w:w="13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0"/>
                <w:szCs w:val="20"/>
                <w:color w:val="auto"/>
              </w:rPr>
            </w:pPr>
            <w:r>
              <w:rPr>
                <w:rFonts w:ascii="Arial" w:cs="Arial" w:eastAsia="Arial" w:hAnsi="Arial"/>
                <w:sz w:val="18"/>
                <w:szCs w:val="18"/>
                <w:color w:val="auto"/>
              </w:rPr>
              <w:t>September 1, 2016</w:t>
            </w: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65"/>
        </w:trPr>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Arial" w:cs="Arial" w:eastAsia="Arial" w:hAnsi="Arial"/>
                <w:sz w:val="18"/>
                <w:szCs w:val="18"/>
                <w:color w:val="auto"/>
              </w:rPr>
              <w:t>9</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87" w:name="page388"/>
    <w:bookmarkEnd w:id="38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2 TO MASTER SERVICES AGREEMENT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Amendment No. 2 to Master Services Agreement (“Amendment”) is entered into this 18</w:t>
      </w:r>
      <w:r>
        <w:rPr>
          <w:rFonts w:ascii="Arial" w:cs="Arial" w:eastAsia="Arial" w:hAnsi="Arial"/>
          <w:sz w:val="13"/>
          <w:szCs w:val="13"/>
          <w:color w:val="auto"/>
        </w:rPr>
        <w:t>th</w:t>
      </w:r>
      <w:r>
        <w:rPr>
          <w:rFonts w:ascii="Arial" w:cs="Arial" w:eastAsia="Arial" w:hAnsi="Arial"/>
          <w:sz w:val="16"/>
          <w:szCs w:val="16"/>
          <w:color w:val="auto"/>
        </w:rPr>
        <w:t xml:space="preserve"> day of October, 2016 (the “</w:t>
      </w:r>
      <w:r>
        <w:rPr>
          <w:rFonts w:ascii="Arial" w:cs="Arial" w:eastAsia="Arial" w:hAnsi="Arial"/>
          <w:sz w:val="16"/>
          <w:szCs w:val="16"/>
          <w:u w:val="single" w:color="auto"/>
          <w:color w:val="auto"/>
        </w:rPr>
        <w:t>Amendment Effective Date</w:t>
      </w:r>
      <w:r>
        <w:rPr>
          <w:rFonts w:ascii="Arial" w:cs="Arial" w:eastAsia="Arial" w:hAnsi="Arial"/>
          <w:sz w:val="16"/>
          <w:szCs w:val="16"/>
          <w:color w:val="auto"/>
        </w:rPr>
        <w:t>”) by and between Square, Inc., a Delaware corporation, whose principal address is 1455 Market Street Suite 600, San Francisco, CA 94103 (“</w:t>
      </w:r>
      <w:r>
        <w:rPr>
          <w:rFonts w:ascii="Arial" w:cs="Arial" w:eastAsia="Arial" w:hAnsi="Arial"/>
          <w:sz w:val="16"/>
          <w:szCs w:val="16"/>
          <w:u w:val="single" w:color="auto"/>
          <w:color w:val="auto"/>
        </w:rPr>
        <w:t>Client</w:t>
      </w:r>
      <w:r>
        <w:rPr>
          <w:rFonts w:ascii="Arial" w:cs="Arial" w:eastAsia="Arial" w:hAnsi="Arial"/>
          <w:sz w:val="16"/>
          <w:szCs w:val="16"/>
          <w:color w:val="auto"/>
        </w:rPr>
        <w:t>”), and Marqeta, Inc., a Delaware corporation, whose principal address is 6201-B Doyle Street, Emeryville, CA 94608 (hereinafter “</w:t>
      </w:r>
      <w:r>
        <w:rPr>
          <w:rFonts w:ascii="Arial" w:cs="Arial" w:eastAsia="Arial" w:hAnsi="Arial"/>
          <w:sz w:val="16"/>
          <w:szCs w:val="16"/>
          <w:u w:val="single" w:color="auto"/>
          <w:color w:val="auto"/>
        </w:rPr>
        <w:t>Marqeta</w:t>
      </w:r>
      <w:r>
        <w:rPr>
          <w:rFonts w:ascii="Arial" w:cs="Arial" w:eastAsia="Arial" w:hAnsi="Arial"/>
          <w:sz w:val="16"/>
          <w:szCs w:val="16"/>
          <w:color w:val="auto"/>
        </w:rPr>
        <w:t>”), and amends that certain Master Services Agreement between Client and Marqeta dated April 19, 2016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as amended by the Amendment No. 1 to Master Services Agreement between Client and Marqeta dated September 1, 2016 (</w:t>
      </w:r>
      <w:r>
        <w:rPr>
          <w:rFonts w:ascii="Arial" w:cs="Arial" w:eastAsia="Arial" w:hAnsi="Arial"/>
          <w:sz w:val="16"/>
          <w:szCs w:val="16"/>
          <w:u w:val="single" w:color="auto"/>
          <w:color w:val="auto"/>
        </w:rPr>
        <w:t>“Amendment No. 1</w:t>
      </w:r>
      <w:r>
        <w:rPr>
          <w:rFonts w:ascii="Arial" w:cs="Arial" w:eastAsia="Arial" w:hAnsi="Arial"/>
          <w:sz w:val="16"/>
          <w:szCs w:val="16"/>
          <w:color w:val="auto"/>
        </w:rPr>
        <w:t>” and collectively with the Original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herein and not otherwise defined shall have the meaning ascribed to them in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WHEREAS, Client and Marqeta desire to further amend the Agreement on the terms set forth in this Amendment.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NOW, THEREFORE, in consideration of the mutual obligations in this Amendment and for other good and valuable consideration, the receipt and sufficiency of which are acknowledged, the parties to this Amendment agree as follows:</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SCHEDULE F</w:t>
      </w:r>
      <w:r>
        <w:rPr>
          <w:sz w:val="20"/>
          <w:szCs w:val="20"/>
          <w:color w:val="auto"/>
        </w:rPr>
        <w:tab/>
      </w:r>
      <w:r>
        <w:rPr>
          <w:rFonts w:ascii="Arial" w:cs="Arial" w:eastAsia="Arial" w:hAnsi="Arial"/>
          <w:sz w:val="16"/>
          <w:szCs w:val="16"/>
          <w:color w:val="auto"/>
        </w:rPr>
        <w:t>Section 2 of Schedule B to the Agreement shall be amended to include new Sections 2(o) as follows:</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Cards Added to Digital Wallet.</w:t>
      </w:r>
      <w:r>
        <w:rPr>
          <w:rFonts w:ascii="Arial" w:cs="Arial" w:eastAsia="Arial" w:hAnsi="Arial"/>
          <w:sz w:val="18"/>
          <w:szCs w:val="18"/>
          <w:color w:val="auto"/>
        </w:rPr>
        <w:t xml:space="preserve"> Client will (i) provide Marqeta and Issuing Bank with notice promptly upon the expiration or termination of any agreement or terms with a digital wallet provider for the provisioning of Cards into a digital wallet (“</w:t>
      </w:r>
      <w:r>
        <w:rPr>
          <w:rFonts w:ascii="Arial" w:cs="Arial" w:eastAsia="Arial" w:hAnsi="Arial"/>
          <w:sz w:val="18"/>
          <w:szCs w:val="18"/>
          <w:u w:val="single" w:color="auto"/>
          <w:color w:val="auto"/>
        </w:rPr>
        <w:t>Digital Wallet Agreement</w:t>
      </w:r>
      <w:r>
        <w:rPr>
          <w:rFonts w:ascii="Arial" w:cs="Arial" w:eastAsia="Arial" w:hAnsi="Arial"/>
          <w:sz w:val="18"/>
          <w:szCs w:val="18"/>
          <w:color w:val="auto"/>
        </w:rPr>
        <w:t>”) and (2) remain in full compliance with the terms and conditions of any Digital Wallet Agreement at all times that Cards are provisioned into the Digital Wallet under this Agreement”</w:t>
      </w:r>
    </w:p>
    <w:p>
      <w:pPr>
        <w:spacing w:after="0" w:line="1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SCHEDULE G </w:t>
      </w:r>
      <w:r>
        <w:rPr>
          <w:rFonts w:ascii="Arial" w:cs="Arial" w:eastAsia="Arial" w:hAnsi="Arial"/>
          <w:sz w:val="17"/>
          <w:szCs w:val="17"/>
          <w:color w:val="auto"/>
        </w:rPr>
        <w:t>This Amendment and the Agreement set forth the parties’ entire agreement with respect to the subject matter thereof.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expressly modified hereby, the Agreement remains unmodified and each party’s rights and obligations thereunder remain in full force and effect. In the event of a conflict between any term or condition set forth in this Amendment or the Agreement the terms and conditions of this Amendment shall govern and prevail. This Amendment may be executed in any number of counterparts, each of which shall be an original, but all of which together shall constitute one and the same agreement. Execution and delivery of this Amendment by exchange of facsimile copies bearing the facsimile signature of a party hereto or electronic email attachments bearing the facsimile or electronic signature of a party hereto shall constitute a valid and binding execution and delivery of this Amendment by such party in the same manner as an ink-signed original.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80"/>
          </w:cols>
          <w:pgMar w:left="440" w:top="270" w:right="479" w:bottom="1440" w:gutter="0" w:footer="0" w:header="0"/>
        </w:sectPr>
      </w:pPr>
    </w:p>
    <w:bookmarkStart w:id="388" w:name="page389"/>
    <w:bookmarkEnd w:id="388"/>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to be executed by their duly authorized representatives as of the Amendment Effective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QUARE</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4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ARQETA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3940" w:type="dxa"/>
            <w:vAlign w:val="bottom"/>
          </w:tcPr>
          <w:p>
            <w:pPr>
              <w:spacing w:after="0"/>
              <w:rPr>
                <w:sz w:val="17"/>
                <w:szCs w:val="17"/>
                <w:color w:val="auto"/>
              </w:rPr>
            </w:pPr>
          </w:p>
        </w:tc>
      </w:tr>
      <w:tr>
        <w:trPr>
          <w:trHeight w:val="453"/>
        </w:trPr>
        <w:tc>
          <w:tcPr>
            <w:tcW w:w="64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Grassadonia</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Omri Dahan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AME</w:t>
            </w:r>
            <w:r>
              <w:rPr>
                <w:rFonts w:ascii="Arial" w:cs="Arial" w:eastAsia="Arial" w:hAnsi="Arial"/>
                <w:sz w:val="18"/>
                <w:szCs w:val="18"/>
                <w:color w:val="auto"/>
              </w:rPr>
              <w:t>:</w:t>
            </w:r>
          </w:p>
        </w:tc>
        <w:tc>
          <w:tcPr>
            <w:tcW w:w="4520" w:type="dxa"/>
            <w:vAlign w:val="bottom"/>
            <w:gridSpan w:val="2"/>
          </w:tcPr>
          <w:p>
            <w:pPr>
              <w:spacing w:after="0"/>
              <w:rPr>
                <w:sz w:val="20"/>
                <w:szCs w:val="20"/>
                <w:color w:val="auto"/>
              </w:rPr>
            </w:pPr>
            <w:r>
              <w:rPr>
                <w:rFonts w:ascii="Arial" w:cs="Arial" w:eastAsia="Arial" w:hAnsi="Arial"/>
                <w:sz w:val="18"/>
                <w:szCs w:val="18"/>
                <w:color w:val="auto"/>
              </w:rPr>
              <w:t>Brian Grassadonia</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AME</w:t>
            </w:r>
            <w:r>
              <w:rPr>
                <w:rFonts w:ascii="Arial" w:cs="Arial" w:eastAsia="Arial" w:hAnsi="Arial"/>
                <w:sz w:val="18"/>
                <w:szCs w:val="18"/>
                <w:color w:val="auto"/>
              </w:rPr>
              <w:t>:</w:t>
            </w:r>
          </w:p>
        </w:tc>
        <w:tc>
          <w:tcPr>
            <w:tcW w:w="4520" w:type="dxa"/>
            <w:vAlign w:val="bottom"/>
            <w:gridSpan w:val="2"/>
          </w:tcPr>
          <w:p>
            <w:pPr>
              <w:spacing w:after="0"/>
              <w:rPr>
                <w:sz w:val="20"/>
                <w:szCs w:val="20"/>
                <w:color w:val="auto"/>
              </w:rPr>
            </w:pPr>
            <w:r>
              <w:rPr>
                <w:rFonts w:ascii="Arial" w:cs="Arial" w:eastAsia="Arial" w:hAnsi="Arial"/>
                <w:sz w:val="18"/>
                <w:szCs w:val="18"/>
                <w:color w:val="auto"/>
              </w:rPr>
              <w:t>Omri Dahan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Square Cash Lead</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ITLE</w:t>
            </w:r>
            <w:r>
              <w:rPr>
                <w:rFonts w:ascii="Arial" w:cs="Arial" w:eastAsia="Arial" w:hAnsi="Arial"/>
                <w:sz w:val="18"/>
                <w:szCs w:val="18"/>
                <w:color w:val="auto"/>
              </w:rPr>
              <w:t>:</w:t>
            </w:r>
          </w:p>
        </w:tc>
        <w:tc>
          <w:tcPr>
            <w:tcW w:w="4520" w:type="dxa"/>
            <w:vAlign w:val="bottom"/>
            <w:gridSpan w:val="2"/>
          </w:tcPr>
          <w:p>
            <w:pPr>
              <w:spacing w:after="0"/>
              <w:rPr>
                <w:sz w:val="20"/>
                <w:szCs w:val="20"/>
                <w:color w:val="auto"/>
              </w:rPr>
            </w:pPr>
            <w:r>
              <w:rPr>
                <w:rFonts w:ascii="Arial" w:cs="Arial" w:eastAsia="Arial" w:hAnsi="Arial"/>
                <w:sz w:val="18"/>
                <w:szCs w:val="18"/>
                <w:color w:val="auto"/>
              </w:rPr>
              <w:t>Chief Revenue Officer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October 18, 2016</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October 18, 2016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QUARE</w:t>
      </w:r>
      <w:r>
        <w:rPr>
          <w:rFonts w:ascii="Arial" w:cs="Arial" w:eastAsia="Arial" w:hAnsi="Arial"/>
          <w:sz w:val="18"/>
          <w:szCs w:val="18"/>
          <w:b w:val="1"/>
          <w:bCs w:val="1"/>
          <w:u w:val="single" w:color="auto"/>
          <w:color w:val="auto"/>
        </w:rPr>
        <w:t xml:space="preserve"> L</w:t>
      </w:r>
      <w:r>
        <w:rPr>
          <w:rFonts w:ascii="Arial" w:cs="Arial" w:eastAsia="Arial" w:hAnsi="Arial"/>
          <w:sz w:val="14"/>
          <w:szCs w:val="14"/>
          <w:b w:val="1"/>
          <w:bCs w:val="1"/>
          <w:u w:val="single" w:color="auto"/>
          <w:color w:val="auto"/>
        </w:rPr>
        <w:t>EGAL</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PPROVAL</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 Crissy Solh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286321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AME</w:t>
      </w:r>
      <w:r>
        <w:rPr>
          <w:rFonts w:ascii="Arial" w:cs="Arial" w:eastAsia="Arial" w:hAnsi="Arial"/>
          <w:sz w:val="18"/>
          <w:szCs w:val="18"/>
          <w:color w:val="auto"/>
        </w:rPr>
        <w:t>:  Crissy Solh</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ITLE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Product Counsel</w:t>
      </w:r>
    </w:p>
    <w:p>
      <w:pPr>
        <w:spacing w:after="0" w:line="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October 18, 2016</w:t>
      </w:r>
    </w:p>
    <w:p>
      <w:pPr>
        <w:sectPr>
          <w:pgSz w:w="11900" w:h="16838" w:orient="portrait"/>
          <w:cols w:equalWidth="0" w:num="1">
            <w:col w:w="11020"/>
          </w:cols>
          <w:pgMar w:left="440" w:top="274" w:right="43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12/24/2016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Square,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1455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Mr. Brian Grassadonia, Square Cash Lead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Brian,</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letter addendum (“</w:t>
      </w:r>
      <w:r>
        <w:rPr>
          <w:rFonts w:ascii="Arial" w:cs="Arial" w:eastAsia="Arial" w:hAnsi="Arial"/>
          <w:sz w:val="18"/>
          <w:szCs w:val="18"/>
          <w:u w:val="single" w:color="auto"/>
          <w:color w:val="auto"/>
        </w:rPr>
        <w:t>Letter Addendum</w:t>
      </w:r>
      <w:r>
        <w:rPr>
          <w:rFonts w:ascii="Arial" w:cs="Arial" w:eastAsia="Arial" w:hAnsi="Arial"/>
          <w:sz w:val="18"/>
          <w:szCs w:val="18"/>
          <w:color w:val="auto"/>
        </w:rPr>
        <w:t>”) references that certain Master Services Agreement between Marqeta, Inc. (“</w:t>
      </w:r>
      <w:r>
        <w:rPr>
          <w:rFonts w:ascii="Arial" w:cs="Arial" w:eastAsia="Arial" w:hAnsi="Arial"/>
          <w:sz w:val="18"/>
          <w:szCs w:val="18"/>
          <w:u w:val="single" w:color="auto"/>
          <w:color w:val="auto"/>
        </w:rPr>
        <w:t>Marqeta</w:t>
      </w:r>
      <w:r>
        <w:rPr>
          <w:rFonts w:ascii="Arial" w:cs="Arial" w:eastAsia="Arial" w:hAnsi="Arial"/>
          <w:sz w:val="18"/>
          <w:szCs w:val="18"/>
          <w:color w:val="auto"/>
        </w:rPr>
        <w:t>”) and Square, Inc. (“</w:t>
      </w:r>
      <w:r>
        <w:rPr>
          <w:rFonts w:ascii="Arial" w:cs="Arial" w:eastAsia="Arial" w:hAnsi="Arial"/>
          <w:sz w:val="18"/>
          <w:szCs w:val="18"/>
          <w:u w:val="single" w:color="auto"/>
          <w:color w:val="auto"/>
        </w:rPr>
        <w:t>Square</w:t>
      </w:r>
      <w:r>
        <w:rPr>
          <w:rFonts w:ascii="Arial" w:cs="Arial" w:eastAsia="Arial" w:hAnsi="Arial"/>
          <w:sz w:val="18"/>
          <w:szCs w:val="18"/>
          <w:color w:val="auto"/>
        </w:rPr>
        <w:t>”) dated April 19, 2016 as amended by Amendment No. 1 to Master Services Agreement dated September 1, 2016 and Amendment No. 2 to Master Services Agreement dated October 18, 2016 (collectively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that are not otherwise defined herein shall be defined as set forth in the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Square has requested that Marqeta [***].</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Letter Addendum and the Agreement constitute the entire agreement between the parties and supersede any other agreements between the parties in regards to the subject matter hereof. This Letter Addendum may be executed by the parties in separate counterparts and transmitted by fax or e-mail of a scanned copy, each of which when executed shall be deemed to be an original but all of which taken together shall constitute one and the same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your agreement to the above provisions by executing a copy of this letter and returning it to me.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Marqeta,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Omri Dahan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Omri Dahan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Revenue Officer</w:t>
      </w:r>
    </w:p>
    <w:p>
      <w:pPr>
        <w:sectPr>
          <w:pgSz w:w="11900" w:h="16838" w:orient="portrait"/>
          <w:cols w:equalWidth="0" w:num="1">
            <w:col w:w="11000"/>
          </w:cols>
          <w:pgMar w:left="440" w:top="274" w:right="45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AGREED TO AND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Square,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Brian Grassandonia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Brian Grassadonia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Square Cash Lead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Square, Inc, Legal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Crissy Solh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Crissy Sohl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Legal</w:t>
      </w:r>
    </w:p>
    <w:p>
      <w:pPr>
        <w:spacing w:after="0" w:line="14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19"/>
          </w:cols>
          <w:pgMar w:left="440" w:top="274" w:right="1440" w:bottom="1440" w:gutter="0" w:footer="0" w:header="0"/>
        </w:sectPr>
      </w:pPr>
    </w:p>
    <w:bookmarkStart w:id="391" w:name="page392"/>
    <w:bookmarkEnd w:id="391"/>
    <w:p>
      <w:pPr>
        <w:jc w:val="center"/>
        <w:ind w:right="-6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3 TO MASTER SERVICES AGREEMENT</w:t>
      </w:r>
    </w:p>
    <w:p>
      <w:pPr>
        <w:spacing w:after="0" w:line="225" w:lineRule="exact"/>
        <w:rPr>
          <w:sz w:val="20"/>
          <w:szCs w:val="20"/>
          <w:color w:val="auto"/>
        </w:rPr>
      </w:pPr>
    </w:p>
    <w:p>
      <w:pPr>
        <w:ind w:left="4" w:right="160" w:firstLine="440"/>
        <w:spacing w:after="0" w:line="275" w:lineRule="auto"/>
        <w:rPr>
          <w:sz w:val="20"/>
          <w:szCs w:val="20"/>
          <w:color w:val="auto"/>
        </w:rPr>
      </w:pPr>
      <w:r>
        <w:rPr>
          <w:rFonts w:ascii="Arial" w:cs="Arial" w:eastAsia="Arial" w:hAnsi="Arial"/>
          <w:sz w:val="17"/>
          <w:szCs w:val="17"/>
          <w:color w:val="auto"/>
        </w:rPr>
        <w:t>This Amendment No. 3 to Master Services Agreement (“Third Amendment”) is made by and between Square Inc. (“Client”), and Marqeta, Inc. (“Marqeta”), and amends the Master Services Agreement dated April 19, 2016 between Client and Marqeta as amended by the Amendment No I to Master Services Agreement dated September 1, 2016, Amendment No. 2 to Master Services Agreement dated October 18, 2016 and the Letter Addendum dated December 24, 2016 (collectively the Agreement”). This Third Amendment shall be effective upon full execution by the Parties. Capitalized terms which are not defined herein shall be defined as set forth in the Agreement.</w:t>
      </w:r>
    </w:p>
    <w:p>
      <w:pPr>
        <w:spacing w:after="0" w:line="176"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For good and valuable consideration, the receipt and adequacy of which is hereby acknowledged, the parties hereto agree to make the following changes to the Agreement in order to update Marqeta’s address, remove the requirement that Client maintain a separate Client Bank Account and add Issuing Bank as an explicit third party beneficiary to the Agreement:</w:t>
      </w:r>
    </w:p>
    <w:p>
      <w:pPr>
        <w:spacing w:after="0" w:line="89" w:lineRule="exact"/>
        <w:rPr>
          <w:sz w:val="20"/>
          <w:szCs w:val="20"/>
          <w:color w:val="auto"/>
        </w:rPr>
      </w:pPr>
    </w:p>
    <w:p>
      <w:pPr>
        <w:jc w:val="both"/>
        <w:ind w:left="424" w:right="380" w:hanging="424"/>
        <w:spacing w:after="0" w:line="342" w:lineRule="auto"/>
        <w:tabs>
          <w:tab w:leader="none" w:pos="424" w:val="left"/>
        </w:tabs>
        <w:numPr>
          <w:ilvl w:val="0"/>
          <w:numId w:val="330"/>
        </w:numPr>
        <w:rPr>
          <w:rFonts w:ascii="Arial" w:cs="Arial" w:eastAsia="Arial" w:hAnsi="Arial"/>
          <w:sz w:val="16"/>
          <w:szCs w:val="16"/>
          <w:color w:val="auto"/>
        </w:rPr>
      </w:pPr>
      <w:r>
        <w:rPr>
          <w:rFonts w:ascii="Arial" w:cs="Arial" w:eastAsia="Arial" w:hAnsi="Arial"/>
          <w:sz w:val="16"/>
          <w:szCs w:val="16"/>
          <w:color w:val="auto"/>
        </w:rPr>
        <w:t>Marqeta’s principal address set forth in the opening sentence of the Agreement and the notice addresses set forth in Section 4 of Schedule A, Program Terms are all updated from “6201-B Doyle Street, Emeryville, CA 94608” to “180 Grand Avenue, 5</w:t>
      </w:r>
      <w:r>
        <w:rPr>
          <w:rFonts w:ascii="Arial" w:cs="Arial" w:eastAsia="Arial" w:hAnsi="Arial"/>
          <w:sz w:val="13"/>
          <w:szCs w:val="13"/>
          <w:color w:val="auto"/>
        </w:rPr>
        <w:t>th</w:t>
      </w:r>
      <w:r>
        <w:rPr>
          <w:rFonts w:ascii="Arial" w:cs="Arial" w:eastAsia="Arial" w:hAnsi="Arial"/>
          <w:sz w:val="16"/>
          <w:szCs w:val="16"/>
          <w:color w:val="auto"/>
        </w:rPr>
        <w:t xml:space="preserve"> Floor, Oakland, CA 94612”.</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Section 8(a) is deleted and restated as follows:</w:t>
      </w:r>
    </w:p>
    <w:p>
      <w:pPr>
        <w:spacing w:after="0" w:line="248" w:lineRule="exact"/>
        <w:rPr>
          <w:rFonts w:ascii="Arial" w:cs="Arial" w:eastAsia="Arial" w:hAnsi="Arial"/>
          <w:sz w:val="18"/>
          <w:szCs w:val="18"/>
          <w:color w:val="auto"/>
        </w:rPr>
      </w:pPr>
    </w:p>
    <w:p>
      <w:pPr>
        <w:ind w:left="964" w:hanging="532"/>
        <w:spacing w:after="0"/>
        <w:tabs>
          <w:tab w:leader="none" w:pos="964" w:val="left"/>
        </w:tabs>
        <w:numPr>
          <w:ilvl w:val="1"/>
          <w:numId w:val="330"/>
        </w:numPr>
        <w:rPr>
          <w:rFonts w:ascii="Arial" w:cs="Arial" w:eastAsia="Arial" w:hAnsi="Arial"/>
          <w:sz w:val="18"/>
          <w:szCs w:val="18"/>
          <w:color w:val="auto"/>
        </w:rPr>
      </w:pPr>
      <w:r>
        <w:rPr>
          <w:rFonts w:ascii="Arial" w:cs="Arial" w:eastAsia="Arial" w:hAnsi="Arial"/>
          <w:sz w:val="18"/>
          <w:szCs w:val="18"/>
          <w:b w:val="1"/>
          <w:bCs w:val="1"/>
          <w:color w:val="auto"/>
        </w:rPr>
        <w:t>Client Payment to Marqeta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80" w:firstLine="987"/>
        <w:spacing w:after="0" w:line="282" w:lineRule="auto"/>
        <w:tabs>
          <w:tab w:leader="none" w:pos="1345" w:val="left"/>
        </w:tabs>
        <w:numPr>
          <w:ilvl w:val="2"/>
          <w:numId w:val="330"/>
        </w:numPr>
        <w:rPr>
          <w:rFonts w:ascii="Arial" w:cs="Arial" w:eastAsia="Arial" w:hAnsi="Arial"/>
          <w:sz w:val="18"/>
          <w:szCs w:val="18"/>
          <w:color w:val="auto"/>
        </w:rPr>
      </w:pPr>
      <w:r>
        <w:rPr>
          <w:rFonts w:ascii="Arial" w:cs="Arial" w:eastAsia="Arial" w:hAnsi="Arial"/>
          <w:sz w:val="18"/>
          <w:szCs w:val="18"/>
          <w:b w:val="1"/>
          <w:bCs w:val="1"/>
          <w:color w:val="auto"/>
        </w:rPr>
        <w:t>Fees</w:t>
      </w:r>
      <w:r>
        <w:rPr>
          <w:rFonts w:ascii="Arial" w:cs="Arial" w:eastAsia="Arial" w:hAnsi="Arial"/>
          <w:sz w:val="18"/>
          <w:szCs w:val="18"/>
          <w:color w:val="auto"/>
        </w:rPr>
        <w:t>. Client shall pay Marqeta all fees for all applicable Processing Services and the [***], as applicable, as set forth in Schedule D.</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charges under Schedule D shall be computed on a [***] basis and shall be prorated for any partial [***].</w:t>
      </w:r>
    </w:p>
    <w:p>
      <w:pPr>
        <w:spacing w:after="0" w:line="161" w:lineRule="exact"/>
        <w:rPr>
          <w:rFonts w:ascii="Arial" w:cs="Arial" w:eastAsia="Arial" w:hAnsi="Arial"/>
          <w:sz w:val="18"/>
          <w:szCs w:val="18"/>
          <w:color w:val="auto"/>
        </w:rPr>
      </w:pPr>
    </w:p>
    <w:p>
      <w:pPr>
        <w:jc w:val="both"/>
        <w:ind w:left="4" w:firstLine="987"/>
        <w:spacing w:after="0" w:line="347" w:lineRule="auto"/>
        <w:tabs>
          <w:tab w:leader="none" w:pos="1395" w:val="left"/>
        </w:tabs>
        <w:numPr>
          <w:ilvl w:val="2"/>
          <w:numId w:val="330"/>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charges and fees to be paid by Client under the Agreement are exclusive of any applicable withholding, sales, use, excise,</w:t>
      </w:r>
      <w:r>
        <w:rPr>
          <w:rFonts w:ascii="Arial" w:cs="Arial" w:eastAsia="Arial" w:hAnsi="Arial"/>
          <w:sz w:val="16"/>
          <w:szCs w:val="16"/>
          <w:b w:val="1"/>
          <w:bCs w:val="1"/>
          <w:color w:val="auto"/>
        </w:rPr>
        <w:t xml:space="preserve"> </w:t>
      </w:r>
      <w:r>
        <w:rPr>
          <w:rFonts w:ascii="Arial" w:cs="Arial" w:eastAsia="Arial" w:hAnsi="Arial"/>
          <w:sz w:val="16"/>
          <w:szCs w:val="16"/>
          <w:color w:val="auto"/>
        </w:rPr>
        <w:t>value added or other taxes. Any such taxes for which Marqeta is legally responsible to collect from Client shall be billed by Marqeta and paid by Client.</w:t>
      </w:r>
    </w:p>
    <w:p>
      <w:pPr>
        <w:spacing w:after="0" w:line="115" w:lineRule="exact"/>
        <w:rPr>
          <w:rFonts w:ascii="Arial" w:cs="Arial" w:eastAsia="Arial" w:hAnsi="Arial"/>
          <w:sz w:val="16"/>
          <w:szCs w:val="16"/>
          <w:color w:val="auto"/>
        </w:rPr>
      </w:pPr>
    </w:p>
    <w:p>
      <w:pPr>
        <w:ind w:left="1444" w:hanging="453"/>
        <w:spacing w:after="0"/>
        <w:tabs>
          <w:tab w:leader="none" w:pos="1444" w:val="left"/>
        </w:tabs>
        <w:numPr>
          <w:ilvl w:val="2"/>
          <w:numId w:val="330"/>
        </w:numPr>
        <w:rPr>
          <w:rFonts w:ascii="Arial" w:cs="Arial" w:eastAsia="Arial" w:hAnsi="Arial"/>
          <w:sz w:val="18"/>
          <w:szCs w:val="18"/>
          <w:color w:val="auto"/>
        </w:rPr>
      </w:pP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987"/>
        <w:spacing w:after="0" w:line="298" w:lineRule="auto"/>
        <w:tabs>
          <w:tab w:leader="none" w:pos="1435" w:val="left"/>
        </w:tabs>
        <w:numPr>
          <w:ilvl w:val="2"/>
          <w:numId w:val="330"/>
        </w:numPr>
        <w:rPr>
          <w:rFonts w:ascii="Arial" w:cs="Arial" w:eastAsia="Arial" w:hAnsi="Arial"/>
          <w:sz w:val="16"/>
          <w:szCs w:val="16"/>
          <w:color w:val="auto"/>
        </w:rPr>
      </w:pPr>
      <w:r>
        <w:rPr>
          <w:rFonts w:ascii="Arial" w:cs="Arial" w:eastAsia="Arial" w:hAnsi="Arial"/>
          <w:sz w:val="16"/>
          <w:szCs w:val="16"/>
          <w:b w:val="1"/>
          <w:bCs w:val="1"/>
          <w:color w:val="auto"/>
        </w:rPr>
        <w:t xml:space="preserve">Statements, Invoices and Payments. </w:t>
      </w:r>
      <w:r>
        <w:rPr>
          <w:rFonts w:ascii="Arial" w:cs="Arial" w:eastAsia="Arial" w:hAnsi="Arial"/>
          <w:sz w:val="16"/>
          <w:szCs w:val="16"/>
          <w:color w:val="auto"/>
        </w:rPr>
        <w:t>After the beginning of each [***] during the Term, Marqeta shall provide Client with a dated</w:t>
      </w:r>
      <w:r>
        <w:rPr>
          <w:rFonts w:ascii="Arial" w:cs="Arial" w:eastAsia="Arial" w:hAnsi="Arial"/>
          <w:sz w:val="16"/>
          <w:szCs w:val="16"/>
          <w:b w:val="1"/>
          <w:bCs w:val="1"/>
          <w:color w:val="auto"/>
        </w:rPr>
        <w:t xml:space="preserve"> </w:t>
      </w:r>
      <w:r>
        <w:rPr>
          <w:rFonts w:ascii="Arial" w:cs="Arial" w:eastAsia="Arial" w:hAnsi="Arial"/>
          <w:sz w:val="16"/>
          <w:szCs w:val="16"/>
          <w:color w:val="auto"/>
        </w:rPr>
        <w:t>invoice setting forth the amount owed to Marqeta hereunder for the prior [***] (“</w:t>
      </w:r>
      <w:r>
        <w:rPr>
          <w:rFonts w:ascii="Arial" w:cs="Arial" w:eastAsia="Arial" w:hAnsi="Arial"/>
          <w:sz w:val="16"/>
          <w:szCs w:val="16"/>
          <w:u w:val="single" w:color="auto"/>
          <w:color w:val="auto"/>
        </w:rPr>
        <w:t>[***] Payment Amount</w:t>
      </w:r>
      <w:r>
        <w:rPr>
          <w:rFonts w:ascii="Arial" w:cs="Arial" w:eastAsia="Arial" w:hAnsi="Arial"/>
          <w:sz w:val="16"/>
          <w:szCs w:val="16"/>
          <w:color w:val="auto"/>
        </w:rPr>
        <w:t>”), which invoice shall describe in reasonable detail the basis for such amount. Marqeta shall provide the invoice to Client either in writing or via electronic or API access. Client’s payment of the [***] Payment Amount shall be due within [***] of the date of the invoice. Notwithstanding the foregoing, Section 8(a)(vi) of these General Terms and Conditions shall govern the terms related to the deposit of Settlement Funds, and Marqeta’s related statement obligations and transfer rights.</w:t>
      </w:r>
    </w:p>
    <w:p>
      <w:pPr>
        <w:spacing w:after="0" w:line="153" w:lineRule="exact"/>
        <w:rPr>
          <w:rFonts w:ascii="Arial" w:cs="Arial" w:eastAsia="Arial" w:hAnsi="Arial"/>
          <w:sz w:val="16"/>
          <w:szCs w:val="16"/>
          <w:color w:val="auto"/>
        </w:rPr>
      </w:pPr>
    </w:p>
    <w:p>
      <w:pPr>
        <w:ind w:left="1384" w:hanging="393"/>
        <w:spacing w:after="0"/>
        <w:tabs>
          <w:tab w:leader="none" w:pos="1384" w:val="left"/>
        </w:tabs>
        <w:numPr>
          <w:ilvl w:val="2"/>
          <w:numId w:val="330"/>
        </w:numPr>
        <w:rPr>
          <w:rFonts w:ascii="Arial" w:cs="Arial" w:eastAsia="Arial" w:hAnsi="Arial"/>
          <w:sz w:val="18"/>
          <w:szCs w:val="18"/>
          <w:color w:val="auto"/>
        </w:rPr>
      </w:pPr>
      <w:r>
        <w:rPr>
          <w:rFonts w:ascii="Arial" w:cs="Arial" w:eastAsia="Arial" w:hAnsi="Arial"/>
          <w:sz w:val="18"/>
          <w:szCs w:val="18"/>
          <w:b w:val="1"/>
          <w:bCs w:val="1"/>
          <w:color w:val="auto"/>
        </w:rPr>
        <w:t xml:space="preserve">Disputed Charges; Requests for Information. </w:t>
      </w:r>
      <w:r>
        <w:rPr>
          <w:rFonts w:ascii="Arial" w:cs="Arial" w:eastAsia="Arial" w:hAnsi="Arial"/>
          <w:sz w:val="18"/>
          <w:szCs w:val="18"/>
          <w:color w:val="auto"/>
        </w:rPr>
        <w:t>Client may [***].</w:t>
      </w:r>
    </w:p>
    <w:p>
      <w:pPr>
        <w:spacing w:after="0" w:line="225" w:lineRule="exact"/>
        <w:rPr>
          <w:rFonts w:ascii="Arial" w:cs="Arial" w:eastAsia="Arial" w:hAnsi="Arial"/>
          <w:sz w:val="18"/>
          <w:szCs w:val="18"/>
          <w:color w:val="auto"/>
        </w:rPr>
      </w:pPr>
    </w:p>
    <w:p>
      <w:pPr>
        <w:ind w:left="1424" w:hanging="433"/>
        <w:spacing w:after="0"/>
        <w:tabs>
          <w:tab w:leader="none" w:pos="1424" w:val="left"/>
        </w:tabs>
        <w:numPr>
          <w:ilvl w:val="2"/>
          <w:numId w:val="330"/>
        </w:numPr>
        <w:rPr>
          <w:rFonts w:ascii="Arial" w:cs="Arial" w:eastAsia="Arial" w:hAnsi="Arial"/>
          <w:sz w:val="18"/>
          <w:szCs w:val="18"/>
          <w:color w:val="auto"/>
        </w:rPr>
      </w:pPr>
      <w:r>
        <w:rPr>
          <w:rFonts w:ascii="Arial" w:cs="Arial" w:eastAsia="Arial" w:hAnsi="Arial"/>
          <w:sz w:val="18"/>
          <w:szCs w:val="18"/>
          <w:b w:val="1"/>
          <w:bCs w:val="1"/>
          <w:color w:val="auto"/>
        </w:rPr>
        <w:t xml:space="preserve">Card Funding and Settlement. </w:t>
      </w:r>
      <w:r>
        <w:rPr>
          <w:rFonts w:ascii="Arial" w:cs="Arial" w:eastAsia="Arial" w:hAnsi="Arial"/>
          <w:sz w:val="18"/>
          <w:szCs w:val="18"/>
          <w:color w:val="auto"/>
        </w:rPr>
        <w:t>Client will [***].</w:t>
      </w:r>
    </w:p>
    <w:p>
      <w:pPr>
        <w:spacing w:after="0" w:line="134" w:lineRule="exact"/>
        <w:rPr>
          <w:rFonts w:ascii="Arial" w:cs="Arial" w:eastAsia="Arial" w:hAnsi="Arial"/>
          <w:sz w:val="18"/>
          <w:szCs w:val="18"/>
          <w:color w:val="auto"/>
        </w:rPr>
      </w:pPr>
    </w:p>
    <w:p>
      <w:pPr>
        <w:ind w:left="444" w:right="3560" w:hanging="444"/>
        <w:spacing w:after="0" w:line="383" w:lineRule="auto"/>
        <w:tabs>
          <w:tab w:leader="none" w:pos="43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Section 16(i) is amended by adding the following sentence after the first sentence in the Section: Issuing Bank is a third-party beneficiary to this Agreement.</w:t>
      </w:r>
    </w:p>
    <w:p>
      <w:pPr>
        <w:ind w:left="424" w:right="160" w:hanging="424"/>
        <w:spacing w:after="0" w:line="277" w:lineRule="auto"/>
        <w:tabs>
          <w:tab w:leader="none" w:pos="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This Third Amendment and the Agreement constitute the entire agreement between the parties and supersede any other agreements between the parties in regards to the subject matter hereof.</w:t>
      </w:r>
    </w:p>
    <w:p>
      <w:pPr>
        <w:spacing w:after="0" w:line="75"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This Third Amendment may be executed by the parties in separate counterparts and transmitted by tax or e-mail of a scanned copy, each of which when executed shall be deemed to be an original but all of which taken together shall constitute one and the same Agreement.</w:t>
      </w:r>
    </w:p>
    <w:p>
      <w:pPr>
        <w:spacing w:after="0" w:line="7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4" w:right="519" w:bottom="1440" w:gutter="0" w:footer="0" w:header="0"/>
        </w:sectPr>
      </w:pPr>
    </w:p>
    <w:bookmarkStart w:id="392" w:name="page393"/>
    <w:bookmarkEnd w:id="392"/>
    <w:p>
      <w:pPr>
        <w:ind w:right="4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by their duly authorized representatives executed this Third Amendment as of the dales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Square, Inc.</w:t>
            </w:r>
          </w:p>
        </w:tc>
        <w:tc>
          <w:tcPr>
            <w:tcW w:w="70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Marqeta, Inc.</w:t>
            </w:r>
          </w:p>
        </w:tc>
      </w:tr>
      <w:tr>
        <w:trPr>
          <w:trHeight w:val="20"/>
        </w:trPr>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53"/>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r>
              <w:rPr>
                <w:rFonts w:ascii="Arial" w:cs="Arial" w:eastAsia="Arial" w:hAnsi="Arial"/>
                <w:sz w:val="18"/>
                <w:szCs w:val="18"/>
                <w:color w:val="auto"/>
              </w:rPr>
              <w:t>:</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Grassadonia</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Omri Dahan</w:t>
            </w:r>
          </w:p>
        </w:tc>
      </w:tr>
      <w:tr>
        <w:trPr>
          <w:trHeight w:val="205"/>
        </w:trPr>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Brian Grassadonia</w:t>
            </w:r>
          </w:p>
        </w:tc>
        <w:tc>
          <w:tcPr>
            <w:tcW w:w="70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Omri Dahan</w:t>
            </w:r>
          </w:p>
        </w:tc>
      </w:t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w:t>
            </w:r>
          </w:p>
        </w:tc>
        <w:tc>
          <w:tcPr>
            <w:tcW w:w="4520" w:type="dxa"/>
            <w:vAlign w:val="bottom"/>
            <w:gridSpan w:val="2"/>
          </w:tcPr>
          <w:p>
            <w:pPr>
              <w:spacing w:after="0"/>
              <w:rPr>
                <w:sz w:val="20"/>
                <w:szCs w:val="20"/>
                <w:color w:val="auto"/>
              </w:rPr>
            </w:pPr>
            <w:r>
              <w:rPr>
                <w:rFonts w:ascii="Arial" w:cs="Arial" w:eastAsia="Arial" w:hAnsi="Arial"/>
                <w:sz w:val="18"/>
                <w:szCs w:val="18"/>
                <w:color w:val="auto"/>
              </w:rPr>
              <w:t>Square Cash Lead</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Chief Revenue Officer</w:t>
            </w:r>
          </w:p>
        </w:tc>
      </w:t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tc>
        <w:tc>
          <w:tcPr>
            <w:tcW w:w="4520" w:type="dxa"/>
            <w:vAlign w:val="bottom"/>
            <w:gridSpan w:val="2"/>
          </w:tcPr>
          <w:p>
            <w:pPr>
              <w:spacing w:after="0"/>
              <w:rPr>
                <w:sz w:val="20"/>
                <w:szCs w:val="20"/>
                <w:color w:val="auto"/>
              </w:rPr>
            </w:pPr>
            <w:r>
              <w:rPr>
                <w:rFonts w:ascii="Arial" w:cs="Arial" w:eastAsia="Arial" w:hAnsi="Arial"/>
                <w:sz w:val="18"/>
                <w:szCs w:val="18"/>
                <w:color w:val="auto"/>
              </w:rPr>
              <w:t>6/29/17</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July 1, 2017</w:t>
            </w:r>
          </w:p>
        </w:tc>
      </w:tr>
      <w:tr>
        <w:trPr>
          <w:trHeight w:val="364"/>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93" w:name="page394"/>
    <w:bookmarkEnd w:id="393"/>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4 TO MASTER SERVICES AGREEMENT</w:t>
      </w:r>
    </w:p>
    <w:p>
      <w:pPr>
        <w:spacing w:after="0" w:line="225"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This Amendment No. 4 to Master Services Agreement (“</w:t>
      </w:r>
      <w:r>
        <w:rPr>
          <w:rFonts w:ascii="Arial" w:cs="Arial" w:eastAsia="Arial" w:hAnsi="Arial"/>
          <w:sz w:val="18"/>
          <w:szCs w:val="18"/>
          <w:u w:val="single" w:color="auto"/>
          <w:color w:val="auto"/>
        </w:rPr>
        <w:t>Fourth Amendment</w:t>
      </w:r>
      <w:r>
        <w:rPr>
          <w:rFonts w:ascii="Arial" w:cs="Arial" w:eastAsia="Arial" w:hAnsi="Arial"/>
          <w:sz w:val="18"/>
          <w:szCs w:val="18"/>
          <w:color w:val="auto"/>
        </w:rPr>
        <w:t>”) is made by and between Square, Inc. (“Client”), and Marqeta, Inc. (“Marqeta”), and amends the Master Services Agreement dated April 19, 2016 between Client and Marqeta as amended by the Amendment No. 1 to Master Services Agreement dated September 1, 2016, Amendment No. 2 to Master Services Agreement dated October 18, 2016, the Letter Addendum dated December 24, 2016, and Amendment No. 3 to Master Services Agreement dated June 30,2017 (collectively the “</w:t>
      </w:r>
      <w:r>
        <w:rPr>
          <w:rFonts w:ascii="Arial" w:cs="Arial" w:eastAsia="Arial" w:hAnsi="Arial"/>
          <w:sz w:val="18"/>
          <w:szCs w:val="18"/>
          <w:u w:val="single" w:color="auto"/>
          <w:color w:val="auto"/>
        </w:rPr>
        <w:t>Agreement”</w:t>
      </w:r>
      <w:r>
        <w:rPr>
          <w:rFonts w:ascii="Arial" w:cs="Arial" w:eastAsia="Arial" w:hAnsi="Arial"/>
          <w:sz w:val="18"/>
          <w:szCs w:val="18"/>
          <w:color w:val="auto"/>
        </w:rPr>
        <w:t>). This Fourth Amendment shall be effective upon full execution by the Parties. Capitalized terms which are not defined herein shall be defined as set forth in the Agreement.</w:t>
      </w:r>
    </w:p>
    <w:p>
      <w:pPr>
        <w:spacing w:after="0" w:line="192"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For good and valuable consideration, the receipt and adequacy of which is hereby acknowledged, the parties hereto agree to make the following changes to the Agreement in order to update Marqeta’s address, remove the requirement that Client maintain a separate Client Bank Account and add Issuing Bank as an explicit third party beneficiary to the Agreement:</w:t>
      </w:r>
    </w:p>
    <w:p>
      <w:pPr>
        <w:spacing w:after="0" w:line="211" w:lineRule="exact"/>
        <w:rPr>
          <w:sz w:val="20"/>
          <w:szCs w:val="20"/>
          <w:color w:val="auto"/>
        </w:rPr>
      </w:pPr>
    </w:p>
    <w:p>
      <w:pPr>
        <w:ind w:left="424"/>
        <w:spacing w:after="0"/>
        <w:tabs>
          <w:tab w:leader="none" w:pos="724"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Section8(a)(vi) is deleted and restated as follows:</w:t>
      </w:r>
    </w:p>
    <w:p>
      <w:pPr>
        <w:spacing w:after="0" w:line="113" w:lineRule="exact"/>
        <w:rPr>
          <w:sz w:val="20"/>
          <w:szCs w:val="20"/>
          <w:color w:val="auto"/>
        </w:rPr>
      </w:pPr>
    </w:p>
    <w:p>
      <w:pPr>
        <w:ind w:left="764"/>
        <w:spacing w:after="0"/>
        <w:rPr>
          <w:sz w:val="20"/>
          <w:szCs w:val="20"/>
          <w:color w:val="auto"/>
        </w:rPr>
      </w:pPr>
      <w:r>
        <w:rPr>
          <w:rFonts w:ascii="Arial" w:cs="Arial" w:eastAsia="Arial" w:hAnsi="Arial"/>
          <w:sz w:val="18"/>
          <w:szCs w:val="18"/>
          <w:b w:val="1"/>
          <w:bCs w:val="1"/>
          <w:color w:val="auto"/>
        </w:rPr>
        <w:t xml:space="preserve">“(vi) Card Funding and Settlement. </w:t>
      </w:r>
      <w:r>
        <w:rPr>
          <w:rFonts w:ascii="Arial" w:cs="Arial" w:eastAsia="Arial" w:hAnsi="Arial"/>
          <w:sz w:val="18"/>
          <w:szCs w:val="18"/>
          <w:color w:val="auto"/>
        </w:rPr>
        <w:t>Client will [***].</w:t>
      </w:r>
    </w:p>
    <w:p>
      <w:pPr>
        <w:spacing w:after="0" w:line="135" w:lineRule="exact"/>
        <w:rPr>
          <w:sz w:val="20"/>
          <w:szCs w:val="20"/>
          <w:color w:val="auto"/>
        </w:rPr>
      </w:pPr>
    </w:p>
    <w:p>
      <w:pPr>
        <w:ind w:left="424" w:right="160" w:hanging="424"/>
        <w:spacing w:after="0" w:line="277" w:lineRule="auto"/>
        <w:tabs>
          <w:tab w:leader="none" w:pos="42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This Fourth Amendment and the Agreement constitute the entire agreement between the parties and supersede any other agreements between the parties in regards to the subject matter hereof.</w:t>
      </w:r>
    </w:p>
    <w:p>
      <w:pPr>
        <w:spacing w:after="0" w:line="75" w:lineRule="exact"/>
        <w:rPr>
          <w:rFonts w:ascii="Arial" w:cs="Arial" w:eastAsia="Arial" w:hAnsi="Arial"/>
          <w:sz w:val="18"/>
          <w:szCs w:val="18"/>
          <w:color w:val="auto"/>
        </w:rPr>
      </w:pPr>
    </w:p>
    <w:p>
      <w:pPr>
        <w:ind w:left="424" w:right="500" w:hanging="424"/>
        <w:spacing w:after="0" w:line="342" w:lineRule="auto"/>
        <w:tabs>
          <w:tab w:leader="none" w:pos="424"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This Fourth Amendment may be executed by the parties in separate counterparts and transmitted by fax or e-mail of a scanned copy, each of which when executed shall be deemed to be an original but al! of which taken together shall constitute one and the same Agreement.</w:t>
      </w:r>
    </w:p>
    <w:p>
      <w:pPr>
        <w:spacing w:after="0" w:line="124"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IN WITNESS WHEREOF, the parties have by their duly authorized representatives executed this Fourth Amendment as of the dates set forth below.</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Square, Inc.</w:t>
            </w:r>
          </w:p>
        </w:tc>
        <w:tc>
          <w:tcPr>
            <w:tcW w:w="70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Marqeta, Inc.</w:t>
            </w:r>
          </w:p>
        </w:tc>
      </w:tr>
      <w:tr>
        <w:trPr>
          <w:trHeight w:val="20"/>
        </w:trPr>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53"/>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Grassadonia</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Omri Dahan</w:t>
            </w:r>
          </w:p>
        </w:tc>
      </w:tr>
      <w:tr>
        <w:trPr>
          <w:trHeight w:val="205"/>
        </w:trPr>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Brian Grassadonia</w:t>
            </w:r>
          </w:p>
        </w:tc>
        <w:tc>
          <w:tcPr>
            <w:tcW w:w="70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Omri Dahan</w:t>
            </w:r>
          </w:p>
        </w:tc>
      </w:t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Square Cash Lead</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Chief Revenue Officer</w:t>
            </w:r>
          </w:p>
        </w:tc>
      </w:t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8/2/17</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August 3, 2017</w:t>
            </w:r>
          </w:p>
        </w:tc>
      </w:tr>
      <w:tr>
        <w:trPr>
          <w:trHeight w:val="365"/>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5 TO MASTER SERVICES AGREEMENT</w:t>
      </w:r>
    </w:p>
    <w:p>
      <w:pPr>
        <w:spacing w:after="0" w:line="225"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This Amendment No. 5 to Master Services Agreement (“</w:t>
      </w:r>
      <w:r>
        <w:rPr>
          <w:rFonts w:ascii="Arial" w:cs="Arial" w:eastAsia="Arial" w:hAnsi="Arial"/>
          <w:sz w:val="16"/>
          <w:szCs w:val="16"/>
          <w:u w:val="single" w:color="auto"/>
          <w:color w:val="auto"/>
        </w:rPr>
        <w:t>Fifth Amendment</w:t>
      </w:r>
      <w:r>
        <w:rPr>
          <w:rFonts w:ascii="Arial" w:cs="Arial" w:eastAsia="Arial" w:hAnsi="Arial"/>
          <w:sz w:val="16"/>
          <w:szCs w:val="16"/>
          <w:color w:val="auto"/>
        </w:rPr>
        <w:t>”) is made by and between Square, Inc. (“</w:t>
      </w:r>
      <w:r>
        <w:rPr>
          <w:rFonts w:ascii="Arial" w:cs="Arial" w:eastAsia="Arial" w:hAnsi="Arial"/>
          <w:sz w:val="16"/>
          <w:szCs w:val="16"/>
          <w:u w:val="single" w:color="auto"/>
          <w:color w:val="auto"/>
        </w:rPr>
        <w:t>Client</w:t>
      </w:r>
      <w:r>
        <w:rPr>
          <w:rFonts w:ascii="Arial" w:cs="Arial" w:eastAsia="Arial" w:hAnsi="Arial"/>
          <w:sz w:val="16"/>
          <w:szCs w:val="16"/>
          <w:color w:val="auto"/>
        </w:rPr>
        <w:t>”), and Marqeta, Inc. (“</w:t>
      </w:r>
      <w:r>
        <w:rPr>
          <w:rFonts w:ascii="Arial" w:cs="Arial" w:eastAsia="Arial" w:hAnsi="Arial"/>
          <w:sz w:val="16"/>
          <w:szCs w:val="16"/>
          <w:u w:val="single" w:color="auto"/>
          <w:color w:val="auto"/>
        </w:rPr>
        <w:t>Marqeta</w:t>
      </w:r>
      <w:r>
        <w:rPr>
          <w:rFonts w:ascii="Arial" w:cs="Arial" w:eastAsia="Arial" w:hAnsi="Arial"/>
          <w:sz w:val="16"/>
          <w:szCs w:val="16"/>
          <w:color w:val="auto"/>
        </w:rPr>
        <w:t>”), and amends the Master Services Agreement dated April 19, 2016 between Client and Marqeta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and Amendment No. 4 to Master Services Agreement executed by Client on or about August 2</w:t>
      </w:r>
      <w:r>
        <w:rPr>
          <w:rFonts w:ascii="Arial" w:cs="Arial" w:eastAsia="Arial" w:hAnsi="Arial"/>
          <w:sz w:val="13"/>
          <w:szCs w:val="13"/>
          <w:color w:val="auto"/>
        </w:rPr>
        <w:t>nd</w:t>
      </w:r>
      <w:r>
        <w:rPr>
          <w:rFonts w:ascii="Arial" w:cs="Arial" w:eastAsia="Arial" w:hAnsi="Arial"/>
          <w:sz w:val="16"/>
          <w:szCs w:val="16"/>
          <w:color w:val="auto"/>
        </w:rPr>
        <w:t>, 2017 (collectively the “</w:t>
      </w:r>
      <w:r>
        <w:rPr>
          <w:rFonts w:ascii="Arial" w:cs="Arial" w:eastAsia="Arial" w:hAnsi="Arial"/>
          <w:sz w:val="16"/>
          <w:szCs w:val="16"/>
          <w:u w:val="single" w:color="auto"/>
          <w:color w:val="auto"/>
        </w:rPr>
        <w:t>Agreement</w:t>
      </w:r>
      <w:r>
        <w:rPr>
          <w:rFonts w:ascii="Arial" w:cs="Arial" w:eastAsia="Arial" w:hAnsi="Arial"/>
          <w:sz w:val="16"/>
          <w:szCs w:val="16"/>
          <w:color w:val="auto"/>
        </w:rPr>
        <w:t>”). This Fifth Amendment shall be effective upon full execution by the Parties. Capitalized terms which are not defined herein shall be defined as set forth in the Agreement.</w:t>
      </w:r>
    </w:p>
    <w:p>
      <w:pPr>
        <w:spacing w:after="0" w:line="16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For good and valuable consideration, the receipt and adequacy of which is hereby acknowledged, the parties hereto agree to make the following changes to the Agreement:</w:t>
      </w:r>
    </w:p>
    <w:p>
      <w:pPr>
        <w:spacing w:after="0" w:line="170" w:lineRule="exact"/>
        <w:rPr>
          <w:sz w:val="20"/>
          <w:szCs w:val="20"/>
          <w:color w:val="auto"/>
        </w:rPr>
      </w:pPr>
    </w:p>
    <w:p>
      <w:pPr>
        <w:ind w:left="760" w:hanging="324"/>
        <w:spacing w:after="0"/>
        <w:tabs>
          <w:tab w:leader="none" w:pos="7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Schedule C to the Original Agreement shall be amended to add the following 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Cardholder</w:t>
      </w:r>
      <w:r>
        <w:rPr>
          <w:rFonts w:ascii="Arial" w:cs="Arial" w:eastAsia="Arial" w:hAnsi="Arial"/>
          <w:sz w:val="17"/>
          <w:szCs w:val="17"/>
          <w:color w:val="auto"/>
        </w:rPr>
        <w:t>” means a Cardholder that is an Entity that is using the Card for purposes related to the Cardholder’s business.</w:t>
      </w:r>
    </w:p>
    <w:p>
      <w:pPr>
        <w:spacing w:after="0" w:line="237" w:lineRule="exact"/>
        <w:rPr>
          <w:sz w:val="20"/>
          <w:szCs w:val="20"/>
          <w:color w:val="auto"/>
        </w:rPr>
      </w:pPr>
    </w:p>
    <w:p>
      <w:pPr>
        <w:ind w:right="8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Transaction Data</w:t>
      </w:r>
      <w:r>
        <w:rPr>
          <w:rFonts w:ascii="Arial" w:cs="Arial" w:eastAsia="Arial" w:hAnsi="Arial"/>
          <w:sz w:val="18"/>
          <w:szCs w:val="18"/>
          <w:color w:val="auto"/>
        </w:rPr>
        <w:t>” means any data, exclusive of Cardholder Data, used in or generated by the provision of Services in connection with Cards issued to Business Cardholders.</w:t>
      </w:r>
    </w:p>
    <w:p>
      <w:pPr>
        <w:spacing w:after="0" w:line="170" w:lineRule="exact"/>
        <w:rPr>
          <w:sz w:val="20"/>
          <w:szCs w:val="20"/>
          <w:color w:val="auto"/>
        </w:rPr>
      </w:pPr>
    </w:p>
    <w:p>
      <w:pPr>
        <w:ind w:right="700" w:firstLine="436"/>
        <w:spacing w:after="0" w:line="308" w:lineRule="auto"/>
        <w:tabs>
          <w:tab w:leader="none" w:pos="755" w:val="left"/>
        </w:tabs>
        <w:numPr>
          <w:ilvl w:val="0"/>
          <w:numId w:val="333"/>
        </w:numPr>
        <w:rPr>
          <w:rFonts w:ascii="Arial" w:cs="Arial" w:eastAsia="Arial" w:hAnsi="Arial"/>
          <w:sz w:val="17"/>
          <w:szCs w:val="17"/>
          <w:color w:val="auto"/>
        </w:rPr>
      </w:pPr>
      <w:r>
        <w:rPr>
          <w:rFonts w:ascii="Arial" w:cs="Arial" w:eastAsia="Arial" w:hAnsi="Arial"/>
          <w:sz w:val="17"/>
          <w:szCs w:val="17"/>
          <w:color w:val="auto"/>
        </w:rPr>
        <w:t>For the purposes of this Agreement Business Cardholders will be treated in the same manner as Consumer Cardholders and Business Transaction Data will be treated in the same manner as Consumer Transaction Data, unless otherwise provided herein.</w:t>
      </w:r>
    </w:p>
    <w:p>
      <w:pPr>
        <w:spacing w:after="0" w:line="146" w:lineRule="exact"/>
        <w:rPr>
          <w:rFonts w:ascii="Arial" w:cs="Arial" w:eastAsia="Arial" w:hAnsi="Arial"/>
          <w:sz w:val="17"/>
          <w:szCs w:val="17"/>
          <w:color w:val="auto"/>
        </w:rPr>
      </w:pPr>
    </w:p>
    <w:p>
      <w:pPr>
        <w:ind w:right="580" w:firstLine="436"/>
        <w:spacing w:after="0" w:line="308" w:lineRule="auto"/>
        <w:tabs>
          <w:tab w:leader="none" w:pos="755" w:val="left"/>
        </w:tabs>
        <w:numPr>
          <w:ilvl w:val="0"/>
          <w:numId w:val="333"/>
        </w:numPr>
        <w:rPr>
          <w:rFonts w:ascii="Arial" w:cs="Arial" w:eastAsia="Arial" w:hAnsi="Arial"/>
          <w:sz w:val="17"/>
          <w:szCs w:val="17"/>
          <w:color w:val="auto"/>
        </w:rPr>
      </w:pPr>
      <w:r>
        <w:rPr>
          <w:rFonts w:ascii="Arial" w:cs="Arial" w:eastAsia="Arial" w:hAnsi="Arial"/>
          <w:sz w:val="17"/>
          <w:szCs w:val="17"/>
          <w:color w:val="auto"/>
        </w:rPr>
        <w:t>Schedule D to the Agreement is amended by deleting the table setting forth the [***] Interchange [***] Fee percentage in the Revenue Sharing Section as added by Amendment No. 1 to Master Services Agreement and replacing it with the following new language:</w:t>
      </w:r>
    </w:p>
    <w:p>
      <w:pPr>
        <w:spacing w:after="0" w:line="168" w:lineRule="exact"/>
        <w:rPr>
          <w:sz w:val="20"/>
          <w:szCs w:val="20"/>
          <w:color w:val="auto"/>
        </w:rPr>
      </w:pPr>
    </w:p>
    <w:tbl>
      <w:tblPr>
        <w:tblLayout w:type="fixed"/>
        <w:tblInd w:w="1330" w:type="dxa"/>
        <w:tblCellMar>
          <w:top w:w="0" w:type="dxa"/>
          <w:left w:w="0" w:type="dxa"/>
          <w:bottom w:w="0" w:type="dxa"/>
          <w:right w:w="0" w:type="dxa"/>
        </w:tblCellMar>
      </w:tblPr>
      <w:tr>
        <w:trPr>
          <w:trHeight w:val="162"/>
        </w:trPr>
        <w:tc>
          <w:tcPr>
            <w:tcW w:w="4300" w:type="dxa"/>
            <w:vAlign w:val="bottom"/>
            <w:tcBorders>
              <w:top w:val="single" w:sz="8" w:color="auto"/>
              <w:left w:val="single" w:sz="8" w:color="auto"/>
              <w:bottom w:val="single" w:sz="8" w:color="auto"/>
              <w:right w:val="single" w:sz="8" w:color="auto"/>
            </w:tcBorders>
          </w:tcPr>
          <w:p>
            <w:pPr>
              <w:jc w:val="right"/>
              <w:ind w:right="1855"/>
              <w:spacing w:after="0"/>
              <w:rPr>
                <w:sz w:val="20"/>
                <w:szCs w:val="20"/>
                <w:color w:val="auto"/>
              </w:rPr>
            </w:pPr>
            <w:r>
              <w:rPr>
                <w:rFonts w:ascii="Arial" w:cs="Arial" w:eastAsia="Arial" w:hAnsi="Arial"/>
                <w:sz w:val="14"/>
                <w:szCs w:val="14"/>
                <w:b w:val="1"/>
                <w:bCs w:val="1"/>
                <w:color w:val="auto"/>
              </w:rPr>
              <w:t>Item</w:t>
            </w:r>
          </w:p>
        </w:tc>
        <w:tc>
          <w:tcPr>
            <w:tcW w:w="4080" w:type="dxa"/>
            <w:vAlign w:val="bottom"/>
            <w:tcBorders>
              <w:top w:val="single" w:sz="8" w:color="auto"/>
              <w:bottom w:val="single" w:sz="8" w:color="auto"/>
              <w:right w:val="single" w:sz="8" w:color="auto"/>
            </w:tcBorders>
          </w:tcPr>
          <w:p>
            <w:pPr>
              <w:jc w:val="center"/>
              <w:ind w:left="75"/>
              <w:spacing w:after="0"/>
              <w:rPr>
                <w:sz w:val="20"/>
                <w:szCs w:val="20"/>
                <w:color w:val="auto"/>
              </w:rPr>
            </w:pPr>
            <w:r>
              <w:rPr>
                <w:rFonts w:ascii="Arial" w:cs="Arial" w:eastAsia="Arial" w:hAnsi="Arial"/>
                <w:sz w:val="14"/>
                <w:szCs w:val="14"/>
                <w:b w:val="1"/>
                <w:bCs w:val="1"/>
                <w:color w:val="auto"/>
                <w:w w:val="94"/>
              </w:rPr>
              <w:t>% of Net Interchange Shared with Client</w:t>
            </w:r>
          </w:p>
        </w:tc>
      </w:tr>
      <w:tr>
        <w:trPr>
          <w:trHeight w:val="209"/>
        </w:trPr>
        <w:tc>
          <w:tcPr>
            <w:tcW w:w="4300" w:type="dxa"/>
            <w:vAlign w:val="bottom"/>
            <w:tcBorders>
              <w:left w:val="single" w:sz="8" w:color="auto"/>
              <w:bottom w:val="single" w:sz="8" w:color="auto"/>
              <w:right w:val="single" w:sz="8" w:color="auto"/>
            </w:tcBorders>
          </w:tcPr>
          <w:p>
            <w:pPr>
              <w:jc w:val="right"/>
              <w:ind w:right="3675"/>
              <w:spacing w:after="0"/>
              <w:rPr>
                <w:sz w:val="20"/>
                <w:szCs w:val="20"/>
                <w:color w:val="auto"/>
              </w:rPr>
            </w:pPr>
            <w:r>
              <w:rPr>
                <w:rFonts w:ascii="Arial" w:cs="Arial" w:eastAsia="Arial" w:hAnsi="Arial"/>
                <w:sz w:val="18"/>
                <w:szCs w:val="18"/>
                <w:b w:val="1"/>
                <w:bCs w:val="1"/>
                <w:color w:val="auto"/>
              </w:rPr>
              <w:t>[***]</w:t>
            </w:r>
          </w:p>
        </w:tc>
        <w:tc>
          <w:tcPr>
            <w:tcW w:w="408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b w:val="1"/>
                <w:bCs w:val="1"/>
                <w:color w:val="auto"/>
              </w:rPr>
              <w:t>[***]</w:t>
            </w:r>
          </w:p>
        </w:tc>
      </w:tr>
      <w:tr>
        <w:trPr>
          <w:trHeight w:val="209"/>
        </w:trPr>
        <w:tc>
          <w:tcPr>
            <w:tcW w:w="4300" w:type="dxa"/>
            <w:vAlign w:val="bottom"/>
            <w:tcBorders>
              <w:left w:val="single" w:sz="8" w:color="auto"/>
              <w:bottom w:val="single" w:sz="8" w:color="auto"/>
              <w:right w:val="single" w:sz="8" w:color="auto"/>
            </w:tcBorders>
          </w:tcPr>
          <w:p>
            <w:pPr>
              <w:jc w:val="right"/>
              <w:ind w:right="3675"/>
              <w:spacing w:after="0"/>
              <w:rPr>
                <w:sz w:val="20"/>
                <w:szCs w:val="20"/>
                <w:color w:val="auto"/>
              </w:rPr>
            </w:pPr>
            <w:r>
              <w:rPr>
                <w:rFonts w:ascii="Arial" w:cs="Arial" w:eastAsia="Arial" w:hAnsi="Arial"/>
                <w:sz w:val="18"/>
                <w:szCs w:val="18"/>
                <w:b w:val="1"/>
                <w:bCs w:val="1"/>
                <w:color w:val="auto"/>
              </w:rPr>
              <w:t>[***]</w:t>
            </w:r>
          </w:p>
        </w:tc>
        <w:tc>
          <w:tcPr>
            <w:tcW w:w="408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b w:val="1"/>
                <w:bCs w:val="1"/>
                <w:color w:val="auto"/>
              </w:rPr>
              <w:t>[***]</w:t>
            </w:r>
          </w:p>
        </w:tc>
      </w:tr>
      <w:tr>
        <w:trPr>
          <w:trHeight w:val="210"/>
        </w:trPr>
        <w:tc>
          <w:tcPr>
            <w:tcW w:w="4300" w:type="dxa"/>
            <w:vAlign w:val="bottom"/>
            <w:tcBorders>
              <w:left w:val="single" w:sz="8" w:color="auto"/>
              <w:bottom w:val="single" w:sz="8" w:color="auto"/>
              <w:right w:val="single" w:sz="8" w:color="auto"/>
            </w:tcBorders>
          </w:tcPr>
          <w:p>
            <w:pPr>
              <w:jc w:val="right"/>
              <w:ind w:right="3675"/>
              <w:spacing w:after="0"/>
              <w:rPr>
                <w:sz w:val="20"/>
                <w:szCs w:val="20"/>
                <w:color w:val="auto"/>
              </w:rPr>
            </w:pPr>
            <w:r>
              <w:rPr>
                <w:rFonts w:ascii="Arial" w:cs="Arial" w:eastAsia="Arial" w:hAnsi="Arial"/>
                <w:sz w:val="18"/>
                <w:szCs w:val="18"/>
                <w:b w:val="1"/>
                <w:bCs w:val="1"/>
                <w:color w:val="auto"/>
              </w:rPr>
              <w:t>[***]</w:t>
            </w:r>
          </w:p>
        </w:tc>
        <w:tc>
          <w:tcPr>
            <w:tcW w:w="408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ind w:right="220" w:firstLine="436"/>
        <w:spacing w:after="0" w:line="277" w:lineRule="auto"/>
        <w:tabs>
          <w:tab w:leader="none" w:pos="75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This Fifth Amendment and the Agreement constitute the entire agreement between the parties and supersede any other agreements between the parties in regards to the subject matter hereof.</w:t>
      </w:r>
    </w:p>
    <w:p>
      <w:pPr>
        <w:spacing w:after="0" w:line="170" w:lineRule="exact"/>
        <w:rPr>
          <w:rFonts w:ascii="Arial" w:cs="Arial" w:eastAsia="Arial" w:hAnsi="Arial"/>
          <w:sz w:val="18"/>
          <w:szCs w:val="18"/>
          <w:color w:val="auto"/>
        </w:rPr>
      </w:pPr>
    </w:p>
    <w:p>
      <w:pPr>
        <w:ind w:right="300" w:firstLine="436"/>
        <w:spacing w:after="0" w:line="308" w:lineRule="auto"/>
        <w:tabs>
          <w:tab w:leader="none" w:pos="752"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This Fifth Amendment may be executed by the parties in separate counterparts and transmitted by fax or e-mail of a scanned copy, each of which when executed shall be deemed to be an original but all of which taken together shall constitute one and the same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WITNESS WHEREOF, the parties have by their duly authorized representatives executed this Fifth Amendment as of the dates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Square, Inc.</w:t>
            </w:r>
          </w:p>
        </w:tc>
        <w:tc>
          <w:tcPr>
            <w:tcW w:w="70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Marqeta, Inc.</w:t>
            </w:r>
          </w:p>
        </w:tc>
      </w:tr>
      <w:tr>
        <w:trPr>
          <w:trHeight w:val="20"/>
        </w:trPr>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53"/>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Grassadonia</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Omri Dahan</w:t>
            </w:r>
          </w:p>
        </w:tc>
      </w:tr>
      <w:tr>
        <w:trPr>
          <w:trHeight w:val="205"/>
        </w:trPr>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Brian Grassadonia</w:t>
            </w:r>
          </w:p>
        </w:tc>
        <w:tc>
          <w:tcPr>
            <w:tcW w:w="70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Omri Dahan</w:t>
            </w:r>
          </w:p>
        </w:tc>
      </w:t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Square Cash Lead</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Chief Revenue Officer</w:t>
            </w:r>
          </w:p>
        </w:tc>
      </w:t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9/29/2017</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October 1, 2017</w:t>
            </w:r>
          </w:p>
        </w:tc>
      </w:tr>
      <w:tr>
        <w:trPr>
          <w:trHeight w:val="365"/>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95" w:name="page396"/>
    <w:bookmarkEnd w:id="39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6 TO MASTER SERVICES AGREEMENT</w:t>
      </w:r>
    </w:p>
    <w:p>
      <w:pPr>
        <w:spacing w:after="0" w:line="229"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This Amendment No. 6 to Master Services Agreement (“</w:t>
      </w:r>
      <w:r>
        <w:rPr>
          <w:rFonts w:ascii="Arial" w:cs="Arial" w:eastAsia="Arial" w:hAnsi="Arial"/>
          <w:sz w:val="17"/>
          <w:szCs w:val="17"/>
          <w:u w:val="single" w:color="auto"/>
          <w:color w:val="auto"/>
        </w:rPr>
        <w:t>Amendment</w:t>
      </w:r>
      <w:r>
        <w:rPr>
          <w:rFonts w:ascii="Arial" w:cs="Arial" w:eastAsia="Arial" w:hAnsi="Arial"/>
          <w:sz w:val="17"/>
          <w:szCs w:val="17"/>
          <w:color w:val="auto"/>
        </w:rPr>
        <w:t>”) is effective as of April 1, 2018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by and between Square, Inc., a Delaware corporation, whose principal address is 1455 Market Street Suite 600, San Francisco, CA 94103 (“</w:t>
      </w:r>
      <w:r>
        <w:rPr>
          <w:rFonts w:ascii="Arial" w:cs="Arial" w:eastAsia="Arial" w:hAnsi="Arial"/>
          <w:sz w:val="17"/>
          <w:szCs w:val="17"/>
          <w:u w:val="single" w:color="auto"/>
          <w:color w:val="auto"/>
        </w:rPr>
        <w:t>Client</w:t>
      </w:r>
      <w:r>
        <w:rPr>
          <w:rFonts w:ascii="Arial" w:cs="Arial" w:eastAsia="Arial" w:hAnsi="Arial"/>
          <w:sz w:val="17"/>
          <w:szCs w:val="17"/>
          <w:color w:val="auto"/>
        </w:rPr>
        <w:t>”), and Marqeta, Inc., a Delaware corporation, whose principal address is 180 Grand Avenue, 5th Floor, Oakland, CA 94612 (hereinafter “</w:t>
      </w:r>
      <w:r>
        <w:rPr>
          <w:rFonts w:ascii="Arial" w:cs="Arial" w:eastAsia="Arial" w:hAnsi="Arial"/>
          <w:sz w:val="17"/>
          <w:szCs w:val="17"/>
          <w:u w:val="single" w:color="auto"/>
          <w:color w:val="auto"/>
        </w:rPr>
        <w:t>Marqeta</w:t>
      </w:r>
      <w:r>
        <w:rPr>
          <w:rFonts w:ascii="Arial" w:cs="Arial" w:eastAsia="Arial" w:hAnsi="Arial"/>
          <w:sz w:val="17"/>
          <w:szCs w:val="17"/>
          <w:color w:val="auto"/>
        </w:rPr>
        <w:t>”, and together with Client, the “</w:t>
      </w:r>
      <w:r>
        <w:rPr>
          <w:rFonts w:ascii="Arial" w:cs="Arial" w:eastAsia="Arial" w:hAnsi="Arial"/>
          <w:sz w:val="17"/>
          <w:szCs w:val="17"/>
          <w:u w:val="single" w:color="auto"/>
          <w:color w:val="auto"/>
        </w:rPr>
        <w:t>Parties</w:t>
      </w:r>
      <w:r>
        <w:rPr>
          <w:rFonts w:ascii="Arial" w:cs="Arial" w:eastAsia="Arial" w:hAnsi="Arial"/>
          <w:sz w:val="17"/>
          <w:szCs w:val="17"/>
          <w:color w:val="auto"/>
        </w:rPr>
        <w:t>”), and amends that certain Master Services Agreement between Client and Marqeta dated April 19, 2016 and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Amendment No. 4 to Master Services Agreement executed by Client on or about August 2, 2017, and Amendment No. 5 to Master Services Agreement dated October 1, 2017, (the “</w:t>
      </w:r>
      <w:r>
        <w:rPr>
          <w:rFonts w:ascii="Arial" w:cs="Arial" w:eastAsia="Arial" w:hAnsi="Arial"/>
          <w:sz w:val="17"/>
          <w:szCs w:val="17"/>
          <w:u w:val="single" w:color="auto"/>
          <w:color w:val="auto"/>
        </w:rPr>
        <w:t>Original Agreement</w:t>
      </w:r>
      <w:r>
        <w:rPr>
          <w:rFonts w:ascii="Arial" w:cs="Arial" w:eastAsia="Arial" w:hAnsi="Arial"/>
          <w:sz w:val="17"/>
          <w:szCs w:val="17"/>
          <w:color w:val="auto"/>
        </w:rPr>
        <w:t>”). Capitalized terms used herein and not otherwise defined shall have the meaning ascribed to them in the Original Agreement.</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Client and Marqeta desire to memorialize certain terms and amend the Original Agreement on the terms set forth in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207" w:lineRule="exact"/>
        <w:rPr>
          <w:sz w:val="20"/>
          <w:szCs w:val="20"/>
          <w:color w:val="auto"/>
        </w:rPr>
      </w:pPr>
    </w:p>
    <w:p>
      <w:pPr>
        <w:ind w:right="180" w:firstLine="99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obligations in this Amendment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agree as follows:</w:t>
      </w:r>
    </w:p>
    <w:p>
      <w:pPr>
        <w:spacing w:after="0" w:line="166" w:lineRule="exact"/>
        <w:rPr>
          <w:sz w:val="20"/>
          <w:szCs w:val="20"/>
          <w:color w:val="auto"/>
        </w:rPr>
      </w:pPr>
    </w:p>
    <w:p>
      <w:pPr>
        <w:ind w:left="980" w:right="3420" w:firstLine="7"/>
        <w:spacing w:after="0" w:line="563" w:lineRule="auto"/>
        <w:tabs>
          <w:tab w:leader="none" w:pos="11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Schedule C to the Original Agreement shall be amended to add the following definitions: “</w:t>
      </w:r>
      <w:r>
        <w:rPr>
          <w:rFonts w:ascii="Arial" w:cs="Arial" w:eastAsia="Arial" w:hAnsi="Arial"/>
          <w:sz w:val="16"/>
          <w:szCs w:val="16"/>
          <w:u w:val="single" w:color="auto"/>
          <w:color w:val="auto"/>
        </w:rPr>
        <w:t>NPV</w:t>
      </w:r>
      <w:r>
        <w:rPr>
          <w:rFonts w:ascii="Arial" w:cs="Arial" w:eastAsia="Arial" w:hAnsi="Arial"/>
          <w:sz w:val="16"/>
          <w:szCs w:val="16"/>
          <w:color w:val="auto"/>
        </w:rPr>
        <w:t>” means the net settled [***] card transaction volume for the Card Program.</w:t>
      </w:r>
    </w:p>
    <w:p>
      <w:pPr>
        <w:ind w:left="9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Interchange</w:t>
      </w:r>
      <w:r>
        <w:rPr>
          <w:rFonts w:ascii="Arial" w:cs="Arial" w:eastAsia="Arial" w:hAnsi="Arial"/>
          <w:sz w:val="18"/>
          <w:szCs w:val="18"/>
          <w:color w:val="auto"/>
        </w:rPr>
        <w:t>” means [***].</w:t>
      </w:r>
    </w:p>
    <w:p>
      <w:pPr>
        <w:spacing w:after="0" w:line="225" w:lineRule="exact"/>
        <w:rPr>
          <w:rFonts w:ascii="Arial" w:cs="Arial" w:eastAsia="Arial" w:hAnsi="Arial"/>
          <w:sz w:val="16"/>
          <w:szCs w:val="16"/>
          <w:color w:val="auto"/>
        </w:rPr>
      </w:pPr>
    </w:p>
    <w:p>
      <w:pPr>
        <w:ind w:right="240" w:firstLine="987"/>
        <w:spacing w:after="0" w:line="277" w:lineRule="auto"/>
        <w:tabs>
          <w:tab w:leader="none" w:pos="1171"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Schedule D to the Original Agreement is amended by deleting the Revenue Sharing section as added by Amendment No. 5 to Master Services Agreement and replacing it in its entirety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Sharing:</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table below sets forth the applicable percentage of Net Interchange earned from [***] transactions to be paid to Client. A Tier is reached once NPV in any given [***]. Upon reaching a new Tier in any given [***], the rates applicable for such Tier shall take effect in the [***] and shall apply to all [***] thereafter, unless and until a new Tier is reached.</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 given [***], when applying the percentage rate for all Tiers except Tier [***], the [***]. In a given [***], when applying the percentage rate for Tier [***], [***]. For the avoidance of doubt, a few illustrative examples are set forth below.</w:t>
      </w:r>
    </w:p>
    <w:p>
      <w:pPr>
        <w:spacing w:after="0" w:line="192" w:lineRule="exact"/>
        <w:rPr>
          <w:sz w:val="20"/>
          <w:szCs w:val="20"/>
          <w:color w:val="auto"/>
        </w:rPr>
      </w:pPr>
    </w:p>
    <w:tbl>
      <w:tblPr>
        <w:tblLayout w:type="fixed"/>
        <w:tblInd w:w="1110" w:type="dxa"/>
        <w:tblCellMar>
          <w:top w:w="0" w:type="dxa"/>
          <w:left w:w="0" w:type="dxa"/>
          <w:bottom w:w="0" w:type="dxa"/>
          <w:right w:w="0" w:type="dxa"/>
        </w:tblCellMar>
      </w:tblPr>
      <w:tr>
        <w:trPr>
          <w:trHeight w:val="162"/>
        </w:trPr>
        <w:tc>
          <w:tcPr>
            <w:tcW w:w="2840" w:type="dxa"/>
            <w:vAlign w:val="bottom"/>
            <w:tcBorders>
              <w:top w:val="single" w:sz="8" w:color="auto"/>
              <w:left w:val="single" w:sz="8" w:color="auto"/>
              <w:bottom w:val="single" w:sz="8" w:color="auto"/>
              <w:right w:val="single" w:sz="8" w:color="auto"/>
            </w:tcBorders>
          </w:tcPr>
          <w:p>
            <w:pPr>
              <w:jc w:val="right"/>
              <w:ind w:right="1135"/>
              <w:spacing w:after="0"/>
              <w:rPr>
                <w:sz w:val="20"/>
                <w:szCs w:val="20"/>
                <w:color w:val="auto"/>
              </w:rPr>
            </w:pPr>
            <w:r>
              <w:rPr>
                <w:rFonts w:ascii="Arial" w:cs="Arial" w:eastAsia="Arial" w:hAnsi="Arial"/>
                <w:sz w:val="14"/>
                <w:szCs w:val="14"/>
                <w:b w:val="1"/>
                <w:bCs w:val="1"/>
                <w:color w:val="auto"/>
              </w:rPr>
              <w:t>Tier</w:t>
            </w:r>
          </w:p>
        </w:tc>
        <w:tc>
          <w:tcPr>
            <w:tcW w:w="3000" w:type="dxa"/>
            <w:vAlign w:val="bottom"/>
            <w:tcBorders>
              <w:top w:val="single" w:sz="8" w:color="auto"/>
              <w:bottom w:val="single" w:sz="8" w:color="auto"/>
              <w:right w:val="single" w:sz="8" w:color="auto"/>
            </w:tcBorders>
          </w:tcPr>
          <w:p>
            <w:pPr>
              <w:jc w:val="right"/>
              <w:ind w:right="1054"/>
              <w:spacing w:after="0"/>
              <w:rPr>
                <w:sz w:val="20"/>
                <w:szCs w:val="20"/>
                <w:color w:val="auto"/>
              </w:rPr>
            </w:pPr>
            <w:r>
              <w:rPr>
                <w:rFonts w:ascii="Arial" w:cs="Arial" w:eastAsia="Arial" w:hAnsi="Arial"/>
                <w:sz w:val="14"/>
                <w:szCs w:val="14"/>
                <w:b w:val="1"/>
                <w:bCs w:val="1"/>
                <w:color w:val="auto"/>
              </w:rPr>
              <w:t>[***] NPV</w:t>
            </w:r>
          </w:p>
        </w:tc>
        <w:tc>
          <w:tcPr>
            <w:tcW w:w="2980" w:type="dxa"/>
            <w:vAlign w:val="bottom"/>
            <w:tcBorders>
              <w:top w:val="single" w:sz="8" w:color="auto"/>
              <w:bottom w:val="single" w:sz="8" w:color="auto"/>
              <w:right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 of Net Interchange Shared with Client</w:t>
            </w:r>
          </w:p>
        </w:tc>
      </w:tr>
      <w:tr>
        <w:trPr>
          <w:trHeight w:val="210"/>
        </w:trPr>
        <w:tc>
          <w:tcPr>
            <w:tcW w:w="2840" w:type="dxa"/>
            <w:vAlign w:val="bottom"/>
            <w:tcBorders>
              <w:left w:val="single" w:sz="8" w:color="auto"/>
              <w:bottom w:val="single" w:sz="8" w:color="auto"/>
              <w:right w:val="single" w:sz="8" w:color="auto"/>
            </w:tcBorders>
          </w:tcPr>
          <w:p>
            <w:pPr>
              <w:jc w:val="right"/>
              <w:ind w:right="2495"/>
              <w:spacing w:after="0"/>
              <w:rPr>
                <w:sz w:val="20"/>
                <w:szCs w:val="20"/>
                <w:color w:val="auto"/>
              </w:rPr>
            </w:pPr>
            <w:r>
              <w:rPr>
                <w:rFonts w:ascii="Arial" w:cs="Arial" w:eastAsia="Arial" w:hAnsi="Arial"/>
                <w:sz w:val="18"/>
                <w:szCs w:val="18"/>
                <w:color w:val="auto"/>
              </w:rPr>
              <w:t>1</w:t>
            </w:r>
          </w:p>
        </w:tc>
        <w:tc>
          <w:tcPr>
            <w:tcW w:w="3000" w:type="dxa"/>
            <w:vAlign w:val="bottom"/>
            <w:tcBorders>
              <w:bottom w:val="single" w:sz="8" w:color="auto"/>
              <w:right w:val="single" w:sz="8" w:color="auto"/>
            </w:tcBorders>
          </w:tcPr>
          <w:p>
            <w:pPr>
              <w:jc w:val="right"/>
              <w:ind w:right="2454"/>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435"/>
              <w:spacing w:after="0"/>
              <w:rPr>
                <w:sz w:val="20"/>
                <w:szCs w:val="20"/>
                <w:color w:val="auto"/>
              </w:rPr>
            </w:pPr>
            <w:r>
              <w:rPr>
                <w:rFonts w:ascii="Arial" w:cs="Arial" w:eastAsia="Arial" w:hAnsi="Arial"/>
                <w:sz w:val="18"/>
                <w:szCs w:val="18"/>
                <w:color w:val="auto"/>
              </w:rPr>
              <w:t>[***]</w:t>
            </w:r>
          </w:p>
        </w:tc>
      </w:tr>
      <w:tr>
        <w:trPr>
          <w:trHeight w:val="210"/>
        </w:trPr>
        <w:tc>
          <w:tcPr>
            <w:tcW w:w="2840" w:type="dxa"/>
            <w:vAlign w:val="bottom"/>
            <w:tcBorders>
              <w:left w:val="single" w:sz="8" w:color="auto"/>
              <w:bottom w:val="single" w:sz="8" w:color="auto"/>
              <w:right w:val="single" w:sz="8" w:color="auto"/>
            </w:tcBorders>
          </w:tcPr>
          <w:p>
            <w:pPr>
              <w:jc w:val="right"/>
              <w:ind w:right="2495"/>
              <w:spacing w:after="0"/>
              <w:rPr>
                <w:sz w:val="20"/>
                <w:szCs w:val="20"/>
                <w:color w:val="auto"/>
              </w:rPr>
            </w:pPr>
            <w:r>
              <w:rPr>
                <w:rFonts w:ascii="Arial" w:cs="Arial" w:eastAsia="Arial" w:hAnsi="Arial"/>
                <w:sz w:val="18"/>
                <w:szCs w:val="18"/>
                <w:color w:val="auto"/>
              </w:rPr>
              <w:t>2</w:t>
            </w:r>
          </w:p>
        </w:tc>
        <w:tc>
          <w:tcPr>
            <w:tcW w:w="3000" w:type="dxa"/>
            <w:vAlign w:val="bottom"/>
            <w:tcBorders>
              <w:bottom w:val="single" w:sz="8" w:color="auto"/>
              <w:right w:val="single" w:sz="8" w:color="auto"/>
            </w:tcBorders>
          </w:tcPr>
          <w:p>
            <w:pPr>
              <w:jc w:val="right"/>
              <w:ind w:right="2454"/>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435"/>
              <w:spacing w:after="0"/>
              <w:rPr>
                <w:sz w:val="20"/>
                <w:szCs w:val="20"/>
                <w:color w:val="auto"/>
              </w:rPr>
            </w:pPr>
            <w:r>
              <w:rPr>
                <w:rFonts w:ascii="Arial" w:cs="Arial" w:eastAsia="Arial" w:hAnsi="Arial"/>
                <w:sz w:val="18"/>
                <w:szCs w:val="18"/>
                <w:color w:val="auto"/>
              </w:rPr>
              <w:t>[***]</w:t>
            </w:r>
          </w:p>
        </w:tc>
      </w:tr>
      <w:tr>
        <w:trPr>
          <w:trHeight w:val="210"/>
        </w:trPr>
        <w:tc>
          <w:tcPr>
            <w:tcW w:w="2840" w:type="dxa"/>
            <w:vAlign w:val="bottom"/>
            <w:tcBorders>
              <w:left w:val="single" w:sz="8" w:color="auto"/>
              <w:bottom w:val="single" w:sz="8" w:color="auto"/>
              <w:right w:val="single" w:sz="8" w:color="auto"/>
            </w:tcBorders>
          </w:tcPr>
          <w:p>
            <w:pPr>
              <w:jc w:val="right"/>
              <w:ind w:right="2495"/>
              <w:spacing w:after="0"/>
              <w:rPr>
                <w:sz w:val="20"/>
                <w:szCs w:val="20"/>
                <w:color w:val="auto"/>
              </w:rPr>
            </w:pPr>
            <w:r>
              <w:rPr>
                <w:rFonts w:ascii="Arial" w:cs="Arial" w:eastAsia="Arial" w:hAnsi="Arial"/>
                <w:sz w:val="18"/>
                <w:szCs w:val="18"/>
                <w:color w:val="auto"/>
              </w:rPr>
              <w:t>3</w:t>
            </w:r>
          </w:p>
        </w:tc>
        <w:tc>
          <w:tcPr>
            <w:tcW w:w="3000" w:type="dxa"/>
            <w:vAlign w:val="bottom"/>
            <w:tcBorders>
              <w:bottom w:val="single" w:sz="8" w:color="auto"/>
              <w:right w:val="single" w:sz="8" w:color="auto"/>
            </w:tcBorders>
          </w:tcPr>
          <w:p>
            <w:pPr>
              <w:jc w:val="right"/>
              <w:ind w:right="2454"/>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435"/>
              <w:spacing w:after="0"/>
              <w:rPr>
                <w:sz w:val="20"/>
                <w:szCs w:val="20"/>
                <w:color w:val="auto"/>
              </w:rPr>
            </w:pPr>
            <w:r>
              <w:rPr>
                <w:rFonts w:ascii="Arial" w:cs="Arial" w:eastAsia="Arial" w:hAnsi="Arial"/>
                <w:sz w:val="18"/>
                <w:szCs w:val="18"/>
                <w:color w:val="auto"/>
              </w:rPr>
              <w:t>[***]</w:t>
            </w:r>
          </w:p>
        </w:tc>
      </w:tr>
      <w:tr>
        <w:trPr>
          <w:trHeight w:val="358"/>
        </w:trPr>
        <w:tc>
          <w:tcPr>
            <w:tcW w:w="2840" w:type="dxa"/>
            <w:vAlign w:val="bottom"/>
          </w:tcPr>
          <w:p>
            <w:pPr>
              <w:spacing w:after="0"/>
              <w:rPr>
                <w:sz w:val="24"/>
                <w:szCs w:val="24"/>
                <w:color w:val="auto"/>
              </w:rPr>
            </w:pPr>
          </w:p>
        </w:tc>
        <w:tc>
          <w:tcPr>
            <w:tcW w:w="3000" w:type="dxa"/>
            <w:vAlign w:val="bottom"/>
          </w:tcPr>
          <w:p>
            <w:pPr>
              <w:jc w:val="right"/>
              <w:ind w:right="1314"/>
              <w:spacing w:after="0"/>
              <w:rPr>
                <w:sz w:val="20"/>
                <w:szCs w:val="20"/>
                <w:color w:val="auto"/>
              </w:rPr>
            </w:pPr>
            <w:r>
              <w:rPr>
                <w:rFonts w:ascii="Arial" w:cs="Arial" w:eastAsia="Arial" w:hAnsi="Arial"/>
                <w:sz w:val="18"/>
                <w:szCs w:val="18"/>
                <w:color w:val="auto"/>
              </w:rPr>
              <w:t>1</w:t>
            </w:r>
          </w:p>
        </w:tc>
        <w:tc>
          <w:tcPr>
            <w:tcW w:w="298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396" w:name="page397"/>
    <w:bookmarkEnd w:id="3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1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right w:val="single" w:sz="8" w:color="auto"/>
            </w:tcBorders>
          </w:tcPr>
          <w:p>
            <w:pPr>
              <w:jc w:val="right"/>
              <w:ind w:right="2490"/>
              <w:spacing w:after="0"/>
              <w:rPr>
                <w:sz w:val="20"/>
                <w:szCs w:val="20"/>
                <w:color w:val="auto"/>
              </w:rPr>
            </w:pPr>
            <w:r>
              <w:rPr>
                <w:rFonts w:ascii="Arial" w:cs="Arial" w:eastAsia="Arial" w:hAnsi="Arial"/>
                <w:sz w:val="18"/>
                <w:szCs w:val="18"/>
                <w:color w:val="auto"/>
              </w:rPr>
              <w:t>4</w:t>
            </w:r>
          </w:p>
        </w:tc>
        <w:tc>
          <w:tcPr>
            <w:tcW w:w="3000" w:type="dxa"/>
            <w:vAlign w:val="bottom"/>
            <w:tcBorders>
              <w:top w:val="single" w:sz="8" w:color="auto"/>
              <w:bottom w:val="single" w:sz="8" w:color="auto"/>
              <w:right w:val="single" w:sz="8" w:color="auto"/>
            </w:tcBorders>
          </w:tcPr>
          <w:p>
            <w:pPr>
              <w:jc w:val="right"/>
              <w:ind w:right="2450"/>
              <w:spacing w:after="0"/>
              <w:rPr>
                <w:sz w:val="20"/>
                <w:szCs w:val="20"/>
                <w:color w:val="auto"/>
              </w:rPr>
            </w:pPr>
            <w:r>
              <w:rPr>
                <w:rFonts w:ascii="Arial" w:cs="Arial" w:eastAsia="Arial" w:hAnsi="Arial"/>
                <w:sz w:val="18"/>
                <w:szCs w:val="18"/>
                <w:color w:val="auto"/>
              </w:rPr>
              <w:t>[***]</w:t>
            </w:r>
          </w:p>
        </w:tc>
        <w:tc>
          <w:tcPr>
            <w:tcW w:w="2980" w:type="dxa"/>
            <w:vAlign w:val="bottom"/>
            <w:tcBorders>
              <w:top w:val="single" w:sz="8" w:color="auto"/>
              <w:bottom w:val="single" w:sz="8" w:color="auto"/>
              <w:right w:val="single" w:sz="8" w:color="auto"/>
            </w:tcBorders>
          </w:tcPr>
          <w:p>
            <w:pPr>
              <w:jc w:val="right"/>
              <w:ind w:right="2430"/>
              <w:spacing w:after="0"/>
              <w:rPr>
                <w:sz w:val="20"/>
                <w:szCs w:val="20"/>
                <w:color w:val="auto"/>
              </w:rPr>
            </w:pPr>
            <w:r>
              <w:rPr>
                <w:rFonts w:ascii="Arial" w:cs="Arial" w:eastAsia="Arial" w:hAnsi="Arial"/>
                <w:sz w:val="18"/>
                <w:szCs w:val="18"/>
                <w:color w:val="auto"/>
              </w:rPr>
              <w:t>[***]</w:t>
            </w:r>
          </w:p>
        </w:tc>
      </w:tr>
      <w:tr>
        <w:trPr>
          <w:trHeight w:val="209"/>
        </w:trPr>
        <w:tc>
          <w:tcPr>
            <w:tcW w:w="2840" w:type="dxa"/>
            <w:vAlign w:val="bottom"/>
            <w:tcBorders>
              <w:left w:val="single" w:sz="8" w:color="auto"/>
              <w:bottom w:val="single" w:sz="8" w:color="auto"/>
              <w:right w:val="single" w:sz="8" w:color="auto"/>
            </w:tcBorders>
          </w:tcPr>
          <w:p>
            <w:pPr>
              <w:jc w:val="right"/>
              <w:ind w:right="2490"/>
              <w:spacing w:after="0"/>
              <w:rPr>
                <w:sz w:val="20"/>
                <w:szCs w:val="20"/>
                <w:color w:val="auto"/>
              </w:rPr>
            </w:pPr>
            <w:r>
              <w:rPr>
                <w:rFonts w:ascii="Arial" w:cs="Arial" w:eastAsia="Arial" w:hAnsi="Arial"/>
                <w:sz w:val="18"/>
                <w:szCs w:val="18"/>
                <w:color w:val="auto"/>
              </w:rPr>
              <w:t>5</w:t>
            </w:r>
          </w:p>
        </w:tc>
        <w:tc>
          <w:tcPr>
            <w:tcW w:w="3000" w:type="dxa"/>
            <w:vAlign w:val="bottom"/>
            <w:tcBorders>
              <w:bottom w:val="single" w:sz="8" w:color="auto"/>
              <w:right w:val="single" w:sz="8" w:color="auto"/>
            </w:tcBorders>
          </w:tcPr>
          <w:p>
            <w:pPr>
              <w:jc w:val="right"/>
              <w:ind w:right="245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430"/>
              <w:spacing w:after="0"/>
              <w:rPr>
                <w:sz w:val="20"/>
                <w:szCs w:val="20"/>
                <w:color w:val="auto"/>
              </w:rPr>
            </w:pPr>
            <w:r>
              <w:rPr>
                <w:rFonts w:ascii="Arial" w:cs="Arial" w:eastAsia="Arial" w:hAnsi="Arial"/>
                <w:sz w:val="18"/>
                <w:szCs w:val="18"/>
                <w:color w:val="auto"/>
              </w:rPr>
              <w:t>[***]</w:t>
            </w:r>
          </w:p>
        </w:tc>
      </w:tr>
      <w:tr>
        <w:trPr>
          <w:trHeight w:val="210"/>
        </w:trPr>
        <w:tc>
          <w:tcPr>
            <w:tcW w:w="2840" w:type="dxa"/>
            <w:vAlign w:val="bottom"/>
            <w:tcBorders>
              <w:left w:val="single" w:sz="8" w:color="auto"/>
              <w:bottom w:val="single" w:sz="8" w:color="auto"/>
              <w:right w:val="single" w:sz="8" w:color="auto"/>
            </w:tcBorders>
          </w:tcPr>
          <w:p>
            <w:pPr>
              <w:jc w:val="right"/>
              <w:ind w:right="2490"/>
              <w:spacing w:after="0"/>
              <w:rPr>
                <w:sz w:val="20"/>
                <w:szCs w:val="20"/>
                <w:color w:val="auto"/>
              </w:rPr>
            </w:pPr>
            <w:r>
              <w:rPr>
                <w:rFonts w:ascii="Arial" w:cs="Arial" w:eastAsia="Arial" w:hAnsi="Arial"/>
                <w:sz w:val="18"/>
                <w:szCs w:val="18"/>
                <w:color w:val="auto"/>
              </w:rPr>
              <w:t>6</w:t>
            </w:r>
          </w:p>
        </w:tc>
        <w:tc>
          <w:tcPr>
            <w:tcW w:w="3000" w:type="dxa"/>
            <w:vAlign w:val="bottom"/>
            <w:tcBorders>
              <w:bottom w:val="single" w:sz="8" w:color="auto"/>
              <w:right w:val="single" w:sz="8" w:color="auto"/>
            </w:tcBorders>
          </w:tcPr>
          <w:p>
            <w:pPr>
              <w:jc w:val="right"/>
              <w:ind w:right="245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auto"/>
              <w:right w:val="single" w:sz="8" w:color="auto"/>
            </w:tcBorders>
          </w:tcPr>
          <w:p>
            <w:pPr>
              <w:jc w:val="right"/>
              <w:ind w:right="24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Example 1: In [***]1, NPV is [***], reaching Tier [***], which then becomes [***] [***] for [***] 2. In [***] 2, NPV is [***]. The Net Interchange resulting from [***] to the Tier [***] Volume amount (i.e. the Net Interchange resulting from [***]) is shared at the Tier [***] percentage rate, or [***]. The Net Interchange resulting from [***] (i.e. the Net Interchange resulting from [***]) is shared at the Tier [***] percentage rate, or [***].</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Example 2: In [***] 1, NPV is [***], reaching Tier [***], which then becomes [***] for [***] 2. In [***] 2, NPV is [***]. [***] Net Interchange is shared at the Tier [***] percentage rate, or [***].</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table below sets forth the applicable percentage of Net Interchange earned from [***] transactions to be paid to Client. A Tier is reached once [***]. Upon reaching a new Tier in any given [***], the rates applicable for such Tier shall take effect in the [***]and shall apply to all [***] thereafter, unless and until a new Tier is reached. In any [***], the applicable percentage rate shall apply to all Net Interchange for such [***].</w:t>
      </w:r>
    </w:p>
    <w:p>
      <w:pPr>
        <w:spacing w:after="0" w:line="187" w:lineRule="exact"/>
        <w:rPr>
          <w:sz w:val="20"/>
          <w:szCs w:val="20"/>
          <w:color w:val="auto"/>
        </w:rPr>
      </w:pPr>
    </w:p>
    <w:tbl>
      <w:tblPr>
        <w:tblLayout w:type="fixed"/>
        <w:tblInd w:w="1110" w:type="dxa"/>
        <w:tblCellMar>
          <w:top w:w="0" w:type="dxa"/>
          <w:left w:w="0" w:type="dxa"/>
          <w:bottom w:w="0" w:type="dxa"/>
          <w:right w:w="0" w:type="dxa"/>
        </w:tblCellMar>
      </w:tblPr>
      <w:tr>
        <w:trPr>
          <w:trHeight w:val="162"/>
        </w:trPr>
        <w:tc>
          <w:tcPr>
            <w:tcW w:w="3000" w:type="dxa"/>
            <w:vAlign w:val="bottom"/>
            <w:tcBorders>
              <w:top w:val="single" w:sz="8" w:color="auto"/>
              <w:left w:val="single" w:sz="8" w:color="auto"/>
              <w:bottom w:val="single" w:sz="8" w:color="auto"/>
              <w:right w:val="single" w:sz="8" w:color="auto"/>
            </w:tcBorders>
          </w:tcPr>
          <w:p>
            <w:pPr>
              <w:jc w:val="right"/>
              <w:ind w:right="1213"/>
              <w:spacing w:after="0"/>
              <w:rPr>
                <w:sz w:val="20"/>
                <w:szCs w:val="20"/>
                <w:color w:val="auto"/>
              </w:rPr>
            </w:pPr>
            <w:r>
              <w:rPr>
                <w:rFonts w:ascii="Arial" w:cs="Arial" w:eastAsia="Arial" w:hAnsi="Arial"/>
                <w:sz w:val="14"/>
                <w:szCs w:val="14"/>
                <w:b w:val="1"/>
                <w:bCs w:val="1"/>
                <w:color w:val="auto"/>
              </w:rPr>
              <w:t>Tier</w:t>
            </w:r>
          </w:p>
        </w:tc>
        <w:tc>
          <w:tcPr>
            <w:tcW w:w="2940" w:type="dxa"/>
            <w:vAlign w:val="bottom"/>
            <w:tcBorders>
              <w:top w:val="single" w:sz="8" w:color="auto"/>
              <w:bottom w:val="single" w:sz="8" w:color="auto"/>
              <w:right w:val="single" w:sz="8" w:color="auto"/>
            </w:tcBorders>
          </w:tcPr>
          <w:p>
            <w:pPr>
              <w:jc w:val="right"/>
              <w:ind w:right="1013"/>
              <w:spacing w:after="0"/>
              <w:rPr>
                <w:sz w:val="20"/>
                <w:szCs w:val="20"/>
                <w:color w:val="auto"/>
              </w:rPr>
            </w:pPr>
            <w:r>
              <w:rPr>
                <w:rFonts w:ascii="Arial" w:cs="Arial" w:eastAsia="Arial" w:hAnsi="Arial"/>
                <w:sz w:val="14"/>
                <w:szCs w:val="14"/>
                <w:b w:val="1"/>
                <w:bCs w:val="1"/>
                <w:color w:val="auto"/>
              </w:rPr>
              <w:t>[***] NPV</w:t>
            </w:r>
          </w:p>
        </w:tc>
        <w:tc>
          <w:tcPr>
            <w:tcW w:w="2880" w:type="dxa"/>
            <w:vAlign w:val="bottom"/>
            <w:tcBorders>
              <w:top w:val="single" w:sz="8" w:color="auto"/>
              <w:bottom w:val="single" w:sz="8" w:color="auto"/>
              <w:right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 of Net Interchange Shared with Client</w:t>
            </w:r>
          </w:p>
        </w:tc>
      </w:tr>
      <w:tr>
        <w:trPr>
          <w:trHeight w:val="209"/>
        </w:trPr>
        <w:tc>
          <w:tcPr>
            <w:tcW w:w="3000" w:type="dxa"/>
            <w:vAlign w:val="bottom"/>
            <w:tcBorders>
              <w:left w:val="single" w:sz="8" w:color="auto"/>
              <w:bottom w:val="single" w:sz="8" w:color="auto"/>
              <w:right w:val="single" w:sz="8" w:color="auto"/>
            </w:tcBorders>
          </w:tcPr>
          <w:p>
            <w:pPr>
              <w:jc w:val="right"/>
              <w:ind w:right="2653"/>
              <w:spacing w:after="0"/>
              <w:rPr>
                <w:sz w:val="20"/>
                <w:szCs w:val="20"/>
                <w:color w:val="auto"/>
              </w:rPr>
            </w:pPr>
            <w:r>
              <w:rPr>
                <w:rFonts w:ascii="Arial" w:cs="Arial" w:eastAsia="Arial" w:hAnsi="Arial"/>
                <w:sz w:val="18"/>
                <w:szCs w:val="18"/>
                <w:color w:val="auto"/>
              </w:rPr>
              <w:t>1</w:t>
            </w:r>
          </w:p>
        </w:tc>
        <w:tc>
          <w:tcPr>
            <w:tcW w:w="294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r>
      <w:tr>
        <w:trPr>
          <w:trHeight w:val="210"/>
        </w:trPr>
        <w:tc>
          <w:tcPr>
            <w:tcW w:w="3000" w:type="dxa"/>
            <w:vAlign w:val="bottom"/>
            <w:tcBorders>
              <w:left w:val="single" w:sz="8" w:color="auto"/>
              <w:bottom w:val="single" w:sz="8" w:color="auto"/>
              <w:right w:val="single" w:sz="8" w:color="auto"/>
            </w:tcBorders>
          </w:tcPr>
          <w:p>
            <w:pPr>
              <w:jc w:val="right"/>
              <w:ind w:right="2653"/>
              <w:spacing w:after="0"/>
              <w:rPr>
                <w:sz w:val="20"/>
                <w:szCs w:val="20"/>
                <w:color w:val="auto"/>
              </w:rPr>
            </w:pPr>
            <w:r>
              <w:rPr>
                <w:rFonts w:ascii="Arial" w:cs="Arial" w:eastAsia="Arial" w:hAnsi="Arial"/>
                <w:sz w:val="18"/>
                <w:szCs w:val="18"/>
                <w:color w:val="auto"/>
              </w:rPr>
              <w:t>2</w:t>
            </w:r>
          </w:p>
        </w:tc>
        <w:tc>
          <w:tcPr>
            <w:tcW w:w="294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r>
      <w:tr>
        <w:trPr>
          <w:trHeight w:val="209"/>
        </w:trPr>
        <w:tc>
          <w:tcPr>
            <w:tcW w:w="3000" w:type="dxa"/>
            <w:vAlign w:val="bottom"/>
            <w:tcBorders>
              <w:left w:val="single" w:sz="8" w:color="auto"/>
              <w:bottom w:val="single" w:sz="8" w:color="auto"/>
              <w:right w:val="single" w:sz="8" w:color="auto"/>
            </w:tcBorders>
          </w:tcPr>
          <w:p>
            <w:pPr>
              <w:jc w:val="right"/>
              <w:ind w:right="2653"/>
              <w:spacing w:after="0"/>
              <w:rPr>
                <w:sz w:val="20"/>
                <w:szCs w:val="20"/>
                <w:color w:val="auto"/>
              </w:rPr>
            </w:pPr>
            <w:r>
              <w:rPr>
                <w:rFonts w:ascii="Arial" w:cs="Arial" w:eastAsia="Arial" w:hAnsi="Arial"/>
                <w:sz w:val="18"/>
                <w:szCs w:val="18"/>
                <w:color w:val="auto"/>
              </w:rPr>
              <w:t>3</w:t>
            </w:r>
          </w:p>
        </w:tc>
        <w:tc>
          <w:tcPr>
            <w:tcW w:w="294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r>
      <w:tr>
        <w:trPr>
          <w:trHeight w:val="209"/>
        </w:trPr>
        <w:tc>
          <w:tcPr>
            <w:tcW w:w="3000" w:type="dxa"/>
            <w:vAlign w:val="bottom"/>
            <w:tcBorders>
              <w:left w:val="single" w:sz="8" w:color="auto"/>
              <w:bottom w:val="single" w:sz="8" w:color="auto"/>
              <w:right w:val="single" w:sz="8" w:color="auto"/>
            </w:tcBorders>
          </w:tcPr>
          <w:p>
            <w:pPr>
              <w:jc w:val="right"/>
              <w:ind w:right="2653"/>
              <w:spacing w:after="0"/>
              <w:rPr>
                <w:sz w:val="20"/>
                <w:szCs w:val="20"/>
                <w:color w:val="auto"/>
              </w:rPr>
            </w:pPr>
            <w:r>
              <w:rPr>
                <w:rFonts w:ascii="Arial" w:cs="Arial" w:eastAsia="Arial" w:hAnsi="Arial"/>
                <w:sz w:val="18"/>
                <w:szCs w:val="18"/>
                <w:color w:val="auto"/>
              </w:rPr>
              <w:t>4</w:t>
            </w:r>
          </w:p>
        </w:tc>
        <w:tc>
          <w:tcPr>
            <w:tcW w:w="294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r>
      <w:tr>
        <w:trPr>
          <w:trHeight w:val="210"/>
        </w:trPr>
        <w:tc>
          <w:tcPr>
            <w:tcW w:w="3000" w:type="dxa"/>
            <w:vAlign w:val="bottom"/>
            <w:tcBorders>
              <w:left w:val="single" w:sz="8" w:color="auto"/>
              <w:bottom w:val="single" w:sz="8" w:color="auto"/>
              <w:right w:val="single" w:sz="8" w:color="auto"/>
            </w:tcBorders>
          </w:tcPr>
          <w:p>
            <w:pPr>
              <w:jc w:val="right"/>
              <w:ind w:right="2653"/>
              <w:spacing w:after="0"/>
              <w:rPr>
                <w:sz w:val="20"/>
                <w:szCs w:val="20"/>
                <w:color w:val="auto"/>
              </w:rPr>
            </w:pPr>
            <w:r>
              <w:rPr>
                <w:rFonts w:ascii="Arial" w:cs="Arial" w:eastAsia="Arial" w:hAnsi="Arial"/>
                <w:sz w:val="18"/>
                <w:szCs w:val="18"/>
                <w:color w:val="auto"/>
              </w:rPr>
              <w:t>5</w:t>
            </w:r>
          </w:p>
        </w:tc>
        <w:tc>
          <w:tcPr>
            <w:tcW w:w="294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r>
      <w:tr>
        <w:trPr>
          <w:trHeight w:val="209"/>
        </w:trPr>
        <w:tc>
          <w:tcPr>
            <w:tcW w:w="3000" w:type="dxa"/>
            <w:vAlign w:val="bottom"/>
            <w:tcBorders>
              <w:left w:val="single" w:sz="8" w:color="auto"/>
              <w:bottom w:val="single" w:sz="8" w:color="auto"/>
              <w:right w:val="single" w:sz="8" w:color="auto"/>
            </w:tcBorders>
          </w:tcPr>
          <w:p>
            <w:pPr>
              <w:jc w:val="right"/>
              <w:ind w:right="2653"/>
              <w:spacing w:after="0"/>
              <w:rPr>
                <w:sz w:val="20"/>
                <w:szCs w:val="20"/>
                <w:color w:val="auto"/>
              </w:rPr>
            </w:pPr>
            <w:r>
              <w:rPr>
                <w:rFonts w:ascii="Arial" w:cs="Arial" w:eastAsia="Arial" w:hAnsi="Arial"/>
                <w:sz w:val="18"/>
                <w:szCs w:val="18"/>
                <w:color w:val="auto"/>
              </w:rPr>
              <w:t>6</w:t>
            </w:r>
          </w:p>
        </w:tc>
        <w:tc>
          <w:tcPr>
            <w:tcW w:w="294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c>
          <w:tcPr>
            <w:tcW w:w="2880" w:type="dxa"/>
            <w:vAlign w:val="bottom"/>
            <w:tcBorders>
              <w:bottom w:val="single" w:sz="8" w:color="auto"/>
              <w:right w:val="single" w:sz="8" w:color="auto"/>
            </w:tcBorders>
          </w:tcPr>
          <w:p>
            <w:pPr>
              <w:jc w:val="right"/>
              <w:ind w:right="2353"/>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Fees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fees set forth in the following table shall be the sole fees paid by Client for ATM transactions.</w:t>
      </w:r>
    </w:p>
    <w:p>
      <w:pPr>
        <w:spacing w:after="0" w:line="246" w:lineRule="exact"/>
        <w:rPr>
          <w:sz w:val="20"/>
          <w:szCs w:val="20"/>
          <w:color w:val="auto"/>
        </w:rPr>
      </w:pPr>
    </w:p>
    <w:tbl>
      <w:tblPr>
        <w:tblLayout w:type="fixed"/>
        <w:tblInd w:w="1450" w:type="dxa"/>
        <w:tblCellMar>
          <w:top w:w="0" w:type="dxa"/>
          <w:left w:w="0" w:type="dxa"/>
          <w:bottom w:w="0" w:type="dxa"/>
          <w:right w:w="0" w:type="dxa"/>
        </w:tblCellMar>
      </w:tblPr>
      <w:tr>
        <w:trPr>
          <w:trHeight w:val="162"/>
        </w:trPr>
        <w:tc>
          <w:tcPr>
            <w:tcW w:w="2620" w:type="dxa"/>
            <w:vAlign w:val="bottom"/>
            <w:tcBorders>
              <w:top w:val="single" w:sz="8" w:color="auto"/>
              <w:left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Transaction Type</w:t>
            </w:r>
          </w:p>
        </w:tc>
        <w:tc>
          <w:tcPr>
            <w:tcW w:w="1500" w:type="dxa"/>
            <w:vAlign w:val="bottom"/>
            <w:tcBorders>
              <w:top w:val="single" w:sz="8" w:color="auto"/>
              <w:bottom w:val="single" w:sz="8" w:color="auto"/>
              <w:right w:val="single" w:sz="8" w:color="auto"/>
            </w:tcBorders>
          </w:tcPr>
          <w:p>
            <w:pPr>
              <w:spacing w:after="0"/>
              <w:rPr>
                <w:sz w:val="14"/>
                <w:szCs w:val="14"/>
                <w:color w:val="auto"/>
              </w:rPr>
            </w:pPr>
          </w:p>
        </w:tc>
        <w:tc>
          <w:tcPr>
            <w:tcW w:w="4040" w:type="dxa"/>
            <w:vAlign w:val="bottom"/>
            <w:tcBorders>
              <w:top w:val="single" w:sz="8" w:color="auto"/>
              <w:bottom w:val="single" w:sz="8" w:color="auto"/>
              <w:right w:val="single" w:sz="8" w:color="auto"/>
            </w:tcBorders>
          </w:tcPr>
          <w:p>
            <w:pPr>
              <w:jc w:val="right"/>
              <w:ind w:right="1295"/>
              <w:spacing w:after="0"/>
              <w:rPr>
                <w:sz w:val="20"/>
                <w:szCs w:val="20"/>
                <w:color w:val="auto"/>
              </w:rPr>
            </w:pPr>
            <w:r>
              <w:rPr>
                <w:rFonts w:ascii="Arial" w:cs="Arial" w:eastAsia="Arial" w:hAnsi="Arial"/>
                <w:sz w:val="14"/>
                <w:szCs w:val="14"/>
                <w:b w:val="1"/>
                <w:bCs w:val="1"/>
                <w:color w:val="auto"/>
              </w:rPr>
              <w:t>Fee (per transaction)</w:t>
            </w:r>
          </w:p>
        </w:tc>
      </w:tr>
      <w:tr>
        <w:trPr>
          <w:trHeight w:val="210"/>
        </w:trPr>
        <w:tc>
          <w:tcPr>
            <w:tcW w:w="262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jc w:val="right"/>
              <w:ind w:right="3515"/>
              <w:spacing w:after="0"/>
              <w:rPr>
                <w:sz w:val="20"/>
                <w:szCs w:val="20"/>
                <w:color w:val="auto"/>
              </w:rPr>
            </w:pPr>
            <w:r>
              <w:rPr>
                <w:rFonts w:ascii="Arial" w:cs="Arial" w:eastAsia="Arial" w:hAnsi="Arial"/>
                <w:sz w:val="18"/>
                <w:szCs w:val="18"/>
                <w:color w:val="auto"/>
              </w:rPr>
              <w:t>[***]</w:t>
            </w:r>
          </w:p>
        </w:tc>
      </w:tr>
      <w:tr>
        <w:trPr>
          <w:trHeight w:val="209"/>
        </w:trPr>
        <w:tc>
          <w:tcPr>
            <w:tcW w:w="262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jc w:val="right"/>
              <w:ind w:right="3515"/>
              <w:spacing w:after="0"/>
              <w:rPr>
                <w:sz w:val="20"/>
                <w:szCs w:val="20"/>
                <w:color w:val="auto"/>
              </w:rPr>
            </w:pPr>
            <w:r>
              <w:rPr>
                <w:rFonts w:ascii="Arial" w:cs="Arial" w:eastAsia="Arial" w:hAnsi="Arial"/>
                <w:sz w:val="18"/>
                <w:szCs w:val="18"/>
                <w:color w:val="auto"/>
              </w:rPr>
              <w:t>[***]</w:t>
            </w:r>
          </w:p>
        </w:tc>
      </w:tr>
      <w:tr>
        <w:trPr>
          <w:trHeight w:val="210"/>
        </w:trPr>
        <w:tc>
          <w:tcPr>
            <w:tcW w:w="262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jc w:val="right"/>
              <w:ind w:right="3515"/>
              <w:spacing w:after="0"/>
              <w:rPr>
                <w:sz w:val="20"/>
                <w:szCs w:val="20"/>
                <w:color w:val="auto"/>
              </w:rPr>
            </w:pPr>
            <w:r>
              <w:rPr>
                <w:rFonts w:ascii="Arial" w:cs="Arial" w:eastAsia="Arial" w:hAnsi="Arial"/>
                <w:sz w:val="18"/>
                <w:szCs w:val="18"/>
                <w:color w:val="auto"/>
              </w:rPr>
              <w:t>[***]</w:t>
            </w:r>
          </w:p>
        </w:tc>
      </w:tr>
      <w:tr>
        <w:trPr>
          <w:trHeight w:val="358"/>
        </w:trPr>
        <w:tc>
          <w:tcPr>
            <w:tcW w:w="26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4040" w:type="dxa"/>
            <w:vAlign w:val="bottom"/>
          </w:tcPr>
          <w:p>
            <w:pPr>
              <w:spacing w:after="0"/>
              <w:rPr>
                <w:sz w:val="24"/>
                <w:szCs w:val="24"/>
                <w:color w:val="auto"/>
              </w:rPr>
            </w:pPr>
          </w:p>
        </w:tc>
      </w:tr>
    </w:tbl>
    <w:p>
      <w:pPr>
        <w:sectPr>
          <w:pgSz w:w="11900" w:h="16838" w:orient="portrait"/>
          <w:cols w:equalWidth="0" w:num="1">
            <w:col w:w="10960"/>
          </w:cols>
          <w:pgMar w:left="440" w:top="268" w:right="499" w:bottom="1440" w:gutter="0" w:footer="0" w:header="0"/>
        </w:sectPr>
      </w:pPr>
    </w:p>
    <w:bookmarkStart w:id="397" w:name="page398"/>
    <w:bookmarkEnd w:id="397"/>
    <w:p>
      <w:pPr>
        <w:ind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the following supplemental fees, as added in Amendment No. 5 to the Master Services Agreement as deductions from Net Interchange for Non-[***] Transactions on Cards issued to Consumer Cardholders, are hereby deleted in their entirety and are of no further force and effect: [***].</w:t>
      </w:r>
    </w:p>
    <w:p>
      <w:pPr>
        <w:spacing w:after="0" w:line="184" w:lineRule="exact"/>
        <w:rPr>
          <w:sz w:val="20"/>
          <w:szCs w:val="20"/>
          <w:color w:val="auto"/>
        </w:rPr>
      </w:pPr>
    </w:p>
    <w:p>
      <w:pPr>
        <w:ind w:firstLine="987"/>
        <w:spacing w:after="0" w:line="277" w:lineRule="auto"/>
        <w:tabs>
          <w:tab w:leader="none" w:pos="117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Section titled “[***] System Access Fee” in Schedule D to the Original Agreement is hereby deleted in its entirety and of no further force and effect. Client shall not pay any system access fee hereafter.</w:t>
      </w:r>
    </w:p>
    <w:p>
      <w:pPr>
        <w:spacing w:after="0" w:line="170" w:lineRule="exact"/>
        <w:rPr>
          <w:rFonts w:ascii="Arial" w:cs="Arial" w:eastAsia="Arial" w:hAnsi="Arial"/>
          <w:sz w:val="18"/>
          <w:szCs w:val="18"/>
          <w:color w:val="auto"/>
        </w:rPr>
      </w:pPr>
    </w:p>
    <w:p>
      <w:pPr>
        <w:ind w:left="1160" w:hanging="173"/>
        <w:spacing w:after="0"/>
        <w:tabs>
          <w:tab w:leader="none" w:pos="11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Section 1 of Schedule A to the Original Agreement shall be amended to include new Section 1(e):</w:t>
      </w:r>
    </w:p>
    <w:p>
      <w:pPr>
        <w:spacing w:after="0" w:line="113" w:lineRule="exact"/>
        <w:rPr>
          <w:sz w:val="20"/>
          <w:szCs w:val="20"/>
          <w:color w:val="auto"/>
        </w:rPr>
      </w:pPr>
    </w:p>
    <w:p>
      <w:pPr>
        <w:ind w:left="44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 Quarterly Review</w:t>
      </w:r>
      <w:r>
        <w:rPr>
          <w:rFonts w:ascii="Arial" w:cs="Arial" w:eastAsia="Arial" w:hAnsi="Arial"/>
          <w:sz w:val="18"/>
          <w:szCs w:val="18"/>
          <w:color w:val="auto"/>
        </w:rPr>
        <w:t>. Client and Marqeta agree that, once per quarter, representatives from each shall meet for the purposes of review and alignment regarding the Card Program, the Services and the need or desire for any New Additional Services, including a roadmap for necessary or desired technological improvements or developments.”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 Section 2 of Schedule B to the Original Agreement shall be amended to include new Section 2(p):</w:t>
      </w:r>
    </w:p>
    <w:p>
      <w:pPr>
        <w:spacing w:after="0" w:line="113" w:lineRule="exact"/>
        <w:rPr>
          <w:sz w:val="20"/>
          <w:szCs w:val="20"/>
          <w:color w:val="auto"/>
        </w:rPr>
      </w:pPr>
    </w:p>
    <w:p>
      <w:pPr>
        <w:ind w:left="44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 Response to Inquiries.</w:t>
      </w:r>
      <w:r>
        <w:rPr>
          <w:rFonts w:ascii="Arial" w:cs="Arial" w:eastAsia="Arial" w:hAnsi="Arial"/>
          <w:sz w:val="18"/>
          <w:szCs w:val="18"/>
          <w:color w:val="auto"/>
        </w:rPr>
        <w:t xml:space="preserve"> Client agrees to make available one representative to respond to reasonable inquiries from existing or prospective investors of Marqeta. This representative shall initially be Brian Grassadonia.”</w:t>
      </w:r>
    </w:p>
    <w:p>
      <w:pPr>
        <w:spacing w:after="0" w:line="166" w:lineRule="exact"/>
        <w:rPr>
          <w:sz w:val="20"/>
          <w:szCs w:val="20"/>
          <w:color w:val="auto"/>
        </w:rPr>
      </w:pPr>
    </w:p>
    <w:p>
      <w:pPr>
        <w:ind w:right="200" w:firstLine="987"/>
        <w:spacing w:after="0" w:line="308" w:lineRule="auto"/>
        <w:tabs>
          <w:tab w:leader="none" w:pos="1171" w:val="left"/>
        </w:tabs>
        <w:numPr>
          <w:ilvl w:val="0"/>
          <w:numId w:val="337"/>
        </w:numPr>
        <w:rPr>
          <w:rFonts w:ascii="Arial" w:cs="Arial" w:eastAsia="Arial" w:hAnsi="Arial"/>
          <w:sz w:val="17"/>
          <w:szCs w:val="17"/>
          <w:color w:val="auto"/>
        </w:rPr>
      </w:pPr>
      <w:r>
        <w:rPr>
          <w:rFonts w:ascii="Arial" w:cs="Arial" w:eastAsia="Arial" w:hAnsi="Arial"/>
          <w:sz w:val="17"/>
          <w:szCs w:val="17"/>
          <w:color w:val="auto"/>
        </w:rPr>
        <w:t>Section 3(a) of Schedule A to the Original Agreement is hereby amended to extend the Initial Term so that the Initial Term expires on the three (3) year anniversary of the Amendment Effective Date. All other provisions of Section 3(a) remain unmodified.</w:t>
      </w:r>
    </w:p>
    <w:p>
      <w:pPr>
        <w:spacing w:after="0" w:line="146" w:lineRule="exact"/>
        <w:rPr>
          <w:rFonts w:ascii="Arial" w:cs="Arial" w:eastAsia="Arial" w:hAnsi="Arial"/>
          <w:sz w:val="17"/>
          <w:szCs w:val="17"/>
          <w:color w:val="auto"/>
        </w:rPr>
      </w:pPr>
    </w:p>
    <w:p>
      <w:pPr>
        <w:ind w:left="1160" w:hanging="173"/>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Section 8 of Schedule B to the Original Agreement shall be amended to include new Section 8(d):</w:t>
      </w:r>
    </w:p>
    <w:p>
      <w:pPr>
        <w:spacing w:after="0" w:line="113" w:lineRule="exact"/>
        <w:rPr>
          <w:sz w:val="20"/>
          <w:szCs w:val="20"/>
          <w:color w:val="auto"/>
        </w:rPr>
      </w:pPr>
    </w:p>
    <w:p>
      <w:pPr>
        <w:ind w:left="440" w:right="40"/>
        <w:spacing w:after="0" w:line="298"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color w:val="auto"/>
        </w:rPr>
        <w:t>Statement of Issuing Bank and Card Brand Amounts</w:t>
      </w:r>
      <w:r>
        <w:rPr>
          <w:rFonts w:ascii="Arial" w:cs="Arial" w:eastAsia="Arial" w:hAnsi="Arial"/>
          <w:sz w:val="16"/>
          <w:szCs w:val="16"/>
          <w:color w:val="auto"/>
        </w:rPr>
        <w:t>. Any statement or invoice provided by Marqeta to Client under this Agreement or in connection with the Services (including, but not limited to, those contemplated by Sections 8(a)(iv) and 8(b)(ii) of this Schedule B) shall include an itemized accounting for any amounts, payments, or other consideration paid or owed to Issuing Bank and Card Brand in connection with the transactions covered by such statement or invoice. Marqeta agrees, upon request by Client, to provide Client additional detail or information regarding amounts paid or owed to Issuing Bank and Card Brand in connection with the Card Program or provision of the Services.”</w:t>
      </w:r>
    </w:p>
    <w:p>
      <w:pPr>
        <w:spacing w:after="0" w:line="158" w:lineRule="exact"/>
        <w:rPr>
          <w:sz w:val="20"/>
          <w:szCs w:val="20"/>
          <w:color w:val="auto"/>
        </w:rPr>
      </w:pPr>
    </w:p>
    <w:p>
      <w:pPr>
        <w:ind w:left="1160" w:hanging="173"/>
        <w:spacing w:after="0"/>
        <w:tabs>
          <w:tab w:leader="none" w:pos="116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Section 8 of Amendment No. 1 to Master Services Agreement is hereby deleted in its entirety and of no further force and effect.</w:t>
      </w:r>
    </w:p>
    <w:p>
      <w:pPr>
        <w:spacing w:after="0" w:line="236" w:lineRule="exact"/>
        <w:rPr>
          <w:rFonts w:ascii="Arial" w:cs="Arial" w:eastAsia="Arial" w:hAnsi="Arial"/>
          <w:sz w:val="17"/>
          <w:szCs w:val="17"/>
          <w:color w:val="auto"/>
        </w:rPr>
      </w:pPr>
    </w:p>
    <w:p>
      <w:pPr>
        <w:ind w:left="1160" w:hanging="173"/>
        <w:spacing w:after="0"/>
        <w:tabs>
          <w:tab w:leader="none" w:pos="11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Section 8 of Schedule B to the Original Agreement shall be amended to include new Section 8(e):</w:t>
      </w:r>
    </w:p>
    <w:p>
      <w:pPr>
        <w:spacing w:after="0" w:line="113" w:lineRule="exact"/>
        <w:rPr>
          <w:sz w:val="20"/>
          <w:szCs w:val="20"/>
          <w:color w:val="auto"/>
        </w:rPr>
      </w:pPr>
    </w:p>
    <w:p>
      <w:pPr>
        <w:ind w:left="440" w:right="60"/>
        <w:spacing w:after="0" w:line="266"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Benefit of Agreements</w:t>
      </w:r>
      <w:r>
        <w:rPr>
          <w:rFonts w:ascii="Arial" w:cs="Arial" w:eastAsia="Arial" w:hAnsi="Arial"/>
          <w:sz w:val="18"/>
          <w:szCs w:val="18"/>
          <w:color w:val="auto"/>
        </w:rPr>
        <w:t>. All contracts, agreements, deals or other arrangements between Client and any third party (including, but not limited to, any Card Brand) shall inure solely to the benefit of Client and Client shall be entitled to any and all payments, rebates, or other consideration resulting therefrom.”</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98" w:name="page399"/>
    <w:bookmarkEnd w:id="398"/>
    <w:p>
      <w:pPr>
        <w:ind w:right="40" w:firstLine="987"/>
        <w:spacing w:after="0" w:line="277" w:lineRule="auto"/>
        <w:tabs>
          <w:tab w:leader="none" w:pos="1261" w:val="left"/>
        </w:tabs>
        <w:numPr>
          <w:ilvl w:val="0"/>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Marqeta agrees to use commercially reasonable efforts to secure the development and adoption of demand deposit account capability conforming to Client’s preferred specifications from the Issuing Bank.</w:t>
      </w:r>
    </w:p>
    <w:p>
      <w:pPr>
        <w:spacing w:after="0" w:line="170" w:lineRule="exact"/>
        <w:rPr>
          <w:rFonts w:ascii="Arial" w:cs="Arial" w:eastAsia="Arial" w:hAnsi="Arial"/>
          <w:sz w:val="18"/>
          <w:szCs w:val="18"/>
          <w:color w:val="auto"/>
        </w:rPr>
      </w:pPr>
    </w:p>
    <w:p>
      <w:pPr>
        <w:ind w:left="1260" w:hanging="273"/>
        <w:spacing w:after="0"/>
        <w:tabs>
          <w:tab w:leader="none" w:pos="12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Parties agree to, within a reasonable time, discuss [***].</w:t>
      </w:r>
    </w:p>
    <w:p>
      <w:pPr>
        <w:spacing w:after="0" w:line="225" w:lineRule="exact"/>
        <w:rPr>
          <w:rFonts w:ascii="Arial" w:cs="Arial" w:eastAsia="Arial" w:hAnsi="Arial"/>
          <w:sz w:val="18"/>
          <w:szCs w:val="18"/>
          <w:color w:val="auto"/>
        </w:rPr>
      </w:pPr>
    </w:p>
    <w:p>
      <w:pPr>
        <w:ind w:right="180" w:firstLine="987"/>
        <w:spacing w:after="0" w:line="277" w:lineRule="auto"/>
        <w:tabs>
          <w:tab w:leader="none" w:pos="126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Parties agree to, within a reasonable time after the Amendment Effective Date, negotiate and agree to an amended and restated Master Services Agreement, to include a conformed version of the Original Agreement and an update to [***].</w:t>
      </w:r>
    </w:p>
    <w:p>
      <w:pPr>
        <w:spacing w:after="0" w:line="170" w:lineRule="exact"/>
        <w:rPr>
          <w:rFonts w:ascii="Arial" w:cs="Arial" w:eastAsia="Arial" w:hAnsi="Arial"/>
          <w:sz w:val="18"/>
          <w:szCs w:val="18"/>
          <w:color w:val="auto"/>
        </w:rPr>
      </w:pPr>
    </w:p>
    <w:p>
      <w:pPr>
        <w:ind w:left="1260" w:hanging="273"/>
        <w:spacing w:after="0"/>
        <w:tabs>
          <w:tab w:leader="none" w:pos="12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90" w:lineRule="auto"/>
        <w:tabs>
          <w:tab w:leader="none" w:pos="1261"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shall govern and prevail. This Amendment may be executed in any number of counterparts, each of which shall be an original, but all of which together shall constitute one and the same agreement. Execution and delivery of this Amendment by exchange of facsimile copies bearing the facsimile signature of a party hereto or electronic email attachments bearing the facsimile or electronic signature of a party hereto shall constitute a valid and binding execution and delivery of this Amendment by such party in the same manner as an ink-signed original.</w:t>
      </w: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be executed by their duly authorized representatives as of the Amendment Effective Date.</w:t>
      </w:r>
    </w:p>
    <w:p>
      <w:pPr>
        <w:sectPr>
          <w:pgSz w:w="11900" w:h="16838" w:orient="portrait"/>
          <w:cols w:equalWidth="0" w:num="1">
            <w:col w:w="10880"/>
          </w:cols>
          <w:pgMar w:left="440" w:top="274" w:right="57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QUARE</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ARQETA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5120" w:space="720"/>
            <w:col w:w="5040"/>
          </w:cols>
          <w:pgMar w:left="440" w:top="274" w:right="5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2"/>
          <w:szCs w:val="12"/>
          <w:b w:val="1"/>
          <w:bCs w:val="1"/>
          <w:color w:val="auto"/>
        </w:rPr>
        <w:t>Y</w:t>
      </w:r>
      <w:r>
        <w:rPr>
          <w:rFonts w:ascii="Arial" w:cs="Arial" w:eastAsia="Arial" w:hAnsi="Arial"/>
          <w:sz w:val="16"/>
          <w:szCs w:val="16"/>
          <w:b w:val="1"/>
          <w:bCs w:val="1"/>
          <w:color w:val="auto"/>
        </w:rPr>
        <w:t xml:space="preserve">: </w:t>
      </w:r>
      <w:r>
        <w:rPr>
          <w:rFonts w:ascii="Arial" w:cs="Arial" w:eastAsia="Arial" w:hAnsi="Arial"/>
          <w:sz w:val="16"/>
          <w:szCs w:val="16"/>
          <w:color w:val="auto"/>
        </w:rPr>
        <w:t>/s/ Brian Grassadonia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AME</w:t>
      </w:r>
      <w:r>
        <w:rPr>
          <w:rFonts w:ascii="Arial" w:cs="Arial" w:eastAsia="Arial" w:hAnsi="Arial"/>
          <w:sz w:val="16"/>
          <w:szCs w:val="16"/>
          <w:b w:val="1"/>
          <w:bCs w:val="1"/>
          <w:color w:val="auto"/>
        </w:rPr>
        <w:t xml:space="preserve">: </w:t>
      </w:r>
      <w:r>
        <w:rPr>
          <w:rFonts w:ascii="Arial" w:cs="Arial" w:eastAsia="Arial" w:hAnsi="Arial"/>
          <w:sz w:val="16"/>
          <w:szCs w:val="16"/>
          <w:color w:val="auto"/>
        </w:rPr>
        <w:t>Brian Grassadonia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ITLE</w:t>
      </w:r>
      <w:r>
        <w:rPr>
          <w:rFonts w:ascii="Arial" w:cs="Arial" w:eastAsia="Arial" w:hAnsi="Arial"/>
          <w:sz w:val="17"/>
          <w:szCs w:val="17"/>
          <w:b w:val="1"/>
          <w:bCs w:val="1"/>
          <w:color w:val="auto"/>
        </w:rPr>
        <w:t xml:space="preserve">: </w:t>
      </w:r>
      <w:r>
        <w:rPr>
          <w:rFonts w:ascii="Arial" w:cs="Arial" w:eastAsia="Arial" w:hAnsi="Arial"/>
          <w:sz w:val="17"/>
          <w:szCs w:val="17"/>
          <w:color w:val="auto"/>
        </w:rPr>
        <w:t>Square Cash Lead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March 28, 2018</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Y</w:t>
      </w:r>
      <w:r>
        <w:rPr>
          <w:rFonts w:ascii="Arial" w:cs="Arial" w:eastAsia="Arial" w:hAnsi="Arial"/>
          <w:sz w:val="18"/>
          <w:szCs w:val="18"/>
          <w:b w:val="1"/>
          <w:bCs w:val="1"/>
          <w:color w:val="auto"/>
        </w:rPr>
        <w:t xml:space="preserve">: </w:t>
      </w:r>
      <w:r>
        <w:rPr>
          <w:rFonts w:ascii="Arial" w:cs="Arial" w:eastAsia="Arial" w:hAnsi="Arial"/>
          <w:sz w:val="18"/>
          <w:szCs w:val="18"/>
          <w:color w:val="auto"/>
        </w:rPr>
        <w:t>/s/ Omri Dahan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AME</w:t>
      </w:r>
      <w:r>
        <w:rPr>
          <w:rFonts w:ascii="Arial" w:cs="Arial" w:eastAsia="Arial" w:hAnsi="Arial"/>
          <w:sz w:val="18"/>
          <w:szCs w:val="18"/>
          <w:b w:val="1"/>
          <w:bCs w:val="1"/>
          <w:color w:val="auto"/>
        </w:rPr>
        <w:t xml:space="preserve">: </w:t>
      </w:r>
      <w:r>
        <w:rPr>
          <w:rFonts w:ascii="Arial" w:cs="Arial" w:eastAsia="Arial" w:hAnsi="Arial"/>
          <w:sz w:val="18"/>
          <w:szCs w:val="18"/>
          <w:color w:val="auto"/>
        </w:rPr>
        <w:t>Omri Dahan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ITLE</w:t>
      </w:r>
      <w:r>
        <w:rPr>
          <w:rFonts w:ascii="Arial" w:cs="Arial" w:eastAsia="Arial" w:hAnsi="Arial"/>
          <w:sz w:val="17"/>
          <w:szCs w:val="17"/>
          <w:b w:val="1"/>
          <w:bCs w:val="1"/>
          <w:color w:val="auto"/>
        </w:rPr>
        <w:t xml:space="preserve">: </w:t>
      </w:r>
      <w:r>
        <w:rPr>
          <w:rFonts w:ascii="Arial" w:cs="Arial" w:eastAsia="Arial" w:hAnsi="Arial"/>
          <w:sz w:val="17"/>
          <w:szCs w:val="17"/>
          <w:color w:val="auto"/>
        </w:rPr>
        <w:t>Chief Revenue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March 28, 2018</w:t>
      </w:r>
    </w:p>
    <w:p>
      <w:pPr>
        <w:spacing w:after="0" w:line="157" w:lineRule="exact"/>
        <w:rPr>
          <w:sz w:val="20"/>
          <w:szCs w:val="20"/>
          <w:color w:val="auto"/>
        </w:rPr>
      </w:pPr>
    </w:p>
    <w:p>
      <w:pPr>
        <w:sectPr>
          <w:pgSz w:w="11900" w:h="16838" w:orient="portrait"/>
          <w:cols w:equalWidth="0" w:num="2">
            <w:col w:w="5120" w:space="720"/>
            <w:col w:w="5040"/>
          </w:cols>
          <w:pgMar w:left="440" w:top="274" w:right="579" w:bottom="1440" w:gutter="0" w:footer="0" w:header="0"/>
          <w:type w:val="continuous"/>
        </w:sectPr>
      </w:pPr>
    </w:p>
    <w:p>
      <w:pPr>
        <w:jc w:val="center"/>
        <w:ind w:right="-1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880"/>
          </w:cols>
          <w:pgMar w:left="440" w:top="274" w:right="579" w:bottom="1440" w:gutter="0" w:footer="0" w:header="0"/>
          <w:type w:val="continuous"/>
        </w:sectPr>
      </w:pPr>
    </w:p>
    <w:bookmarkStart w:id="399" w:name="page400"/>
    <w:bookmarkEnd w:id="39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7 TO MASTER SERVICES AGREEMENT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DIRECT DEPOSIT SERVICES</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This Direct Deposit Service amendment (“</w:t>
      </w:r>
      <w:r>
        <w:rPr>
          <w:rFonts w:ascii="Arial" w:cs="Arial" w:eastAsia="Arial" w:hAnsi="Arial"/>
          <w:sz w:val="16"/>
          <w:szCs w:val="16"/>
          <w:b w:val="1"/>
          <w:bCs w:val="1"/>
          <w:color w:val="auto"/>
        </w:rPr>
        <w:t>Amendment</w:t>
      </w:r>
      <w:r>
        <w:rPr>
          <w:rFonts w:ascii="Arial" w:cs="Arial" w:eastAsia="Arial" w:hAnsi="Arial"/>
          <w:sz w:val="16"/>
          <w:szCs w:val="16"/>
          <w:color w:val="auto"/>
        </w:rPr>
        <w:t>”) is dated as of June 6, 2019 (“</w:t>
      </w:r>
      <w:r>
        <w:rPr>
          <w:rFonts w:ascii="Arial" w:cs="Arial" w:eastAsia="Arial" w:hAnsi="Arial"/>
          <w:sz w:val="16"/>
          <w:szCs w:val="16"/>
          <w:b w:val="1"/>
          <w:bCs w:val="1"/>
          <w:color w:val="auto"/>
        </w:rPr>
        <w:t>Amendment Effective Date</w:t>
      </w:r>
      <w:r>
        <w:rPr>
          <w:rFonts w:ascii="Arial" w:cs="Arial" w:eastAsia="Arial" w:hAnsi="Arial"/>
          <w:sz w:val="16"/>
          <w:szCs w:val="16"/>
          <w:color w:val="auto"/>
        </w:rPr>
        <w:t>”), and is by and between Marqeta, Inc., (“</w:t>
      </w:r>
      <w:r>
        <w:rPr>
          <w:rFonts w:ascii="Arial" w:cs="Arial" w:eastAsia="Arial" w:hAnsi="Arial"/>
          <w:sz w:val="16"/>
          <w:szCs w:val="16"/>
          <w:b w:val="1"/>
          <w:bCs w:val="1"/>
          <w:color w:val="auto"/>
        </w:rPr>
        <w:t>Marqeta</w:t>
      </w:r>
      <w:r>
        <w:rPr>
          <w:rFonts w:ascii="Arial" w:cs="Arial" w:eastAsia="Arial" w:hAnsi="Arial"/>
          <w:sz w:val="16"/>
          <w:szCs w:val="16"/>
          <w:color w:val="auto"/>
        </w:rPr>
        <w:t>”), and Square, Inc (the “</w:t>
      </w:r>
      <w:r>
        <w:rPr>
          <w:rFonts w:ascii="Arial" w:cs="Arial" w:eastAsia="Arial" w:hAnsi="Arial"/>
          <w:sz w:val="16"/>
          <w:szCs w:val="16"/>
          <w:b w:val="1"/>
          <w:bCs w:val="1"/>
          <w:color w:val="auto"/>
        </w:rPr>
        <w:t>Client</w:t>
      </w:r>
      <w:r>
        <w:rPr>
          <w:rFonts w:ascii="Arial" w:cs="Arial" w:eastAsia="Arial" w:hAnsi="Arial"/>
          <w:sz w:val="16"/>
          <w:szCs w:val="16"/>
          <w:color w:val="auto"/>
        </w:rPr>
        <w:t>”). Marqeta and Client previously entered into that certain Master Services Agreement dated effective April 16, 2019 and as amended by the Amendment No. 1 to Master Services Agreement dated September 1, 2016, Amendment No. 2 to Master Services Agreement dated October 18, 2016, the Letter Amendment dated December 24, 2016, Amendment No. 3 to Master Services Agreement executed by Client on or about June 30, 2017, Amendment No. 4 to Master Services Agreement executed by Client on or about August 2, 2017, Amendment No. 5 to Master Services Agreement dated October 1, 2017, and Amendment No. 6 to Master Services Agreement dated March 28, 2018, (the “Agreement”). Each of Marqeta and the Client are individually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are the “</w:t>
      </w:r>
      <w:r>
        <w:rPr>
          <w:rFonts w:ascii="Arial" w:cs="Arial" w:eastAsia="Arial" w:hAnsi="Arial"/>
          <w:sz w:val="16"/>
          <w:szCs w:val="16"/>
          <w:b w:val="1"/>
          <w:bCs w:val="1"/>
          <w:color w:val="auto"/>
        </w:rPr>
        <w:t>Parties</w:t>
      </w:r>
      <w:r>
        <w:rPr>
          <w:rFonts w:ascii="Arial" w:cs="Arial" w:eastAsia="Arial" w:hAnsi="Arial"/>
          <w:sz w:val="16"/>
          <w:szCs w:val="16"/>
          <w:color w:val="auto"/>
        </w:rPr>
        <w:t>.” Terms not otherwise defined herein shall have the meaning ascribed to them in the Agreement or set forth in the NACHA Operating Rules and Guidelines (the “NACHA Rules”).</w:t>
      </w:r>
    </w:p>
    <w:p>
      <w:pPr>
        <w:spacing w:after="0" w:line="163" w:lineRule="exact"/>
        <w:rPr>
          <w:sz w:val="20"/>
          <w:szCs w:val="20"/>
          <w:color w:val="auto"/>
        </w:rPr>
      </w:pPr>
    </w:p>
    <w:p>
      <w:pPr>
        <w:jc w:val="both"/>
        <w:ind w:left="4" w:right="520" w:firstLine="440"/>
        <w:spacing w:after="0" w:line="263" w:lineRule="auto"/>
        <w:rPr>
          <w:sz w:val="20"/>
          <w:szCs w:val="20"/>
          <w:color w:val="auto"/>
        </w:rPr>
      </w:pPr>
      <w:r>
        <w:rPr>
          <w:rFonts w:ascii="Arial" w:cs="Arial" w:eastAsia="Arial" w:hAnsi="Arial"/>
          <w:sz w:val="18"/>
          <w:szCs w:val="18"/>
          <w:color w:val="auto"/>
        </w:rPr>
        <w:t>Marqeta, with its Issuing Bank, offers the ability for Cardholders to access direct deposit functionality through the provision of account and routing numbers that may be provided to a third party to allow that party to initiate credit (ACH Push) or debit (ACH Pull) Entries over the ACH network to or from a Cardholder’s account (the “Direct Deposit Services”); and</w:t>
      </w:r>
    </w:p>
    <w:p>
      <w:pPr>
        <w:spacing w:after="0" w:line="184"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Client wishes to utilize the Direct Deposit Services offered by Marqeta for Client’s customers and the Parties wish to supplement the Agreement and establish the terms under which Marqeta will provide the Direct Deposit Service.</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Parties agree as follows:</w:t>
      </w:r>
    </w:p>
    <w:p>
      <w:pPr>
        <w:spacing w:after="0" w:line="127" w:lineRule="exact"/>
        <w:rPr>
          <w:sz w:val="20"/>
          <w:szCs w:val="20"/>
          <w:color w:val="auto"/>
        </w:rPr>
      </w:pPr>
    </w:p>
    <w:p>
      <w:pPr>
        <w:ind w:left="424" w:hanging="424"/>
        <w:spacing w:after="0"/>
        <w:tabs>
          <w:tab w:leader="none" w:pos="424"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Access to Direct Deposit Service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right="120" w:hanging="532"/>
        <w:spacing w:after="0" w:line="277" w:lineRule="auto"/>
        <w:tabs>
          <w:tab w:leader="none" w:pos="964" w:val="left"/>
        </w:tabs>
        <w:numPr>
          <w:ilvl w:val="1"/>
          <w:numId w:val="340"/>
        </w:numPr>
        <w:rPr>
          <w:rFonts w:ascii="Arial" w:cs="Arial" w:eastAsia="Arial" w:hAnsi="Arial"/>
          <w:sz w:val="18"/>
          <w:szCs w:val="18"/>
          <w:color w:val="auto"/>
        </w:rPr>
      </w:pPr>
      <w:r>
        <w:rPr>
          <w:rFonts w:ascii="Arial" w:cs="Arial" w:eastAsia="Arial" w:hAnsi="Arial"/>
          <w:sz w:val="18"/>
          <w:szCs w:val="18"/>
          <w:color w:val="auto"/>
        </w:rPr>
        <w:t>Subject to the terms and conditions of this Amendment and the Agreement, Marqeta and the Issuing Bank will provide the Direct Deposit Services to Client and the Cardholders.</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340"/>
        </w:numPr>
        <w:rPr>
          <w:rFonts w:ascii="Arial" w:cs="Arial" w:eastAsia="Arial" w:hAnsi="Arial"/>
          <w:sz w:val="18"/>
          <w:szCs w:val="18"/>
          <w:color w:val="auto"/>
        </w:rPr>
      </w:pPr>
      <w:r>
        <w:rPr>
          <w:rFonts w:ascii="Arial" w:cs="Arial" w:eastAsia="Arial" w:hAnsi="Arial"/>
          <w:sz w:val="18"/>
          <w:szCs w:val="18"/>
          <w:color w:val="auto"/>
        </w:rPr>
        <w:t>Each Party will be solely responsible for compliance with all applicable NACHA Rules in connection with performing its responsibilities under this Amendment and the Agreement.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24" w:right="160" w:hanging="424"/>
        <w:spacing w:after="0" w:line="347" w:lineRule="auto"/>
        <w:tabs>
          <w:tab w:leader="none" w:pos="424" w:val="left"/>
        </w:tabs>
        <w:numPr>
          <w:ilvl w:val="0"/>
          <w:numId w:val="340"/>
        </w:numPr>
        <w:rPr>
          <w:rFonts w:ascii="Arial" w:cs="Arial" w:eastAsia="Arial" w:hAnsi="Arial"/>
          <w:sz w:val="16"/>
          <w:szCs w:val="16"/>
          <w:color w:val="auto"/>
        </w:rPr>
      </w:pPr>
      <w:r>
        <w:rPr>
          <w:rFonts w:ascii="Arial" w:cs="Arial" w:eastAsia="Arial" w:hAnsi="Arial"/>
          <w:sz w:val="16"/>
          <w:szCs w:val="16"/>
          <w:b w:val="1"/>
          <w:bCs w:val="1"/>
          <w:color w:val="auto"/>
        </w:rPr>
        <w:t>Direct Deposit Service Terms and Disclosures</w:t>
      </w:r>
      <w:r>
        <w:rPr>
          <w:rFonts w:ascii="Arial" w:cs="Arial" w:eastAsia="Arial" w:hAnsi="Arial"/>
          <w:sz w:val="16"/>
          <w:szCs w:val="16"/>
          <w:color w:val="auto"/>
        </w:rPr>
        <w:t>. The Parties will work together in good faith to make any necessary changes to the Marqeta</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or Client Materials (including, without limitation, changes to Cardholder agreements) necessary to provide the Direct Deposit Service.</w:t>
      </w:r>
    </w:p>
    <w:p>
      <w:pPr>
        <w:spacing w:after="0" w:line="21" w:lineRule="exact"/>
        <w:rPr>
          <w:rFonts w:ascii="Arial" w:cs="Arial" w:eastAsia="Arial" w:hAnsi="Arial"/>
          <w:sz w:val="16"/>
          <w:szCs w:val="16"/>
          <w:color w:val="auto"/>
        </w:rPr>
      </w:pPr>
    </w:p>
    <w:p>
      <w:pPr>
        <w:ind w:left="424" w:hanging="424"/>
        <w:spacing w:after="0" w:line="294" w:lineRule="auto"/>
        <w:tabs>
          <w:tab w:leader="none" w:pos="424" w:val="left"/>
        </w:tabs>
        <w:numPr>
          <w:ilvl w:val="0"/>
          <w:numId w:val="340"/>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All other terms and conditions of the Agreement, as amended by this Amendment, shall remain in full force and effect. In the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any conflict of this Amendment and the terms and conditions of the Agreement, the terms and conditions of this Amendment shall prevail as related to the Direct Deposit Service. This Amendment may be executed in any number of counterparts, each of which shall be an original, but all of which together shall constitute one and the same agreement. Execution and delivery of this Amendment by exchange of facsimile copies bearing the facsimile signature of a party hereto or electronic email attachments bearing the facsimile or electronic signature of a Party hereto shall constitute a valid and binding execution and delivery of this Amendment by such Party in the same manner as an ink-signed origin.</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400" w:name="page401"/>
    <w:bookmarkEnd w:id="4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is effective as of the Amendment Effective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MARQETA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Omri Dahan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Omri Dahan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Revenue Officer</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June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SQUARE,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Jim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Jim Esposito</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Operations Lead, Cash App</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June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5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74" w:right="1440" w:bottom="1440" w:gutter="0" w:footer="0" w:header="0"/>
        </w:sectPr>
      </w:pPr>
    </w:p>
    <w:bookmarkStart w:id="401" w:name="page402"/>
    <w:bookmarkEnd w:id="401"/>
    <w:p>
      <w:pPr>
        <w:jc w:val="right"/>
        <w:ind w:right="3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19"/>
          </w:cols>
          <w:pgMar w:left="440" w:top="270" w:right="1440" w:bottom="1440" w:gutter="0" w:footer="0" w:header="0"/>
        </w:sectPr>
      </w:pPr>
    </w:p>
    <w:bookmarkStart w:id="402" w:name="page403"/>
    <w:bookmarkEnd w:id="402"/>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8 TO MASTER SERVICES AGREEMENT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Amendment No. 8 to Master Services Agreement (“</w:t>
      </w:r>
      <w:r>
        <w:rPr>
          <w:rFonts w:ascii="Arial" w:cs="Arial" w:eastAsia="Arial" w:hAnsi="Arial"/>
          <w:sz w:val="16"/>
          <w:szCs w:val="16"/>
          <w:u w:val="single" w:color="auto"/>
          <w:color w:val="auto"/>
        </w:rPr>
        <w:t>Amendment</w:t>
      </w:r>
      <w:r>
        <w:rPr>
          <w:rFonts w:ascii="Arial" w:cs="Arial" w:eastAsia="Arial" w:hAnsi="Arial"/>
          <w:sz w:val="16"/>
          <w:szCs w:val="16"/>
          <w:color w:val="auto"/>
        </w:rPr>
        <w:t>”) is effective upon full execution by the Parties (the “</w:t>
      </w:r>
      <w:r>
        <w:rPr>
          <w:rFonts w:ascii="Arial" w:cs="Arial" w:eastAsia="Arial" w:hAnsi="Arial"/>
          <w:sz w:val="16"/>
          <w:szCs w:val="16"/>
          <w:u w:val="single" w:color="auto"/>
          <w:color w:val="auto"/>
        </w:rPr>
        <w:t>Amendment Effective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Date</w:t>
      </w:r>
      <w:r>
        <w:rPr>
          <w:rFonts w:ascii="Arial" w:cs="Arial" w:eastAsia="Arial" w:hAnsi="Arial"/>
          <w:sz w:val="17"/>
          <w:szCs w:val="17"/>
          <w:color w:val="auto"/>
        </w:rPr>
        <w:t>”) by and between Square, Inc., a Delaware corporation, whose principal address is 1455 Market Street Suite 600, San Francisco, CA 94103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Client</w:t>
      </w:r>
      <w:r>
        <w:rPr>
          <w:rFonts w:ascii="Arial" w:cs="Arial" w:eastAsia="Arial" w:hAnsi="Arial"/>
          <w:sz w:val="17"/>
          <w:szCs w:val="17"/>
          <w:color w:val="auto"/>
        </w:rPr>
        <w:t>”), and Marqeta, Inc., a Delaware corporation, whose principal address is 180 Grand Avenue, 6th Floor, Oakland, CA 94612 (hereinafter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Marqeta</w:t>
      </w:r>
      <w:r>
        <w:rPr>
          <w:rFonts w:ascii="Arial" w:cs="Arial" w:eastAsia="Arial" w:hAnsi="Arial"/>
          <w:sz w:val="16"/>
          <w:szCs w:val="16"/>
          <w:color w:val="auto"/>
        </w:rPr>
        <w:t>”, and together with Client, the “</w:t>
      </w:r>
      <w:r>
        <w:rPr>
          <w:rFonts w:ascii="Arial" w:cs="Arial" w:eastAsia="Arial" w:hAnsi="Arial"/>
          <w:sz w:val="16"/>
          <w:szCs w:val="16"/>
          <w:u w:val="single" w:color="auto"/>
          <w:color w:val="auto"/>
        </w:rPr>
        <w:t>Parties</w:t>
      </w:r>
      <w:r>
        <w:rPr>
          <w:rFonts w:ascii="Arial" w:cs="Arial" w:eastAsia="Arial" w:hAnsi="Arial"/>
          <w:sz w:val="16"/>
          <w:szCs w:val="16"/>
          <w:color w:val="auto"/>
        </w:rPr>
        <w:t>”), and amends the Master Services Agreement between Client and Marqeta dated April 19, 2016 as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amended by the Amendment No. 1 to Master Services Agreement dated September 1, 2016, Amendment No. 2 to Master Services Agreement dated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October 18, 2016, the Letter Addendum dated December 24, 2016, Amendment No. 3 to Master Services Agreement executed by Client on or about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June 30, 2017, Amendment No. 4 to Master Services Agreement executed by Client on or about August 2, 2017, Amendment No. 5 to Master Services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dated October 1, 2017, Amendment No. 6 to Master Services Agreement dated April 1, 2018, and Amendment No. 7 to Master Services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dated June 6, 2019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Capitalized terms used herein and not otherwise defined will have the meaning ascribed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them in the Original Agreement.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131" w:lineRule="exact"/>
        <w:rPr>
          <w:sz w:val="20"/>
          <w:szCs w:val="20"/>
          <w:color w:val="auto"/>
        </w:rPr>
      </w:pPr>
    </w:p>
    <w:p>
      <w:pPr>
        <w:ind w:left="424" w:hanging="424"/>
        <w:spacing w:after="0"/>
        <w:tabs>
          <w:tab w:leader="none" w:pos="42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Schedule C, “Definitions,” is amended to add the following definitions:</w:t>
      </w:r>
    </w:p>
    <w:p>
      <w:pPr>
        <w:spacing w:after="0" w:line="117" w:lineRule="exact"/>
        <w:rPr>
          <w:rFonts w:ascii="Arial" w:cs="Arial" w:eastAsia="Arial" w:hAnsi="Arial"/>
          <w:sz w:val="18"/>
          <w:szCs w:val="18"/>
          <w:color w:val="auto"/>
        </w:rPr>
      </w:pPr>
    </w:p>
    <w:p>
      <w:pPr>
        <w:ind w:left="444" w:right="240"/>
        <w:spacing w:after="0" w:line="311" w:lineRule="auto"/>
        <w:rPr>
          <w:rFonts w:ascii="Arial" w:cs="Arial" w:eastAsia="Arial" w:hAnsi="Arial"/>
          <w:sz w:val="18"/>
          <w:szCs w:val="18"/>
          <w:color w:val="auto"/>
        </w:rPr>
      </w:pPr>
      <w:r>
        <w:rPr>
          <w:rFonts w:ascii="Arial" w:cs="Arial" w:eastAsia="Arial" w:hAnsi="Arial"/>
          <w:sz w:val="16"/>
          <w:szCs w:val="16"/>
          <w:color w:val="auto"/>
        </w:rPr>
        <w:t>“Cash App Program” means the financial application offered by Client that allows Customers to send peer-to-peer payments, receive and add funds to a stored balance, activate a virtual [***] debit card linked to the stored balance (“Cash Card’, and those Customers who qualify for and activate such Cash Card, each a “Cardholder”), add the Cash Card to [***] Pay, receive a physical Cash Card, and purchase Bitcoin.</w:t>
      </w:r>
    </w:p>
    <w:p>
      <w:pPr>
        <w:spacing w:after="0" w:line="4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4" w:right="3060" w:hanging="444"/>
        <w:spacing w:after="0" w:line="383" w:lineRule="auto"/>
        <w:tabs>
          <w:tab w:leader="none" w:pos="43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Section (g) of Schedule E, “Performance Standards,” is replaced solely with respect to [***], as follows: [***]</w:t>
      </w:r>
    </w:p>
    <w:p>
      <w:pPr>
        <w:ind w:left="424" w:right="40" w:hanging="424"/>
        <w:spacing w:after="0" w:line="287" w:lineRule="auto"/>
        <w:tabs>
          <w:tab w:leader="none" w:pos="42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w:t>
      </w:r>
    </w:p>
    <w:p>
      <w:pPr>
        <w:spacing w:after="0" w:line="2" w:lineRule="exact"/>
        <w:rPr>
          <w:rFonts w:ascii="Arial" w:cs="Arial" w:eastAsia="Arial" w:hAnsi="Arial"/>
          <w:sz w:val="16"/>
          <w:szCs w:val="16"/>
          <w:color w:val="auto"/>
        </w:rPr>
      </w:pPr>
    </w:p>
    <w:p>
      <w:pPr>
        <w:ind w:left="424" w:right="160"/>
        <w:spacing w:after="0" w:line="273" w:lineRule="auto"/>
        <w:rPr>
          <w:rFonts w:ascii="Arial" w:cs="Arial" w:eastAsia="Arial" w:hAnsi="Arial"/>
          <w:sz w:val="16"/>
          <w:szCs w:val="16"/>
          <w:color w:val="auto"/>
        </w:rPr>
      </w:pPr>
      <w:r>
        <w:rPr>
          <w:rFonts w:ascii="Arial" w:cs="Arial" w:eastAsia="Arial" w:hAnsi="Arial"/>
          <w:sz w:val="17"/>
          <w:szCs w:val="17"/>
          <w:color w:val="auto"/>
        </w:rPr>
        <w:t>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 signed original.</w:t>
      </w:r>
    </w:p>
    <w:p>
      <w:pPr>
        <w:spacing w:after="0" w:line="17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Square, Inc.</w:t>
            </w:r>
          </w:p>
        </w:tc>
        <w:tc>
          <w:tcPr>
            <w:tcW w:w="70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Marqeta, Inc.</w:t>
            </w:r>
          </w:p>
        </w:tc>
      </w:tr>
      <w:tr>
        <w:trPr>
          <w:trHeight w:val="20"/>
        </w:trPr>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53"/>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Jim Esposito</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Omri Dahan</w:t>
            </w:r>
          </w:p>
        </w:tc>
      </w:tr>
      <w:tr>
        <w:trPr>
          <w:trHeight w:val="205"/>
        </w:trPr>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Jim Esposito</w:t>
            </w:r>
          </w:p>
        </w:tc>
        <w:tc>
          <w:tcPr>
            <w:tcW w:w="70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Omri Dahan</w:t>
            </w:r>
          </w:p>
        </w:tc>
      </w:t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Operations Lead - Cash App</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Chief Revenue Officer</w:t>
            </w:r>
          </w:p>
        </w:tc>
      </w:t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September 20, 2019</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September 20, 2019</w:t>
            </w:r>
          </w:p>
        </w:tc>
      </w:tr>
    </w:tbl>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024"/>
          </w:cols>
          <w:pgMar w:left="436" w:top="270" w:right="439" w:bottom="1440" w:gutter="0" w:footer="0" w:header="0"/>
        </w:sectPr>
      </w:pPr>
    </w:p>
    <w:bookmarkStart w:id="403" w:name="page404"/>
    <w:bookmarkEnd w:id="403"/>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9 TO MASTER SERVICES AGREEMENT</w:t>
      </w:r>
    </w:p>
    <w:p>
      <w:pPr>
        <w:spacing w:after="0" w:line="229"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This Amendment No. 9 to Master Services Agreement (“</w:t>
      </w:r>
      <w:r>
        <w:rPr>
          <w:rFonts w:ascii="Arial" w:cs="Arial" w:eastAsia="Arial" w:hAnsi="Arial"/>
          <w:sz w:val="17"/>
          <w:szCs w:val="17"/>
          <w:u w:val="single" w:color="auto"/>
          <w:color w:val="auto"/>
        </w:rPr>
        <w:t>Amendment</w:t>
      </w:r>
      <w:r>
        <w:rPr>
          <w:rFonts w:ascii="Arial" w:cs="Arial" w:eastAsia="Arial" w:hAnsi="Arial"/>
          <w:sz w:val="17"/>
          <w:szCs w:val="17"/>
          <w:color w:val="auto"/>
        </w:rPr>
        <w:t>”) is effective upon full execution by the Parties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by and between Square, Inc., a Delaware corporation, whose principal address is 1455 Market Street Suite 600, San Francisco, CA 94103 (“</w:t>
      </w:r>
      <w:r>
        <w:rPr>
          <w:rFonts w:ascii="Arial" w:cs="Arial" w:eastAsia="Arial" w:hAnsi="Arial"/>
          <w:sz w:val="17"/>
          <w:szCs w:val="17"/>
          <w:u w:val="single" w:color="auto"/>
          <w:color w:val="auto"/>
        </w:rPr>
        <w:t>Client</w:t>
      </w:r>
      <w:r>
        <w:rPr>
          <w:rFonts w:ascii="Arial" w:cs="Arial" w:eastAsia="Arial" w:hAnsi="Arial"/>
          <w:sz w:val="17"/>
          <w:szCs w:val="17"/>
          <w:color w:val="auto"/>
        </w:rPr>
        <w:t>”), and Marqeta, Inc., a Delaware corporation, whose principal address is 180 Grand Avenue, 6th Floor, Oakland, CA 94612 (hereinafter “</w:t>
      </w:r>
      <w:r>
        <w:rPr>
          <w:rFonts w:ascii="Arial" w:cs="Arial" w:eastAsia="Arial" w:hAnsi="Arial"/>
          <w:sz w:val="17"/>
          <w:szCs w:val="17"/>
          <w:u w:val="single" w:color="auto"/>
          <w:color w:val="auto"/>
        </w:rPr>
        <w:t>Marqeta</w:t>
      </w:r>
      <w:r>
        <w:rPr>
          <w:rFonts w:ascii="Arial" w:cs="Arial" w:eastAsia="Arial" w:hAnsi="Arial"/>
          <w:sz w:val="17"/>
          <w:szCs w:val="17"/>
          <w:color w:val="auto"/>
        </w:rPr>
        <w:t>”, and together with Client, the “</w:t>
      </w:r>
      <w:r>
        <w:rPr>
          <w:rFonts w:ascii="Arial" w:cs="Arial" w:eastAsia="Arial" w:hAnsi="Arial"/>
          <w:sz w:val="17"/>
          <w:szCs w:val="17"/>
          <w:u w:val="single" w:color="auto"/>
          <w:color w:val="auto"/>
        </w:rPr>
        <w:t>Parties</w:t>
      </w:r>
      <w:r>
        <w:rPr>
          <w:rFonts w:ascii="Arial" w:cs="Arial" w:eastAsia="Arial" w:hAnsi="Arial"/>
          <w:sz w:val="17"/>
          <w:szCs w:val="17"/>
          <w:color w:val="auto"/>
        </w:rPr>
        <w:t>”), and amends the Master Services Agreement between Client and Marqeta dated April 19, 2016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Amendment No. 4 to Master Services Agreement executed by Client on or about August 2, 2017, Amendment No. 5 to Master Services Agreement dated October 1, 2017, Amendment No. 6 to Master Services Agreement dated April 1, 2018, Amendment No. 7 to Master Services Agreement dated June 6, 2019, and Amendment No. 8 to Master Services Agreement dated September 20, 2019 (the “</w:t>
      </w:r>
      <w:r>
        <w:rPr>
          <w:rFonts w:ascii="Arial" w:cs="Arial" w:eastAsia="Arial" w:hAnsi="Arial"/>
          <w:sz w:val="17"/>
          <w:szCs w:val="17"/>
          <w:u w:val="single" w:color="auto"/>
          <w:color w:val="auto"/>
        </w:rPr>
        <w:t>Original Agreement</w:t>
      </w:r>
      <w:r>
        <w:rPr>
          <w:rFonts w:ascii="Arial" w:cs="Arial" w:eastAsia="Arial" w:hAnsi="Arial"/>
          <w:sz w:val="17"/>
          <w:szCs w:val="17"/>
          <w:color w:val="auto"/>
        </w:rPr>
        <w:t>”). Capitalized terms used herein and not otherwise defined will have the meaning ascribed to them in the Original Agreement.</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127" w:lineRule="exact"/>
        <w:rPr>
          <w:sz w:val="20"/>
          <w:szCs w:val="20"/>
          <w:color w:val="auto"/>
        </w:rPr>
      </w:pPr>
    </w:p>
    <w:p>
      <w:pPr>
        <w:ind w:left="424" w:hanging="424"/>
        <w:spacing w:after="0"/>
        <w:tabs>
          <w:tab w:leader="none" w:pos="42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Fees</w:t>
      </w:r>
      <w:r>
        <w:rPr>
          <w:rFonts w:ascii="Arial" w:cs="Arial" w:eastAsia="Arial" w:hAnsi="Arial"/>
          <w:sz w:val="18"/>
          <w:szCs w:val="18"/>
          <w:color w:val="auto"/>
        </w:rPr>
        <w:t>. Schedule D to the Original Agreement is amended by adding the following provision:</w:t>
      </w:r>
    </w:p>
    <w:p>
      <w:pPr>
        <w:spacing w:after="0" w:line="229"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Marqeta will pass through to Client all [***] that Marqeta actually incurs in connection with enabling [***] (“[***] Fees”). The [***] Fees shall be invoiced and paid as set forth in Schedule B, Section 8(a) of the Original Agreement.</w:t>
      </w:r>
    </w:p>
    <w:p>
      <w:pPr>
        <w:spacing w:after="0" w:line="76" w:lineRule="exact"/>
        <w:rPr>
          <w:sz w:val="20"/>
          <w:szCs w:val="20"/>
          <w:color w:val="auto"/>
        </w:rPr>
      </w:pPr>
    </w:p>
    <w:p>
      <w:pPr>
        <w:ind w:left="424" w:right="40" w:hanging="424"/>
        <w:spacing w:after="0" w:line="287" w:lineRule="auto"/>
        <w:tabs>
          <w:tab w:leader="none" w:pos="424"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w:t>
      </w:r>
    </w:p>
    <w:p>
      <w:pPr>
        <w:spacing w:after="0" w:line="2" w:lineRule="exact"/>
        <w:rPr>
          <w:rFonts w:ascii="Arial" w:cs="Arial" w:eastAsia="Arial" w:hAnsi="Arial"/>
          <w:sz w:val="16"/>
          <w:szCs w:val="16"/>
          <w:color w:val="auto"/>
        </w:rPr>
      </w:pPr>
    </w:p>
    <w:p>
      <w:pPr>
        <w:ind w:left="424" w:right="160"/>
        <w:spacing w:after="0" w:line="273" w:lineRule="auto"/>
        <w:rPr>
          <w:rFonts w:ascii="Arial" w:cs="Arial" w:eastAsia="Arial" w:hAnsi="Arial"/>
          <w:sz w:val="16"/>
          <w:szCs w:val="16"/>
          <w:color w:val="auto"/>
        </w:rPr>
      </w:pPr>
      <w:r>
        <w:rPr>
          <w:rFonts w:ascii="Arial" w:cs="Arial" w:eastAsia="Arial" w:hAnsi="Arial"/>
          <w:sz w:val="17"/>
          <w:szCs w:val="17"/>
          <w:color w:val="auto"/>
        </w:rPr>
        <w:t>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 signed original.</w:t>
      </w:r>
    </w:p>
    <w:p>
      <w:pPr>
        <w:spacing w:after="0" w:line="17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Square, Inc.</w:t>
            </w:r>
          </w:p>
        </w:tc>
        <w:tc>
          <w:tcPr>
            <w:tcW w:w="70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Marqeta, Inc.</w:t>
            </w:r>
          </w:p>
        </w:tc>
      </w:tr>
      <w:tr>
        <w:trPr>
          <w:trHeight w:val="20"/>
        </w:trPr>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53"/>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 Sweetland</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Omri Dahan</w:t>
            </w:r>
          </w:p>
        </w:tc>
      </w:tr>
      <w:tr>
        <w:trPr>
          <w:trHeight w:val="205"/>
        </w:trPr>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Chris Sweetland</w:t>
            </w:r>
          </w:p>
        </w:tc>
        <w:tc>
          <w:tcPr>
            <w:tcW w:w="70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Omri Dahan</w:t>
            </w:r>
          </w:p>
        </w:tc>
      </w:t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Head of Payments Partnerships and Industry Relations</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Chief Revenue Officer</w:t>
            </w:r>
          </w:p>
        </w:tc>
      </w:t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2/7/2020</w:t>
            </w:r>
          </w:p>
        </w:tc>
      </w:tr>
    </w:tbl>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024"/>
          </w:cols>
          <w:pgMar w:left="436" w:top="270" w:right="4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8"/>
          <w:szCs w:val="18"/>
          <w:color w:val="auto"/>
        </w:rPr>
        <w:t>Execution Version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AMENDMENT NO. 10 TO MASTER SERVICES AGREEMENT</w:t>
      </w:r>
    </w:p>
    <w:p>
      <w:pPr>
        <w:spacing w:after="0" w:line="229" w:lineRule="exact"/>
        <w:rPr>
          <w:sz w:val="20"/>
          <w:szCs w:val="20"/>
          <w:color w:val="auto"/>
        </w:rPr>
      </w:pPr>
    </w:p>
    <w:p>
      <w:pPr>
        <w:ind w:left="4" w:right="140"/>
        <w:spacing w:after="0" w:line="269" w:lineRule="auto"/>
        <w:rPr>
          <w:sz w:val="20"/>
          <w:szCs w:val="20"/>
          <w:color w:val="auto"/>
        </w:rPr>
      </w:pPr>
      <w:r>
        <w:rPr>
          <w:rFonts w:ascii="Arial" w:cs="Arial" w:eastAsia="Arial" w:hAnsi="Arial"/>
          <w:sz w:val="17"/>
          <w:szCs w:val="17"/>
          <w:color w:val="auto"/>
        </w:rPr>
        <w:t>This Amendment No. 10 to Master Services Agreement (this “Amendment”) is entered into on the date of the last signature below (the “Addendum Implementation Date”) by and between Square, Inc., a Delaware corporation, whose principal address is 1455 Market Street Suite 600, San Francisco, CA 94103 (“Client”) and Marqeta, Inc., a Delaware corporation, whose principal address is 180 Grand Avenue, 6th Floor, Oakland, CA 94612 (hereinafter “Marqeta”, and together with Client (the “Parties”), and amends the Master Services Agreement between Client and Marqeta dated April 19, 2016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Amendment No. 4 to Master Services Agreement executed by Client on or about August 2, 2017, Amendment No. 5 to Master Services Agreement dated October 1, 2017, Amendment No. 6 to Master Services Agreement dated April 1, 2018, Amendment No. 7 to Master Services Agreement dated June 6, 2019, Amendment No. 8 to Master Services Agreement dated September 20, 2019, and Amendment No. 9 to Master Services Agreement dated February 7, 2020 (the “Original Agreement”). Capitalized terms used herein and not otherwise defined will have the meaning ascribed to them in the Original Agreement.</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Marqeta and Client agree to amend certain provisions in the Original Agreement and the Parties agree as follows:</w:t>
      </w:r>
    </w:p>
    <w:p>
      <w:pPr>
        <w:spacing w:after="0" w:line="252" w:lineRule="exact"/>
        <w:rPr>
          <w:sz w:val="20"/>
          <w:szCs w:val="20"/>
          <w:color w:val="auto"/>
        </w:rPr>
      </w:pPr>
    </w:p>
    <w:p>
      <w:pPr>
        <w:ind w:left="424" w:hanging="424"/>
        <w:spacing w:after="0"/>
        <w:tabs>
          <w:tab w:leader="none" w:pos="42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Unless otherwise defined in this Amendment, all capitalized terms appearing in this Amendment shall have the meaning ascribed thereto in the Original Agreement.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Schedule C, “Definitions,” is amended to add or modify (to the extent already existing) the following definitions:</w:t>
      </w:r>
    </w:p>
    <w:p>
      <w:pPr>
        <w:spacing w:after="0" w:line="117" w:lineRule="exact"/>
        <w:rPr>
          <w:rFonts w:ascii="Arial" w:cs="Arial" w:eastAsia="Arial" w:hAnsi="Arial"/>
          <w:sz w:val="18"/>
          <w:szCs w:val="18"/>
          <w:color w:val="auto"/>
        </w:rPr>
      </w:pPr>
    </w:p>
    <w:p>
      <w:pPr>
        <w:ind w:left="984" w:right="4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Program</w:t>
      </w:r>
      <w:r>
        <w:rPr>
          <w:rFonts w:ascii="Arial" w:cs="Arial" w:eastAsia="Arial" w:hAnsi="Arial"/>
          <w:sz w:val="18"/>
          <w:szCs w:val="18"/>
          <w:color w:val="auto"/>
        </w:rPr>
        <w:t>” means a system of services provided by Marqeta pursuant to the terms of this Agreement under which Cardholders utilize a Card. The features and functionalities generally available for inclusion in each Card Program are described on the Developer Site, as modified from time to time by Marqeta during the Term.</w:t>
      </w:r>
    </w:p>
    <w:p>
      <w:pPr>
        <w:spacing w:after="0" w:line="75" w:lineRule="exact"/>
        <w:rPr>
          <w:rFonts w:ascii="Arial" w:cs="Arial" w:eastAsia="Arial" w:hAnsi="Arial"/>
          <w:sz w:val="18"/>
          <w:szCs w:val="18"/>
          <w:color w:val="auto"/>
        </w:rPr>
      </w:pPr>
    </w:p>
    <w:p>
      <w:pPr>
        <w:ind w:left="984" w:right="680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Square Card Net Interchange</w:t>
      </w:r>
      <w:r>
        <w:rPr>
          <w:rFonts w:ascii="Arial" w:cs="Arial" w:eastAsia="Arial" w:hAnsi="Arial"/>
          <w:sz w:val="18"/>
          <w:szCs w:val="18"/>
          <w:color w:val="auto"/>
        </w:rPr>
        <w:t>” means [***]. “</w:t>
      </w:r>
      <w:r>
        <w:rPr>
          <w:rFonts w:ascii="Arial" w:cs="Arial" w:eastAsia="Arial" w:hAnsi="Arial"/>
          <w:sz w:val="18"/>
          <w:szCs w:val="18"/>
          <w:u w:val="single" w:color="auto"/>
          <w:color w:val="auto"/>
        </w:rPr>
        <w:t>Square Card NPV</w:t>
      </w:r>
      <w:r>
        <w:rPr>
          <w:rFonts w:ascii="Arial" w:cs="Arial" w:eastAsia="Arial" w:hAnsi="Arial"/>
          <w:sz w:val="18"/>
          <w:szCs w:val="18"/>
          <w:color w:val="auto"/>
        </w:rPr>
        <w:t>” means [***].</w:t>
      </w:r>
    </w:p>
    <w:p>
      <w:pPr>
        <w:spacing w:after="0" w:line="1"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Square Card Program</w:t>
      </w:r>
      <w:r>
        <w:rPr>
          <w:rFonts w:ascii="Arial" w:cs="Arial" w:eastAsia="Arial" w:hAnsi="Arial"/>
          <w:sz w:val="17"/>
          <w:szCs w:val="17"/>
          <w:color w:val="auto"/>
        </w:rPr>
        <w:t>” means each Card Program branded as SQUARE CARD, including the U.S. Square Debit Card Program.</w:t>
      </w:r>
    </w:p>
    <w:p>
      <w:pPr>
        <w:spacing w:after="0" w:line="128" w:lineRule="exact"/>
        <w:rPr>
          <w:rFonts w:ascii="Arial" w:cs="Arial" w:eastAsia="Arial" w:hAnsi="Arial"/>
          <w:sz w:val="18"/>
          <w:szCs w:val="18"/>
          <w:color w:val="auto"/>
        </w:rPr>
      </w:pPr>
    </w:p>
    <w:p>
      <w:pPr>
        <w:ind w:left="984" w:right="260"/>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Square Debit Card Program</w:t>
      </w:r>
      <w:r>
        <w:rPr>
          <w:rFonts w:ascii="Arial" w:cs="Arial" w:eastAsia="Arial" w:hAnsi="Arial"/>
          <w:sz w:val="18"/>
          <w:szCs w:val="18"/>
          <w:color w:val="auto"/>
        </w:rPr>
        <w:t>” means the business debit card for the “Square Card” or “Square Register” environment at Marqeta that is linked to the point of sale issued to business owners on the Square platform, which provides access to funds from the sales/revenue generated by the business or added to their balance via an external-linked bank account that can be spent anywhere [***] is accepted, withdrawn as cash via ATM, or transferred to a linked bank account.</w:t>
      </w:r>
    </w:p>
    <w:p>
      <w:pPr>
        <w:spacing w:after="0" w:line="88" w:lineRule="exact"/>
        <w:rPr>
          <w:rFonts w:ascii="Arial" w:cs="Arial" w:eastAsia="Arial" w:hAnsi="Arial"/>
          <w:sz w:val="18"/>
          <w:szCs w:val="18"/>
          <w:color w:val="auto"/>
        </w:rPr>
      </w:pPr>
    </w:p>
    <w:p>
      <w:pPr>
        <w:ind w:left="544" w:hanging="544"/>
        <w:spacing w:after="0"/>
        <w:tabs>
          <w:tab w:leader="none" w:pos="544" w:val="left"/>
        </w:tabs>
        <w:numPr>
          <w:ilvl w:val="0"/>
          <w:numId w:val="344"/>
        </w:numPr>
        <w:rPr>
          <w:rFonts w:ascii="Arial" w:cs="Arial" w:eastAsia="Arial" w:hAnsi="Arial"/>
          <w:sz w:val="17"/>
          <w:szCs w:val="17"/>
          <w:color w:val="auto"/>
        </w:rPr>
      </w:pPr>
      <w:r>
        <w:rPr>
          <w:rFonts w:ascii="Arial" w:cs="Arial" w:eastAsia="Arial" w:hAnsi="Arial"/>
          <w:sz w:val="17"/>
          <w:szCs w:val="17"/>
          <w:b w:val="1"/>
          <w:bCs w:val="1"/>
          <w:color w:val="auto"/>
        </w:rPr>
        <w:t>Extension of Initial Term</w:t>
      </w:r>
      <w:r>
        <w:rPr>
          <w:rFonts w:ascii="Arial" w:cs="Arial" w:eastAsia="Arial" w:hAnsi="Arial"/>
          <w:sz w:val="17"/>
          <w:szCs w:val="17"/>
          <w:color w:val="auto"/>
        </w:rPr>
        <w:t>. Section 3(a) of Schedule A, “Program Terms,” is amended to add the following as an additional paragraph:</w:t>
      </w:r>
    </w:p>
    <w:p>
      <w:pPr>
        <w:spacing w:after="0" w:line="133" w:lineRule="exact"/>
        <w:rPr>
          <w:sz w:val="20"/>
          <w:szCs w:val="20"/>
          <w:color w:val="auto"/>
        </w:rPr>
      </w:pPr>
    </w:p>
    <w:p>
      <w:pPr>
        <w:ind w:left="984" w:right="80"/>
        <w:spacing w:after="0" w:line="273" w:lineRule="auto"/>
        <w:rPr>
          <w:sz w:val="20"/>
          <w:szCs w:val="20"/>
          <w:color w:val="auto"/>
        </w:rPr>
      </w:pPr>
      <w:r>
        <w:rPr>
          <w:rFonts w:ascii="Arial" w:cs="Arial" w:eastAsia="Arial" w:hAnsi="Arial"/>
          <w:sz w:val="17"/>
          <w:szCs w:val="17"/>
          <w:color w:val="auto"/>
        </w:rPr>
        <w:t>The Initial Term solely with respect to the Square Card Programs shall be extended to December 31, 2024, unless terminated earlier in accordance with the Original Agreement (the “Square Card Initial Term”). The Square Card Initial Term shall automatically renew for an unlimited number of one (1) year renewal terms (each, a “Square Card Renewal Term”) unless one Party provides the other with written notice of its intent to terminate not less than one hundred eighty (180) days prior to the end of the then-current Square Card Initial Term or Square Card Renewal Term. The Square Card Initial Term and any subsequent Square Card Renewal Term shall comprise the “Term” of the Original Agreement solely with respect to the Square Card Programs.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8"/>
          <w:szCs w:val="18"/>
          <w:color w:val="auto"/>
        </w:rPr>
        <w:t>Execution Version</w:t>
      </w:r>
    </w:p>
    <w:p>
      <w:pPr>
        <w:spacing w:after="0" w:line="158" w:lineRule="exact"/>
        <w:rPr>
          <w:sz w:val="20"/>
          <w:szCs w:val="20"/>
          <w:color w:val="auto"/>
        </w:rPr>
      </w:pPr>
    </w:p>
    <w:p>
      <w:pPr>
        <w:ind w:left="424" w:right="400" w:hanging="424"/>
        <w:spacing w:after="0" w:line="282" w:lineRule="auto"/>
        <w:tabs>
          <w:tab w:leader="none" w:pos="424"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Payment Terms</w:t>
      </w:r>
      <w:r>
        <w:rPr>
          <w:rFonts w:ascii="Arial" w:cs="Arial" w:eastAsia="Arial" w:hAnsi="Arial"/>
          <w:sz w:val="18"/>
          <w:szCs w:val="18"/>
          <w:color w:val="auto"/>
        </w:rPr>
        <w:t>. For all Square Card Programs, Section 8(a)(iv) of Schedule B, “Statements, Invoices and Payments,” is amended to add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provision at the end of the paragraph:</w:t>
      </w:r>
    </w:p>
    <w:p>
      <w:pPr>
        <w:spacing w:after="0" w:line="58" w:lineRule="exact"/>
        <w:rPr>
          <w:sz w:val="20"/>
          <w:szCs w:val="20"/>
          <w:color w:val="auto"/>
        </w:rPr>
      </w:pPr>
    </w:p>
    <w:p>
      <w:pPr>
        <w:ind w:left="984" w:right="60"/>
        <w:spacing w:after="0" w:line="263" w:lineRule="auto"/>
        <w:rPr>
          <w:sz w:val="20"/>
          <w:szCs w:val="20"/>
          <w:color w:val="auto"/>
        </w:rPr>
      </w:pPr>
      <w:r>
        <w:rPr>
          <w:rFonts w:ascii="Arial" w:cs="Arial" w:eastAsia="Arial" w:hAnsi="Arial"/>
          <w:sz w:val="18"/>
          <w:szCs w:val="18"/>
          <w:color w:val="auto"/>
        </w:rPr>
        <w:t>Any [***] Payment Amounts owed by Client shall be set off with any such amounts owed to Client in determining the net amount payable from one Party to the other on a [***] basis. The reporting party has the right to set off the amount owed with the amount owed by the other Party.</w:t>
      </w:r>
    </w:p>
    <w:p>
      <w:pPr>
        <w:spacing w:after="0" w:line="85" w:lineRule="exact"/>
        <w:rPr>
          <w:sz w:val="20"/>
          <w:szCs w:val="20"/>
          <w:color w:val="auto"/>
        </w:rPr>
      </w:pPr>
    </w:p>
    <w:p>
      <w:pPr>
        <w:ind w:left="424" w:right="80" w:hanging="424"/>
        <w:spacing w:after="0" w:line="282" w:lineRule="auto"/>
        <w:tabs>
          <w:tab w:leader="none" w:pos="424" w:val="left"/>
        </w:tabs>
        <w:numPr>
          <w:ilvl w:val="0"/>
          <w:numId w:val="346"/>
        </w:numPr>
        <w:rPr>
          <w:rFonts w:ascii="Arial" w:cs="Arial" w:eastAsia="Arial" w:hAnsi="Arial"/>
          <w:sz w:val="18"/>
          <w:szCs w:val="18"/>
          <w:color w:val="auto"/>
        </w:rPr>
      </w:pPr>
      <w:r>
        <w:rPr>
          <w:rFonts w:ascii="Arial" w:cs="Arial" w:eastAsia="Arial" w:hAnsi="Arial"/>
          <w:sz w:val="18"/>
          <w:szCs w:val="18"/>
          <w:b w:val="1"/>
          <w:bCs w:val="1"/>
          <w:color w:val="auto"/>
        </w:rPr>
        <w:t>Public Disclosures</w:t>
      </w:r>
      <w:r>
        <w:rPr>
          <w:rFonts w:ascii="Arial" w:cs="Arial" w:eastAsia="Arial" w:hAnsi="Arial"/>
          <w:sz w:val="18"/>
          <w:szCs w:val="18"/>
          <w:color w:val="auto"/>
        </w:rPr>
        <w:t>. Section 16(g) of Schedule B, “Public Disclosures,” is replaced in its entirety with the marketing guidelines attached hereto as</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24" w:right="340" w:hanging="424"/>
        <w:spacing w:after="0" w:line="282" w:lineRule="auto"/>
        <w:tabs>
          <w:tab w:leader="none" w:pos="424" w:val="left"/>
        </w:tabs>
        <w:numPr>
          <w:ilvl w:val="0"/>
          <w:numId w:val="346"/>
        </w:numPr>
        <w:rPr>
          <w:rFonts w:ascii="Arial" w:cs="Arial" w:eastAsia="Arial" w:hAnsi="Arial"/>
          <w:sz w:val="18"/>
          <w:szCs w:val="18"/>
          <w:color w:val="auto"/>
        </w:rPr>
      </w:pPr>
      <w:r>
        <w:rPr>
          <w:rFonts w:ascii="Arial" w:cs="Arial" w:eastAsia="Arial" w:hAnsi="Arial"/>
          <w:sz w:val="18"/>
          <w:szCs w:val="18"/>
          <w:b w:val="1"/>
          <w:bCs w:val="1"/>
          <w:color w:val="auto"/>
        </w:rPr>
        <w:t>Pricing Terms</w:t>
      </w:r>
      <w:r>
        <w:rPr>
          <w:rFonts w:ascii="Arial" w:cs="Arial" w:eastAsia="Arial" w:hAnsi="Arial"/>
          <w:sz w:val="18"/>
          <w:szCs w:val="18"/>
          <w:color w:val="auto"/>
        </w:rPr>
        <w:t>. Schedule D, “Fees - Program Setup &amp; Processing Services,” is hereby amended to add the following sections to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Schedule D:</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Square Card Program Fees</w:t>
      </w:r>
    </w:p>
    <w:p>
      <w:pPr>
        <w:spacing w:after="0" w:line="252" w:lineRule="exact"/>
        <w:rPr>
          <w:sz w:val="20"/>
          <w:szCs w:val="20"/>
          <w:color w:val="auto"/>
        </w:rPr>
      </w:pPr>
    </w:p>
    <w:p>
      <w:pPr>
        <w:ind w:left="964" w:hanging="532"/>
        <w:spacing w:after="0"/>
        <w:tabs>
          <w:tab w:leader="none" w:pos="964" w:val="left"/>
        </w:tabs>
        <w:numPr>
          <w:ilvl w:val="0"/>
          <w:numId w:val="347"/>
        </w:numPr>
        <w:rPr>
          <w:rFonts w:ascii="Arial" w:cs="Arial" w:eastAsia="Arial" w:hAnsi="Arial"/>
          <w:sz w:val="17"/>
          <w:szCs w:val="17"/>
          <w:color w:val="auto"/>
        </w:rPr>
      </w:pPr>
      <w:r>
        <w:rPr>
          <w:rFonts w:ascii="Arial" w:cs="Arial" w:eastAsia="Arial" w:hAnsi="Arial"/>
          <w:sz w:val="17"/>
          <w:szCs w:val="17"/>
          <w:b w:val="1"/>
          <w:bCs w:val="1"/>
          <w:color w:val="auto"/>
        </w:rPr>
        <w:t>U.S. Square Debit Card Program Fees</w:t>
      </w:r>
      <w:r>
        <w:rPr>
          <w:rFonts w:ascii="Arial" w:cs="Arial" w:eastAsia="Arial" w:hAnsi="Arial"/>
          <w:sz w:val="17"/>
          <w:szCs w:val="17"/>
          <w:color w:val="auto"/>
        </w:rPr>
        <w:t>. Beginning on [***], the following terms shall apply to the U.S. Square Debit Card Program:</w:t>
      </w:r>
    </w:p>
    <w:p>
      <w:pPr>
        <w:spacing w:after="0" w:line="132" w:lineRule="exact"/>
        <w:rPr>
          <w:rFonts w:ascii="Arial" w:cs="Arial" w:eastAsia="Arial" w:hAnsi="Arial"/>
          <w:sz w:val="17"/>
          <w:szCs w:val="17"/>
          <w:color w:val="auto"/>
        </w:rPr>
      </w:pPr>
    </w:p>
    <w:p>
      <w:pPr>
        <w:ind w:left="984" w:right="580"/>
        <w:spacing w:after="0" w:line="277" w:lineRule="auto"/>
        <w:rPr>
          <w:rFonts w:ascii="Arial" w:cs="Arial" w:eastAsia="Arial" w:hAnsi="Arial"/>
          <w:sz w:val="17"/>
          <w:szCs w:val="17"/>
          <w:color w:val="auto"/>
        </w:rPr>
      </w:pPr>
      <w:r>
        <w:rPr>
          <w:rFonts w:ascii="Arial" w:cs="Arial" w:eastAsia="Arial" w:hAnsi="Arial"/>
          <w:sz w:val="18"/>
          <w:szCs w:val="18"/>
          <w:u w:val="single" w:color="auto"/>
          <w:color w:val="auto"/>
        </w:rPr>
        <w:t>Revenue Sharing</w:t>
      </w:r>
      <w:r>
        <w:rPr>
          <w:rFonts w:ascii="Arial" w:cs="Arial" w:eastAsia="Arial" w:hAnsi="Arial"/>
          <w:sz w:val="18"/>
          <w:szCs w:val="18"/>
          <w:color w:val="auto"/>
        </w:rPr>
        <w:t>. The table below sets forth the applicable percentage of Square Card Net Interchange to be paid to Client for U.S. transactions. Tiers are calculated on a [***] basis, meaning that if [***].</w:t>
      </w:r>
    </w:p>
    <w:p>
      <w:pPr>
        <w:spacing w:after="0" w:line="192"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680" w:type="dxa"/>
            <w:vAlign w:val="bottom"/>
            <w:tcBorders>
              <w:top w:val="single" w:sz="8" w:color="auto"/>
              <w:left w:val="single" w:sz="8" w:color="auto"/>
              <w:bottom w:val="single" w:sz="8" w:color="auto"/>
              <w:right w:val="single" w:sz="8" w:color="auto"/>
            </w:tcBorders>
          </w:tcPr>
          <w:p>
            <w:pPr>
              <w:jc w:val="center"/>
              <w:ind w:left="34"/>
              <w:spacing w:after="0"/>
              <w:rPr>
                <w:sz w:val="20"/>
                <w:szCs w:val="20"/>
                <w:color w:val="auto"/>
              </w:rPr>
            </w:pPr>
            <w:r>
              <w:rPr>
                <w:rFonts w:ascii="Arial" w:cs="Arial" w:eastAsia="Arial" w:hAnsi="Arial"/>
                <w:sz w:val="14"/>
                <w:szCs w:val="14"/>
                <w:color w:val="auto"/>
                <w:w w:val="99"/>
              </w:rPr>
              <w:t>Tier</w:t>
            </w:r>
          </w:p>
        </w:tc>
        <w:tc>
          <w:tcPr>
            <w:tcW w:w="3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 Square Card NPV</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Client’s % of Square Card Net Interchange</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Marqeta’s % of Square Card Net |Interchange</w:t>
            </w:r>
          </w:p>
        </w:tc>
      </w:tr>
      <w:tr>
        <w:trPr>
          <w:trHeight w:val="209"/>
        </w:trPr>
        <w:tc>
          <w:tcPr>
            <w:tcW w:w="68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9"/>
              </w:rPr>
              <w:t>1</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68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9"/>
              </w:rPr>
              <w:t>2</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9"/>
        </w:trPr>
        <w:tc>
          <w:tcPr>
            <w:tcW w:w="68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9"/>
              </w:rPr>
              <w:t>3</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68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9"/>
              </w:rPr>
              <w:t>4</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1424" w:hanging="439"/>
        <w:spacing w:after="0"/>
        <w:tabs>
          <w:tab w:leader="none" w:pos="142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Chargeback Fees. Solely with respect to the U.S. Square Debit Card Program, the following Chargeback fees apply:</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Marqeta Chargeback and Dispute Resolution for U.S. Square Debit Card Program Fees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800" w:type="dxa"/>
            <w:vAlign w:val="bottom"/>
            <w:tcBorders>
              <w:top w:val="single" w:sz="8" w:color="auto"/>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4"/>
                <w:szCs w:val="14"/>
                <w:b w:val="1"/>
                <w:bCs w:val="1"/>
                <w:color w:val="auto"/>
              </w:rPr>
              <w:t>Item</w:t>
            </w:r>
          </w:p>
        </w:tc>
        <w:tc>
          <w:tcPr>
            <w:tcW w:w="4740" w:type="dxa"/>
            <w:vAlign w:val="bottom"/>
            <w:tcBorders>
              <w:top w:val="single" w:sz="8" w:color="auto"/>
              <w:bottom w:val="single" w:sz="8" w:color="auto"/>
              <w:right w:val="single" w:sz="8" w:color="auto"/>
            </w:tcBorders>
          </w:tcPr>
          <w:p>
            <w:pPr>
              <w:jc w:val="right"/>
              <w:ind w:right="1899"/>
              <w:spacing w:after="0"/>
              <w:rPr>
                <w:sz w:val="20"/>
                <w:szCs w:val="20"/>
                <w:color w:val="auto"/>
              </w:rPr>
            </w:pPr>
            <w:r>
              <w:rPr>
                <w:rFonts w:ascii="Arial" w:cs="Arial" w:eastAsia="Arial" w:hAnsi="Arial"/>
                <w:sz w:val="14"/>
                <w:szCs w:val="14"/>
                <w:b w:val="1"/>
                <w:bCs w:val="1"/>
                <w:color w:val="auto"/>
              </w:rPr>
              <w:t>Description</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Fee</w:t>
            </w:r>
          </w:p>
        </w:tc>
      </w:tr>
      <w:tr>
        <w:trPr>
          <w:trHeight w:val="224"/>
        </w:trPr>
        <w:tc>
          <w:tcPr>
            <w:tcW w:w="800" w:type="dxa"/>
            <w:vAlign w:val="bottom"/>
            <w:tcBorders>
              <w:left w:val="single" w:sz="8" w:color="auto"/>
              <w:right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4740" w:type="dxa"/>
            <w:vAlign w:val="bottom"/>
            <w:tcBorders>
              <w:right w:val="single" w:sz="8" w:color="auto"/>
            </w:tcBorders>
          </w:tcPr>
          <w:p>
            <w:pPr>
              <w:jc w:val="right"/>
              <w:ind w:right="4159"/>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139"/>
              <w:spacing w:after="0"/>
              <w:rPr>
                <w:sz w:val="20"/>
                <w:szCs w:val="20"/>
                <w:color w:val="auto"/>
              </w:rPr>
            </w:pPr>
            <w:r>
              <w:rPr>
                <w:rFonts w:ascii="Arial" w:cs="Arial" w:eastAsia="Arial" w:hAnsi="Arial"/>
                <w:sz w:val="18"/>
                <w:szCs w:val="18"/>
                <w:color w:val="auto"/>
              </w:rPr>
              <w:t>[***]</w:t>
            </w:r>
          </w:p>
        </w:tc>
        <w:tc>
          <w:tcPr>
            <w:tcW w:w="4620" w:type="dxa"/>
            <w:vAlign w:val="bottom"/>
            <w:tcBorders>
              <w:right w:val="single" w:sz="8" w:color="auto"/>
            </w:tcBorders>
          </w:tcPr>
          <w:p>
            <w:pPr>
              <w:jc w:val="right"/>
              <w:ind w:right="2019"/>
              <w:spacing w:after="0"/>
              <w:rPr>
                <w:sz w:val="20"/>
                <w:szCs w:val="20"/>
                <w:color w:val="auto"/>
              </w:rPr>
            </w:pPr>
            <w:r>
              <w:rPr>
                <w:rFonts w:ascii="Arial" w:cs="Arial" w:eastAsia="Arial" w:hAnsi="Arial"/>
                <w:sz w:val="18"/>
                <w:szCs w:val="18"/>
                <w:color w:val="auto"/>
              </w:rPr>
              <w:t>[***]</w:t>
            </w:r>
          </w:p>
        </w:tc>
      </w:tr>
      <w:tr>
        <w:trPr>
          <w:trHeight w:val="202"/>
        </w:trPr>
        <w:tc>
          <w:tcPr>
            <w:tcW w:w="800" w:type="dxa"/>
            <w:vAlign w:val="bottom"/>
            <w:tcBorders>
              <w:left w:val="single" w:sz="8" w:color="auto"/>
              <w:bottom w:val="single" w:sz="8" w:color="auto"/>
              <w:right w:val="single" w:sz="8" w:color="auto"/>
            </w:tcBorders>
          </w:tcPr>
          <w:p>
            <w:pPr>
              <w:spacing w:after="0"/>
              <w:rPr>
                <w:sz w:val="17"/>
                <w:szCs w:val="17"/>
                <w:color w:val="auto"/>
              </w:rPr>
            </w:pPr>
          </w:p>
        </w:tc>
        <w:tc>
          <w:tcPr>
            <w:tcW w:w="47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4620" w:type="dxa"/>
            <w:vAlign w:val="bottom"/>
            <w:tcBorders>
              <w:bottom w:val="single" w:sz="8" w:color="auto"/>
              <w:right w:val="single" w:sz="8" w:color="auto"/>
            </w:tcBorders>
          </w:tcPr>
          <w:p>
            <w:pPr>
              <w:spacing w:after="0"/>
              <w:rPr>
                <w:sz w:val="17"/>
                <w:szCs w:val="17"/>
                <w:color w:val="auto"/>
              </w:rPr>
            </w:pPr>
          </w:p>
        </w:tc>
      </w:tr>
    </w:tbl>
    <w:p>
      <w:pPr>
        <w:spacing w:after="0" w:line="225" w:lineRule="exact"/>
        <w:rPr>
          <w:sz w:val="20"/>
          <w:szCs w:val="20"/>
          <w:color w:val="auto"/>
        </w:rPr>
      </w:pPr>
    </w:p>
    <w:p>
      <w:pPr>
        <w:ind w:left="964" w:hanging="532"/>
        <w:spacing w:after="0"/>
        <w:tabs>
          <w:tab w:leader="none" w:pos="964"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t>Additional Square Card Program Fees</w:t>
      </w:r>
      <w:r>
        <w:rPr>
          <w:rFonts w:ascii="Arial" w:cs="Arial" w:eastAsia="Arial" w:hAnsi="Arial"/>
          <w:sz w:val="18"/>
          <w:szCs w:val="18"/>
          <w:color w:val="auto"/>
        </w:rPr>
        <w:t>.</w:t>
      </w:r>
    </w:p>
    <w:p>
      <w:pPr>
        <w:spacing w:after="0" w:line="121" w:lineRule="exact"/>
        <w:rPr>
          <w:sz w:val="20"/>
          <w:szCs w:val="20"/>
          <w:color w:val="auto"/>
        </w:rPr>
      </w:pPr>
    </w:p>
    <w:p>
      <w:pPr>
        <w:ind w:left="5464" w:right="80" w:hanging="4030"/>
        <w:spacing w:after="0" w:line="449" w:lineRule="auto"/>
        <w:rPr>
          <w:sz w:val="20"/>
          <w:szCs w:val="20"/>
          <w:color w:val="auto"/>
        </w:rPr>
      </w:pPr>
      <w:r>
        <w:rPr>
          <w:rFonts w:ascii="Arial" w:cs="Arial" w:eastAsia="Arial" w:hAnsi="Arial"/>
          <w:sz w:val="18"/>
          <w:szCs w:val="18"/>
          <w:u w:val="single" w:color="auto"/>
          <w:color w:val="auto"/>
        </w:rPr>
        <w:t>Square Card Program ATM Fees</w:t>
      </w:r>
      <w:r>
        <w:rPr>
          <w:rFonts w:ascii="Arial" w:cs="Arial" w:eastAsia="Arial" w:hAnsi="Arial"/>
          <w:sz w:val="18"/>
          <w:szCs w:val="18"/>
          <w:color w:val="auto"/>
        </w:rPr>
        <w:t>. The fees set forth in the following table shall be the sole fees paid by Client for ATM transactions. 3</w:t>
      </w:r>
    </w:p>
    <w:p>
      <w:pPr>
        <w:sectPr>
          <w:pgSz w:w="11900" w:h="16838" w:orient="portrait"/>
          <w:cols w:equalWidth="0" w:num="1">
            <w:col w:w="11024"/>
          </w:cols>
          <w:pgMar w:left="436" w:top="270" w:right="439" w:bottom="1440" w:gutter="0" w:footer="0" w:header="0"/>
        </w:sectPr>
      </w:pPr>
    </w:p>
    <w:bookmarkStart w:id="406" w:name="page407"/>
    <w:bookmarkEnd w:id="406"/>
    <w:tbl>
      <w:tblPr>
        <w:tblLayout w:type="fixed"/>
        <w:tblInd w:w="1774"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5420" w:type="dxa"/>
            <w:vAlign w:val="bottom"/>
            <w:gridSpan w:val="2"/>
          </w:tcPr>
          <w:p>
            <w:pPr>
              <w:ind w:left="3080"/>
              <w:spacing w:after="0"/>
              <w:rPr>
                <w:sz w:val="20"/>
                <w:szCs w:val="20"/>
                <w:color w:val="auto"/>
              </w:rPr>
            </w:pPr>
            <w:r>
              <w:rPr>
                <w:rFonts w:ascii="Arial" w:cs="Arial" w:eastAsia="Arial" w:hAnsi="Arial"/>
                <w:sz w:val="18"/>
                <w:szCs w:val="18"/>
                <w:b w:val="1"/>
                <w:bCs w:val="1"/>
                <w:color w:val="auto"/>
                <w:w w:val="91"/>
              </w:rPr>
              <w:t xml:space="preserve">Confidential </w:t>
            </w:r>
            <w:r>
              <w:rPr>
                <w:rFonts w:ascii="Arial" w:cs="Arial" w:eastAsia="Arial" w:hAnsi="Arial"/>
                <w:sz w:val="18"/>
                <w:szCs w:val="18"/>
                <w:color w:val="auto"/>
                <w:w w:val="91"/>
              </w:rPr>
              <w:t>Execution Version</w:t>
            </w:r>
          </w:p>
        </w:tc>
      </w:tr>
      <w:tr>
        <w:trPr>
          <w:trHeight w:val="148"/>
        </w:trPr>
        <w:tc>
          <w:tcPr>
            <w:tcW w:w="384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tcPr>
          <w:p>
            <w:pPr>
              <w:spacing w:after="0"/>
              <w:rPr>
                <w:sz w:val="12"/>
                <w:szCs w:val="12"/>
                <w:color w:val="auto"/>
              </w:rPr>
            </w:pPr>
          </w:p>
        </w:tc>
        <w:tc>
          <w:tcPr>
            <w:tcW w:w="1760" w:type="dxa"/>
            <w:vAlign w:val="bottom"/>
          </w:tcPr>
          <w:p>
            <w:pPr>
              <w:spacing w:after="0"/>
              <w:rPr>
                <w:sz w:val="12"/>
                <w:szCs w:val="12"/>
                <w:color w:val="auto"/>
              </w:rPr>
            </w:pPr>
          </w:p>
        </w:tc>
      </w:tr>
      <w:tr>
        <w:trPr>
          <w:trHeight w:val="210"/>
        </w:trPr>
        <w:tc>
          <w:tcPr>
            <w:tcW w:w="3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Transaction Type</w:t>
            </w:r>
          </w:p>
        </w:tc>
        <w:tc>
          <w:tcPr>
            <w:tcW w:w="3660" w:type="dxa"/>
            <w:vAlign w:val="bottom"/>
            <w:tcBorders>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0"/>
              </w:rPr>
              <w:t>Fee (per transaction)</w:t>
            </w:r>
          </w:p>
        </w:tc>
        <w:tc>
          <w:tcPr>
            <w:tcW w:w="1760" w:type="dxa"/>
            <w:vAlign w:val="bottom"/>
          </w:tcPr>
          <w:p>
            <w:pPr>
              <w:spacing w:after="0"/>
              <w:rPr>
                <w:sz w:val="18"/>
                <w:szCs w:val="18"/>
                <w:color w:val="auto"/>
              </w:rPr>
            </w:pPr>
          </w:p>
        </w:tc>
      </w:tr>
      <w:tr>
        <w:trPr>
          <w:trHeight w:val="209"/>
        </w:trPr>
        <w:tc>
          <w:tcPr>
            <w:tcW w:w="3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09"/>
        </w:trPr>
        <w:tc>
          <w:tcPr>
            <w:tcW w:w="3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0"/>
        </w:trPr>
        <w:tc>
          <w:tcPr>
            <w:tcW w:w="38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424"/>
        <w:spacing w:after="0"/>
        <w:rPr>
          <w:sz w:val="20"/>
          <w:szCs w:val="20"/>
          <w:color w:val="auto"/>
        </w:rPr>
      </w:pPr>
      <w:r>
        <w:rPr>
          <w:rFonts w:ascii="Arial" w:cs="Arial" w:eastAsia="Arial" w:hAnsi="Arial"/>
          <w:sz w:val="18"/>
          <w:szCs w:val="18"/>
          <w:color w:val="auto"/>
        </w:rPr>
        <w:t>Tokenization fees for Square Card Programs will be charged as follows:</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1900" w:type="dxa"/>
            <w:vAlign w:val="bottom"/>
            <w:tcBorders>
              <w:top w:val="single" w:sz="8" w:color="auto"/>
              <w:left w:val="single" w:sz="8" w:color="auto"/>
              <w:bottom w:val="single" w:sz="8" w:color="auto"/>
              <w:right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Item</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r>
      <w:tr>
        <w:trPr>
          <w:trHeight w:val="210"/>
        </w:trPr>
        <w:tc>
          <w:tcPr>
            <w:tcW w:w="1900" w:type="dxa"/>
            <w:vAlign w:val="bottom"/>
            <w:tcBorders>
              <w:left w:val="single" w:sz="8" w:color="auto"/>
              <w:bottom w:val="single" w:sz="8" w:color="auto"/>
              <w:right w:val="single" w:sz="8" w:color="auto"/>
            </w:tcBorders>
          </w:tcPr>
          <w:p>
            <w:pPr>
              <w:jc w:val="right"/>
              <w:ind w:right="619"/>
              <w:spacing w:after="0"/>
              <w:rPr>
                <w:sz w:val="20"/>
                <w:szCs w:val="20"/>
                <w:color w:val="auto"/>
              </w:rPr>
            </w:pPr>
            <w:r>
              <w:rPr>
                <w:rFonts w:ascii="Arial" w:cs="Arial" w:eastAsia="Arial" w:hAnsi="Arial"/>
                <w:sz w:val="18"/>
                <w:szCs w:val="18"/>
                <w:color w:val="auto"/>
              </w:rPr>
              <w:t>[***]</w:t>
            </w:r>
          </w:p>
        </w:tc>
        <w:tc>
          <w:tcPr>
            <w:tcW w:w="4200" w:type="dxa"/>
            <w:vAlign w:val="bottom"/>
            <w:tcBorders>
              <w:bottom w:val="single" w:sz="8" w:color="auto"/>
              <w:right w:val="single" w:sz="8" w:color="auto"/>
            </w:tcBorders>
          </w:tcPr>
          <w:p>
            <w:pPr>
              <w:jc w:val="right"/>
              <w:ind w:right="179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8"/>
                <w:szCs w:val="18"/>
                <w:color w:val="auto"/>
              </w:rPr>
              <w:t>[***]</w:t>
            </w:r>
          </w:p>
        </w:tc>
        <w:tc>
          <w:tcPr>
            <w:tcW w:w="4080" w:type="dxa"/>
            <w:vAlign w:val="bottom"/>
            <w:tcBorders>
              <w:bottom w:val="single" w:sz="8" w:color="auto"/>
              <w:right w:val="single" w:sz="8" w:color="auto"/>
            </w:tcBorders>
          </w:tcPr>
          <w:p>
            <w:pPr>
              <w:jc w:val="right"/>
              <w:ind w:right="1739"/>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24" w:right="40" w:hanging="424"/>
        <w:spacing w:after="0" w:line="287" w:lineRule="auto"/>
        <w:tabs>
          <w:tab w:leader="none" w:pos="424"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w:t>
      </w:r>
    </w:p>
    <w:p>
      <w:pPr>
        <w:spacing w:after="0" w:line="2" w:lineRule="exact"/>
        <w:rPr>
          <w:rFonts w:ascii="Arial" w:cs="Arial" w:eastAsia="Arial" w:hAnsi="Arial"/>
          <w:sz w:val="16"/>
          <w:szCs w:val="16"/>
          <w:color w:val="auto"/>
        </w:rPr>
      </w:pPr>
    </w:p>
    <w:p>
      <w:pPr>
        <w:ind w:left="424" w:right="160"/>
        <w:spacing w:after="0" w:line="273" w:lineRule="auto"/>
        <w:rPr>
          <w:rFonts w:ascii="Arial" w:cs="Arial" w:eastAsia="Arial" w:hAnsi="Arial"/>
          <w:sz w:val="16"/>
          <w:szCs w:val="16"/>
          <w:color w:val="auto"/>
        </w:rPr>
      </w:pPr>
      <w:r>
        <w:rPr>
          <w:rFonts w:ascii="Arial" w:cs="Arial" w:eastAsia="Arial" w:hAnsi="Arial"/>
          <w:sz w:val="17"/>
          <w:szCs w:val="17"/>
          <w:color w:val="auto"/>
        </w:rPr>
        <w:t>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ink-signed original.</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407" w:name="page408"/>
    <w:bookmarkEnd w:id="407"/>
    <w:p>
      <w:pPr>
        <w:ind w:left="8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6"/>
          <w:szCs w:val="16"/>
          <w:color w:val="auto"/>
        </w:rPr>
        <w:t>Execution Version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Square, Inc.</w:t>
            </w:r>
          </w:p>
        </w:tc>
        <w:tc>
          <w:tcPr>
            <w:tcW w:w="70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Marqeta, Inc.</w:t>
            </w:r>
          </w:p>
        </w:tc>
      </w:tr>
      <w:tr>
        <w:trPr>
          <w:trHeight w:val="20"/>
        </w:trPr>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53"/>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 Sweetland</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Omri Dahan</w:t>
            </w:r>
          </w:p>
        </w:tc>
      </w:tr>
      <w:tr>
        <w:trPr>
          <w:trHeight w:val="205"/>
        </w:trPr>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Chris Sweetland</w:t>
            </w:r>
          </w:p>
        </w:tc>
        <w:tc>
          <w:tcPr>
            <w:tcW w:w="70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Omri Dahan</w:t>
            </w:r>
          </w:p>
        </w:tc>
      </w:t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Head of Payments Partnerships and Industry Relations</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Chief Revenue Officer</w:t>
            </w:r>
          </w:p>
        </w:tc>
      </w:t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11/21/2020</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November 23, 2020</w:t>
            </w:r>
          </w:p>
        </w:tc>
      </w:tr>
      <w:tr>
        <w:trPr>
          <w:trHeight w:val="364"/>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8"/>
          <w:szCs w:val="18"/>
          <w:color w:val="auto"/>
        </w:rPr>
        <w:t>Execution Version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MARKETING PLAN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Term, the Parties and their Affiliates shall jointly engage in and assist each other in implementing the following marketing activities (the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8"/>
          <w:szCs w:val="18"/>
          <w:color w:val="auto"/>
        </w:rPr>
        <w:t>Execution Version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AMENDMENT NO. 11 TO MASTER SERVICES AGREEMENT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This Amendment No. 11 to Master Services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on the date of the last signature below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Addendum Implementation Date</w:t>
      </w:r>
      <w:r>
        <w:rPr>
          <w:rFonts w:ascii="Arial" w:cs="Arial" w:eastAsia="Arial" w:hAnsi="Arial"/>
          <w:sz w:val="16"/>
          <w:szCs w:val="16"/>
          <w:color w:val="auto"/>
        </w:rPr>
        <w:t>”) “) by and between Square, Inc., a Delaware corporation, whose principal address is 1455 Market Street Suite 600,</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San Francisco, CA 94103 (“</w:t>
      </w:r>
      <w:r>
        <w:rPr>
          <w:rFonts w:ascii="Arial" w:cs="Arial" w:eastAsia="Arial" w:hAnsi="Arial"/>
          <w:sz w:val="17"/>
          <w:szCs w:val="17"/>
          <w:u w:val="single" w:color="auto"/>
          <w:color w:val="auto"/>
        </w:rPr>
        <w:t>Client</w:t>
      </w:r>
      <w:r>
        <w:rPr>
          <w:rFonts w:ascii="Arial" w:cs="Arial" w:eastAsia="Arial" w:hAnsi="Arial"/>
          <w:sz w:val="17"/>
          <w:szCs w:val="17"/>
          <w:color w:val="auto"/>
        </w:rPr>
        <w:t>”) and [***], an [***] corporation, whose principal address is [***] (“</w:t>
      </w:r>
      <w:r>
        <w:rPr>
          <w:rFonts w:ascii="Arial" w:cs="Arial" w:eastAsia="Arial" w:hAnsi="Arial"/>
          <w:sz w:val="17"/>
          <w:szCs w:val="17"/>
          <w:u w:val="single" w:color="auto"/>
          <w:color w:val="auto"/>
        </w:rPr>
        <w:t>Client Affiliate</w:t>
      </w:r>
      <w:r>
        <w:rPr>
          <w:rFonts w:ascii="Arial" w:cs="Arial" w:eastAsia="Arial" w:hAnsi="Arial"/>
          <w:sz w:val="17"/>
          <w:szCs w:val="17"/>
          <w:color w:val="auto"/>
        </w:rPr>
        <w:t>”) on the one hand, and Marqeta,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 a Delaware corporation, whose principal address is 180 Grand Avenue, 6th Floor, Oakland, CA 94612 on the other hand (hereinafter “</w:t>
      </w:r>
      <w:r>
        <w:rPr>
          <w:rFonts w:ascii="Arial" w:cs="Arial" w:eastAsia="Arial" w:hAnsi="Arial"/>
          <w:sz w:val="16"/>
          <w:szCs w:val="16"/>
          <w:u w:val="single" w:color="auto"/>
          <w:color w:val="auto"/>
        </w:rPr>
        <w:t>Marqeta</w:t>
      </w:r>
      <w:r>
        <w:rPr>
          <w:rFonts w:ascii="Arial" w:cs="Arial" w:eastAsia="Arial" w:hAnsi="Arial"/>
          <w:sz w:val="16"/>
          <w:szCs w:val="16"/>
          <w:color w:val="auto"/>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together with Client and Client Affiliate, the “</w:t>
      </w:r>
      <w:r>
        <w:rPr>
          <w:rFonts w:ascii="Arial" w:cs="Arial" w:eastAsia="Arial" w:hAnsi="Arial"/>
          <w:sz w:val="16"/>
          <w:szCs w:val="16"/>
          <w:u w:val="single" w:color="auto"/>
          <w:color w:val="auto"/>
        </w:rPr>
        <w:t>Parties</w:t>
      </w:r>
      <w:r>
        <w:rPr>
          <w:rFonts w:ascii="Arial" w:cs="Arial" w:eastAsia="Arial" w:hAnsi="Arial"/>
          <w:sz w:val="16"/>
          <w:szCs w:val="16"/>
          <w:color w:val="auto"/>
        </w:rPr>
        <w:t>”), and amends the Master Services Agreement between Client and Marqeta dated April 19,</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2016 as amended by the Amendment No. 1 to Master Services Agreement dated September 1, 2016, Amendment No. 2 to Master Services Agreement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dated October 18, 2016, the Letter Addendum dated December 24, 2016, Amendment No. 3 to Master Services Agreement executed by Client on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about June 30, 2017, Amendment No. 4 to Master Services Agreement executed by Client on or about August 2, 2017, Amendment No. 5 to Master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Services Agreement dated October 1, 2017, Amendment No. 6 to Master Services Agreement dated April 1, 2018, Amendment No. 7 to Master Services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dated June 6, 2019, Amendment No. 8 to Master Services Agreement dated September 20, 2019, Amendment No. 9 to Master Services</w:t>
      </w:r>
    </w:p>
    <w:p>
      <w:pPr>
        <w:spacing w:after="0" w:line="32" w:lineRule="exact"/>
        <w:rPr>
          <w:sz w:val="20"/>
          <w:szCs w:val="20"/>
          <w:color w:val="auto"/>
        </w:rPr>
      </w:pPr>
    </w:p>
    <w:p>
      <w:pPr>
        <w:ind w:left="4" w:right="140"/>
        <w:spacing w:after="0" w:line="260" w:lineRule="auto"/>
        <w:rPr>
          <w:sz w:val="20"/>
          <w:szCs w:val="20"/>
          <w:color w:val="auto"/>
        </w:rPr>
      </w:pPr>
      <w:r>
        <w:rPr>
          <w:rFonts w:ascii="Arial" w:cs="Arial" w:eastAsia="Arial" w:hAnsi="Arial"/>
          <w:sz w:val="18"/>
          <w:szCs w:val="18"/>
          <w:color w:val="auto"/>
        </w:rPr>
        <w:t>Agreement dated February 7, 2020, and Amendment No. 10 to Master Services Agreement dated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Capitalized terms used herein and not otherwise defined will have the meaning ascribed to them in the Original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4470400</wp:posOffset>
            </wp:positionH>
            <wp:positionV relativeFrom="paragraph">
              <wp:posOffset>-172720</wp:posOffset>
            </wp:positionV>
            <wp:extent cx="57150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1" w:lineRule="exact"/>
        <w:rPr>
          <w:sz w:val="20"/>
          <w:szCs w:val="20"/>
          <w:color w:val="auto"/>
        </w:rPr>
      </w:pPr>
    </w:p>
    <w:p>
      <w:pPr>
        <w:ind w:left="964" w:hanging="532"/>
        <w:spacing w:after="0"/>
        <w:tabs>
          <w:tab w:leader="none" w:pos="96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Marqeta and Client and Client Affiliate agree to amend certain provisions in the Original Agreement;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370" w:lineRule="exact"/>
        <w:rPr>
          <w:sz w:val="20"/>
          <w:szCs w:val="20"/>
          <w:color w:val="auto"/>
        </w:rPr>
      </w:pPr>
    </w:p>
    <w:p>
      <w:pPr>
        <w:ind w:left="424" w:hanging="424"/>
        <w:spacing w:after="0"/>
        <w:tabs>
          <w:tab w:leader="none" w:pos="424"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4" w:right="300" w:hanging="439"/>
        <w:spacing w:after="0" w:line="277" w:lineRule="auto"/>
        <w:tabs>
          <w:tab w:leader="none" w:pos="1424" w:val="left"/>
        </w:tabs>
        <w:numPr>
          <w:ilvl w:val="1"/>
          <w:numId w:val="352"/>
        </w:numPr>
        <w:rPr>
          <w:rFonts w:ascii="Arial" w:cs="Arial" w:eastAsia="Arial" w:hAnsi="Arial"/>
          <w:sz w:val="18"/>
          <w:szCs w:val="18"/>
          <w:color w:val="auto"/>
        </w:rPr>
      </w:pPr>
      <w:r>
        <w:rPr>
          <w:rFonts w:ascii="Arial" w:cs="Arial" w:eastAsia="Arial" w:hAnsi="Arial"/>
          <w:sz w:val="18"/>
          <w:szCs w:val="18"/>
          <w:color w:val="auto"/>
        </w:rPr>
        <w:t>Unless otherwise defined in this Amendment, all capitalized terms appearing in this Amendment shall have the meaning ascribed thereto in the Original Agreement.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352"/>
        </w:numPr>
        <w:rPr>
          <w:rFonts w:ascii="Arial" w:cs="Arial" w:eastAsia="Arial" w:hAnsi="Arial"/>
          <w:sz w:val="18"/>
          <w:szCs w:val="18"/>
          <w:color w:val="auto"/>
        </w:rPr>
      </w:pPr>
      <w:r>
        <w:rPr>
          <w:rFonts w:ascii="Arial" w:cs="Arial" w:eastAsia="Arial" w:hAnsi="Arial"/>
          <w:sz w:val="18"/>
          <w:szCs w:val="18"/>
          <w:color w:val="auto"/>
        </w:rPr>
        <w:t>Schedule C, “Definitions,” is amended to add or modify (to the extent already existing) the following definitions:</w:t>
      </w:r>
    </w:p>
    <w:p>
      <w:pPr>
        <w:spacing w:after="0" w:line="117" w:lineRule="exact"/>
        <w:rPr>
          <w:rFonts w:ascii="Arial" w:cs="Arial" w:eastAsia="Arial" w:hAnsi="Arial"/>
          <w:sz w:val="18"/>
          <w:szCs w:val="18"/>
          <w:color w:val="auto"/>
        </w:rPr>
      </w:pPr>
    </w:p>
    <w:p>
      <w:pPr>
        <w:ind w:left="1424" w:right="30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Launch Date</w:t>
      </w:r>
      <w:r>
        <w:rPr>
          <w:rFonts w:ascii="Arial" w:cs="Arial" w:eastAsia="Arial" w:hAnsi="Arial"/>
          <w:sz w:val="18"/>
          <w:szCs w:val="18"/>
          <w:color w:val="auto"/>
        </w:rPr>
        <w:t>” means the date of the first settlement of a non-test cardholder transaction that has been processed by Marqeta in a production environment.</w:t>
      </w:r>
    </w:p>
    <w:p>
      <w:pPr>
        <w:spacing w:after="0" w:line="62"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 xml:space="preserve">“Square </w:t>
      </w:r>
      <w:r>
        <w:rPr>
          <w:rFonts w:ascii="Arial" w:cs="Arial" w:eastAsia="Arial" w:hAnsi="Arial"/>
          <w:sz w:val="18"/>
          <w:szCs w:val="18"/>
          <w:u w:val="single" w:color="auto"/>
          <w:color w:val="auto"/>
        </w:rPr>
        <w:t>Card</w:t>
      </w:r>
      <w:r>
        <w:rPr>
          <w:rFonts w:ascii="Arial" w:cs="Arial" w:eastAsia="Arial" w:hAnsi="Arial"/>
          <w:sz w:val="18"/>
          <w:szCs w:val="18"/>
          <w:color w:val="auto"/>
        </w:rPr>
        <w:t xml:space="preserve"> Net Interchange” [***].</w:t>
      </w:r>
    </w:p>
    <w:p>
      <w:pPr>
        <w:spacing w:after="0" w:line="117"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Square Card Program</w:t>
      </w:r>
      <w:r>
        <w:rPr>
          <w:rFonts w:ascii="Arial" w:cs="Arial" w:eastAsia="Arial" w:hAnsi="Arial"/>
          <w:sz w:val="18"/>
          <w:szCs w:val="18"/>
          <w:color w:val="auto"/>
        </w:rPr>
        <w:t>” shall include the [***] (as defined below).</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Client Affiliate</w:t>
      </w:r>
      <w:r>
        <w:rPr>
          <w:rFonts w:ascii="Arial" w:cs="Arial" w:eastAsia="Arial" w:hAnsi="Arial"/>
          <w:sz w:val="18"/>
          <w:szCs w:val="18"/>
          <w:color w:val="auto"/>
        </w:rPr>
        <w:t>. [***]</w:t>
      </w:r>
    </w:p>
    <w:p>
      <w:pPr>
        <w:spacing w:after="0" w:line="134" w:lineRule="exact"/>
        <w:rPr>
          <w:rFonts w:ascii="Arial" w:cs="Arial" w:eastAsia="Arial" w:hAnsi="Arial"/>
          <w:sz w:val="18"/>
          <w:szCs w:val="18"/>
          <w:b w:val="1"/>
          <w:bCs w:val="1"/>
          <w:color w:val="auto"/>
        </w:rPr>
      </w:pPr>
    </w:p>
    <w:p>
      <w:pPr>
        <w:ind w:left="424" w:hanging="424"/>
        <w:spacing w:after="0"/>
        <w:tabs>
          <w:tab w:leader="none" w:pos="42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w:t>
      </w:r>
    </w:p>
    <w:p>
      <w:pPr>
        <w:spacing w:after="0" w:line="130" w:lineRule="exact"/>
        <w:rPr>
          <w:rFonts w:ascii="Arial" w:cs="Arial" w:eastAsia="Arial" w:hAnsi="Arial"/>
          <w:sz w:val="18"/>
          <w:szCs w:val="18"/>
          <w:color w:val="auto"/>
        </w:rPr>
      </w:pPr>
    </w:p>
    <w:p>
      <w:pPr>
        <w:ind w:left="424" w:right="20" w:hanging="424"/>
        <w:spacing w:after="0" w:line="255" w:lineRule="auto"/>
        <w:tabs>
          <w:tab w:leader="none" w:pos="42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The Parties will implement a [***] in accordance with the terms and conditions of a separate addendum [***]. Within 60 days following the Amendment Effective Date (the “Execution Window”), the Parties will develop and execute an agreement for the [***] that will describe the Services to be provided by Marqeta, the responsibilities of Client Affiliate, and include any other details relevant to the development, implementation and execution of the [***], including the compliance operating principles already shared with each of the Parties. The Initial Term set forth in Amendment No. 10 shall apply to the [***]. The effect of the terms and conditions of the Amendment are contingent upon the successful execution of the [***] within the Execution Window.</w:t>
      </w:r>
    </w:p>
    <w:p>
      <w:pPr>
        <w:sectPr>
          <w:pgSz w:w="11900" w:h="16838" w:orient="portrait"/>
          <w:cols w:equalWidth="0" w:num="1">
            <w:col w:w="11024"/>
          </w:cols>
          <w:pgMar w:left="436" w:top="270" w:right="4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8"/>
          <w:szCs w:val="18"/>
          <w:color w:val="auto"/>
        </w:rPr>
        <w:t>Execution Version</w:t>
      </w:r>
    </w:p>
    <w:p>
      <w:pPr>
        <w:spacing w:after="0" w:line="158" w:lineRule="exact"/>
        <w:rPr>
          <w:sz w:val="20"/>
          <w:szCs w:val="20"/>
          <w:color w:val="auto"/>
        </w:rPr>
      </w:pPr>
    </w:p>
    <w:p>
      <w:pPr>
        <w:ind w:left="424" w:right="340" w:hanging="424"/>
        <w:spacing w:after="0" w:line="282" w:lineRule="auto"/>
        <w:tabs>
          <w:tab w:leader="none" w:pos="424" w:val="left"/>
        </w:tabs>
        <w:numPr>
          <w:ilvl w:val="0"/>
          <w:numId w:val="353"/>
        </w:numPr>
        <w:rPr>
          <w:rFonts w:ascii="Arial" w:cs="Arial" w:eastAsia="Arial" w:hAnsi="Arial"/>
          <w:sz w:val="18"/>
          <w:szCs w:val="18"/>
          <w:color w:val="auto"/>
        </w:rPr>
      </w:pPr>
      <w:r>
        <w:rPr>
          <w:rFonts w:ascii="Arial" w:cs="Arial" w:eastAsia="Arial" w:hAnsi="Arial"/>
          <w:sz w:val="18"/>
          <w:szCs w:val="18"/>
          <w:b w:val="1"/>
          <w:bCs w:val="1"/>
          <w:color w:val="auto"/>
        </w:rPr>
        <w:t>Pricing Terms</w:t>
      </w:r>
      <w:r>
        <w:rPr>
          <w:rFonts w:ascii="Arial" w:cs="Arial" w:eastAsia="Arial" w:hAnsi="Arial"/>
          <w:sz w:val="18"/>
          <w:szCs w:val="18"/>
          <w:color w:val="auto"/>
        </w:rPr>
        <w:t>. Schedule D, “Fees - Program Setup &amp; Processing Services,” is hereby amended to add the following sections to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Schedule D:</w:t>
      </w:r>
    </w:p>
    <w:p>
      <w:pPr>
        <w:spacing w:after="0" w:line="161" w:lineRule="exact"/>
        <w:rPr>
          <w:rFonts w:ascii="Arial" w:cs="Arial" w:eastAsia="Arial" w:hAnsi="Arial"/>
          <w:sz w:val="18"/>
          <w:szCs w:val="18"/>
          <w:color w:val="auto"/>
        </w:rPr>
      </w:pPr>
    </w:p>
    <w:p>
      <w:pPr>
        <w:ind w:left="5564" w:hanging="443"/>
        <w:spacing w:after="0"/>
        <w:tabs>
          <w:tab w:leader="none" w:pos="5564" w:val="left"/>
        </w:tabs>
        <w:numPr>
          <w:ilvl w:val="1"/>
          <w:numId w:val="353"/>
        </w:numPr>
        <w:rPr>
          <w:rFonts w:ascii="Arial" w:cs="Arial" w:eastAsia="Arial" w:hAnsi="Arial"/>
          <w:sz w:val="18"/>
          <w:szCs w:val="18"/>
          <w:color w:val="auto"/>
        </w:rPr>
      </w:pPr>
      <w:r>
        <w:rPr>
          <w:rFonts w:ascii="Arial" w:cs="Arial" w:eastAsia="Arial" w:hAnsi="Arial"/>
          <w:sz w:val="18"/>
          <w:szCs w:val="18"/>
          <w:b w:val="1"/>
          <w:bCs w:val="1"/>
          <w:color w:val="auto"/>
        </w:rPr>
        <w:t>Fees</w:t>
      </w:r>
    </w:p>
    <w:p>
      <w:pPr>
        <w:spacing w:after="0" w:line="225" w:lineRule="exact"/>
        <w:rPr>
          <w:sz w:val="20"/>
          <w:szCs w:val="20"/>
          <w:color w:val="auto"/>
        </w:rPr>
      </w:pPr>
    </w:p>
    <w:p>
      <w:pPr>
        <w:ind w:left="984" w:right="280" w:firstLine="7"/>
        <w:spacing w:after="0" w:line="282" w:lineRule="auto"/>
        <w:tabs>
          <w:tab w:leader="none" w:pos="1229"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Fees</w:t>
      </w:r>
      <w:r>
        <w:rPr>
          <w:rFonts w:ascii="Arial" w:cs="Arial" w:eastAsia="Arial" w:hAnsi="Arial"/>
          <w:sz w:val="18"/>
          <w:szCs w:val="18"/>
          <w:color w:val="auto"/>
        </w:rPr>
        <w:t>. Beginning on [***] of the addendum for the [***], the following fees shall apply to the [***]. Solely with respect to the [***], the fees set forth below shall apply.</w:t>
      </w:r>
    </w:p>
    <w:p>
      <w:pPr>
        <w:spacing w:after="0" w:line="58" w:lineRule="exact"/>
        <w:rPr>
          <w:sz w:val="20"/>
          <w:szCs w:val="20"/>
          <w:color w:val="auto"/>
        </w:rPr>
      </w:pPr>
    </w:p>
    <w:p>
      <w:pPr>
        <w:ind w:left="1424"/>
        <w:spacing w:after="0"/>
        <w:rPr>
          <w:sz w:val="20"/>
          <w:szCs w:val="20"/>
          <w:color w:val="auto"/>
        </w:rPr>
      </w:pPr>
      <w:r>
        <w:rPr>
          <w:rFonts w:ascii="Arial" w:cs="Arial" w:eastAsia="Arial" w:hAnsi="Arial"/>
          <w:sz w:val="18"/>
          <w:szCs w:val="18"/>
          <w:u w:val="single" w:color="auto"/>
          <w:color w:val="auto"/>
        </w:rPr>
        <w:t>Program Setup Fee</w:t>
      </w:r>
      <w:r>
        <w:rPr>
          <w:rFonts w:ascii="Arial" w:cs="Arial" w:eastAsia="Arial" w:hAnsi="Arial"/>
          <w:sz w:val="18"/>
          <w:szCs w:val="18"/>
          <w:color w:val="auto"/>
        </w:rPr>
        <w: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Program Setup Fee</w:t>
      </w:r>
    </w:p>
    <w:p>
      <w:pPr>
        <w:spacing w:after="0" w:line="250" w:lineRule="exact"/>
        <w:rPr>
          <w:sz w:val="20"/>
          <w:szCs w:val="20"/>
          <w:color w:val="auto"/>
        </w:rPr>
      </w:pPr>
    </w:p>
    <w:tbl>
      <w:tblPr>
        <w:tblLayout w:type="fixed"/>
        <w:tblInd w:w="1114" w:type="dxa"/>
        <w:tblCellMar>
          <w:top w:w="0" w:type="dxa"/>
          <w:left w:w="0" w:type="dxa"/>
          <w:bottom w:w="0" w:type="dxa"/>
          <w:right w:w="0" w:type="dxa"/>
        </w:tblCellMar>
      </w:tblPr>
      <w:tr>
        <w:trPr>
          <w:trHeight w:val="162"/>
        </w:trPr>
        <w:tc>
          <w:tcPr>
            <w:tcW w:w="2120" w:type="dxa"/>
            <w:vAlign w:val="bottom"/>
            <w:tcBorders>
              <w:top w:val="single" w:sz="8" w:color="auto"/>
              <w:left w:val="single" w:sz="8" w:color="auto"/>
              <w:bottom w:val="single" w:sz="8" w:color="auto"/>
              <w:right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7"/>
              </w:rPr>
              <w:t>Item</w:t>
            </w:r>
          </w:p>
        </w:tc>
        <w:tc>
          <w:tcPr>
            <w:tcW w:w="2240" w:type="dxa"/>
            <w:vAlign w:val="bottom"/>
            <w:tcBorders>
              <w:top w:val="single" w:sz="8" w:color="auto"/>
              <w:bottom w:val="single" w:sz="8" w:color="auto"/>
              <w:right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Description</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r>
      <w:tr>
        <w:trPr>
          <w:trHeight w:val="210"/>
        </w:trPr>
        <w:tc>
          <w:tcPr>
            <w:tcW w:w="2120" w:type="dxa"/>
            <w:vAlign w:val="bottom"/>
            <w:tcBorders>
              <w:left w:val="single" w:sz="8" w:color="auto"/>
              <w:bottom w:val="single" w:sz="8" w:color="auto"/>
              <w:right w:val="single" w:sz="8" w:color="auto"/>
            </w:tcBorders>
          </w:tcPr>
          <w:p>
            <w:pPr>
              <w:jc w:val="right"/>
              <w:ind w:right="719"/>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right w:val="single" w:sz="8" w:color="auto"/>
            </w:tcBorders>
          </w:tcPr>
          <w:p>
            <w:pPr>
              <w:jc w:val="right"/>
              <w:ind w:right="1659"/>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right"/>
              <w:ind w:right="839"/>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jc w:val="right"/>
              <w:ind w:right="819"/>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1424" w:right="460" w:hanging="439"/>
        <w:spacing w:after="0" w:line="277" w:lineRule="auto"/>
        <w:tabs>
          <w:tab w:leader="none" w:pos="142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Assessment Fee. The Assessment Fee shall be (i) [***] for the [***] period commencing on [***] (the “Initial Assessment Fee Period”), and (ii) [***] commencing [***]</w:t>
      </w:r>
    </w:p>
    <w:p>
      <w:pPr>
        <w:spacing w:after="0" w:line="75" w:lineRule="exact"/>
        <w:rPr>
          <w:rFonts w:ascii="Arial" w:cs="Arial" w:eastAsia="Arial" w:hAnsi="Arial"/>
          <w:sz w:val="18"/>
          <w:szCs w:val="18"/>
          <w:color w:val="auto"/>
        </w:rPr>
      </w:pPr>
    </w:p>
    <w:p>
      <w:pPr>
        <w:ind w:left="1424" w:right="100" w:hanging="439"/>
        <w:spacing w:after="0" w:line="263" w:lineRule="auto"/>
        <w:tabs>
          <w:tab w:leader="none" w:pos="142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Revenue Sharing. The table below sets forth the applicable percentage of Square Card Net Interchange to be paid to [***]. A Tier is reached once Square Card NPV in any given [***]. Tiers will be applied on a [***] basis, meaning that if [***]. The tiers below shall solely be applied to the [***].</w:t>
      </w:r>
    </w:p>
    <w:p>
      <w:pPr>
        <w:spacing w:after="0" w:line="205" w:lineRule="exact"/>
        <w:rPr>
          <w:sz w:val="20"/>
          <w:szCs w:val="20"/>
          <w:color w:val="auto"/>
        </w:rPr>
      </w:pPr>
    </w:p>
    <w:tbl>
      <w:tblPr>
        <w:tblLayout w:type="fixed"/>
        <w:tblInd w:w="1114" w:type="dxa"/>
        <w:tblCellMar>
          <w:top w:w="0" w:type="dxa"/>
          <w:left w:w="0" w:type="dxa"/>
          <w:bottom w:w="0" w:type="dxa"/>
          <w:right w:w="0" w:type="dxa"/>
        </w:tblCellMar>
      </w:tblPr>
      <w:tr>
        <w:trPr>
          <w:trHeight w:val="139"/>
        </w:trPr>
        <w:tc>
          <w:tcPr>
            <w:tcW w:w="2120" w:type="dxa"/>
            <w:vAlign w:val="bottom"/>
            <w:tcBorders>
              <w:top w:val="single" w:sz="8" w:color="auto"/>
              <w:left w:val="single" w:sz="8" w:color="auto"/>
              <w:right w:val="single" w:sz="8" w:color="auto"/>
            </w:tcBorders>
          </w:tcPr>
          <w:p>
            <w:pPr>
              <w:spacing w:after="0"/>
              <w:rPr>
                <w:sz w:val="12"/>
                <w:szCs w:val="12"/>
                <w:color w:val="auto"/>
              </w:rPr>
            </w:pPr>
          </w:p>
        </w:tc>
        <w:tc>
          <w:tcPr>
            <w:tcW w:w="224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6"/>
              </w:rPr>
              <w:t>Client Affiliate’s % of</w:t>
            </w:r>
          </w:p>
        </w:tc>
        <w:tc>
          <w:tcPr>
            <w:tcW w:w="21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Marqeta’s % of Square</w:t>
            </w:r>
          </w:p>
        </w:tc>
      </w:tr>
      <w:tr>
        <w:trPr>
          <w:trHeight w:val="185"/>
        </w:trPr>
        <w:tc>
          <w:tcPr>
            <w:tcW w:w="212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4"/>
                <w:szCs w:val="14"/>
                <w:b w:val="1"/>
                <w:bCs w:val="1"/>
                <w:color w:val="auto"/>
              </w:rPr>
              <w:t>Tier</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 Square Card NPV</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Square Card Net Interchange</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Card Net Interchange</w:t>
            </w:r>
          </w:p>
        </w:tc>
      </w:tr>
      <w:tr>
        <w:trPr>
          <w:trHeight w:val="209"/>
        </w:trPr>
        <w:tc>
          <w:tcPr>
            <w:tcW w:w="212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9"/>
              </w:rPr>
              <w:t>1</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9"/>
        </w:trPr>
        <w:tc>
          <w:tcPr>
            <w:tcW w:w="212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9"/>
              </w:rPr>
              <w:t>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212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9"/>
              </w:rPr>
              <w:t>3</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9"/>
        </w:trPr>
        <w:tc>
          <w:tcPr>
            <w:tcW w:w="2120" w:type="dxa"/>
            <w:vAlign w:val="bottom"/>
            <w:tcBorders>
              <w:left w:val="single" w:sz="8" w:color="auto"/>
              <w:bottom w:val="single" w:sz="8" w:color="auto"/>
              <w:right w:val="single" w:sz="8" w:color="auto"/>
            </w:tcBorders>
          </w:tcPr>
          <w:p>
            <w:pPr>
              <w:jc w:val="center"/>
              <w:ind w:left="54"/>
              <w:spacing w:after="0"/>
              <w:rPr>
                <w:sz w:val="20"/>
                <w:szCs w:val="20"/>
                <w:color w:val="auto"/>
              </w:rPr>
            </w:pPr>
            <w:r>
              <w:rPr>
                <w:rFonts w:ascii="Arial" w:cs="Arial" w:eastAsia="Arial" w:hAnsi="Arial"/>
                <w:sz w:val="18"/>
                <w:szCs w:val="18"/>
                <w:color w:val="auto"/>
                <w:w w:val="99"/>
              </w:rPr>
              <w:t>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1424" w:hanging="439"/>
        <w:spacing w:after="0"/>
        <w:tabs>
          <w:tab w:leader="none" w:pos="1424"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Chargeback and Dispute Resolution</w:t>
      </w:r>
      <w:r>
        <w:rPr>
          <w:rFonts w:ascii="Arial" w:cs="Arial" w:eastAsia="Arial" w:hAnsi="Arial"/>
          <w:sz w:val="18"/>
          <w:szCs w:val="18"/>
          <w:color w:val="auto"/>
        </w:rPr>
        <w:t>.</w:t>
      </w:r>
    </w:p>
    <w:p>
      <w:pPr>
        <w:spacing w:after="0" w:line="32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Marqeta Chargeback and Dispute Resolution</w:t>
      </w:r>
    </w:p>
    <w:p>
      <w:pPr>
        <w:spacing w:after="0" w:line="250" w:lineRule="exact"/>
        <w:rPr>
          <w:sz w:val="20"/>
          <w:szCs w:val="20"/>
          <w:color w:val="auto"/>
        </w:rPr>
      </w:pPr>
    </w:p>
    <w:tbl>
      <w:tblPr>
        <w:tblLayout w:type="fixed"/>
        <w:tblInd w:w="1114" w:type="dxa"/>
        <w:tblCellMar>
          <w:top w:w="0" w:type="dxa"/>
          <w:left w:w="0" w:type="dxa"/>
          <w:bottom w:w="0" w:type="dxa"/>
          <w:right w:w="0" w:type="dxa"/>
        </w:tblCellMar>
      </w:tblPr>
      <w:tr>
        <w:trPr>
          <w:trHeight w:val="162"/>
        </w:trPr>
        <w:tc>
          <w:tcPr>
            <w:tcW w:w="2120" w:type="dxa"/>
            <w:vAlign w:val="bottom"/>
            <w:tcBorders>
              <w:top w:val="single" w:sz="8" w:color="auto"/>
              <w:left w:val="single" w:sz="8" w:color="auto"/>
              <w:bottom w:val="single" w:sz="8" w:color="auto"/>
              <w:right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7"/>
              </w:rPr>
              <w:t>Item</w:t>
            </w:r>
          </w:p>
        </w:tc>
        <w:tc>
          <w:tcPr>
            <w:tcW w:w="2240" w:type="dxa"/>
            <w:vAlign w:val="bottom"/>
            <w:tcBorders>
              <w:top w:val="single" w:sz="8" w:color="auto"/>
              <w:bottom w:val="single" w:sz="8" w:color="auto"/>
              <w:right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Description</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r>
      <w:tr>
        <w:trPr>
          <w:trHeight w:val="210"/>
        </w:trPr>
        <w:tc>
          <w:tcPr>
            <w:tcW w:w="2120" w:type="dxa"/>
            <w:vAlign w:val="bottom"/>
            <w:tcBorders>
              <w:left w:val="single" w:sz="8" w:color="auto"/>
              <w:bottom w:val="single" w:sz="8" w:color="auto"/>
              <w:right w:val="single" w:sz="8" w:color="auto"/>
            </w:tcBorders>
          </w:tcPr>
          <w:p>
            <w:pPr>
              <w:jc w:val="right"/>
              <w:ind w:right="719"/>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right w:val="single" w:sz="8" w:color="auto"/>
            </w:tcBorders>
          </w:tcPr>
          <w:p>
            <w:pPr>
              <w:jc w:val="right"/>
              <w:ind w:right="1659"/>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right"/>
              <w:ind w:right="839"/>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jc w:val="right"/>
              <w:ind w:right="819"/>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1424" w:right="240" w:hanging="439"/>
        <w:spacing w:after="0" w:line="277" w:lineRule="auto"/>
        <w:tabs>
          <w:tab w:leader="none" w:pos="1424"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 ATM Fees</w:t>
      </w:r>
      <w:r>
        <w:rPr>
          <w:rFonts w:ascii="Arial" w:cs="Arial" w:eastAsia="Arial" w:hAnsi="Arial"/>
          <w:sz w:val="18"/>
          <w:szCs w:val="18"/>
          <w:color w:val="auto"/>
        </w:rPr>
        <w:t>. The fees set forth in the following table shall be the sole fees paid by Client or Client Affiliate, as applicable, for ATM transactions.</w:t>
      </w:r>
    </w:p>
    <w:p>
      <w:pPr>
        <w:spacing w:after="0" w:line="192" w:lineRule="exact"/>
        <w:rPr>
          <w:sz w:val="20"/>
          <w:szCs w:val="20"/>
          <w:color w:val="auto"/>
        </w:rPr>
      </w:pPr>
    </w:p>
    <w:tbl>
      <w:tblPr>
        <w:tblLayout w:type="fixed"/>
        <w:tblInd w:w="2434" w:type="dxa"/>
        <w:tblCellMar>
          <w:top w:w="0" w:type="dxa"/>
          <w:left w:w="0" w:type="dxa"/>
          <w:bottom w:w="0" w:type="dxa"/>
          <w:right w:w="0" w:type="dxa"/>
        </w:tblCellMar>
      </w:tblPr>
      <w:tr>
        <w:trPr>
          <w:trHeight w:val="162"/>
        </w:trPr>
        <w:tc>
          <w:tcPr>
            <w:tcW w:w="3140" w:type="dxa"/>
            <w:vAlign w:val="bottom"/>
            <w:tcBorders>
              <w:top w:val="single" w:sz="8" w:color="auto"/>
              <w:left w:val="single" w:sz="8" w:color="auto"/>
              <w:bottom w:val="single" w:sz="8" w:color="auto"/>
              <w:right w:val="single" w:sz="8" w:color="auto"/>
            </w:tcBorders>
          </w:tcPr>
          <w:p>
            <w:pPr>
              <w:jc w:val="center"/>
              <w:ind w:left="55"/>
              <w:spacing w:after="0"/>
              <w:rPr>
                <w:sz w:val="20"/>
                <w:szCs w:val="20"/>
                <w:color w:val="auto"/>
              </w:rPr>
            </w:pPr>
            <w:r>
              <w:rPr>
                <w:rFonts w:ascii="Arial" w:cs="Arial" w:eastAsia="Arial" w:hAnsi="Arial"/>
                <w:sz w:val="14"/>
                <w:szCs w:val="14"/>
                <w:b w:val="1"/>
                <w:bCs w:val="1"/>
                <w:color w:val="auto"/>
                <w:w w:val="93"/>
              </w:rPr>
              <w:t>Transaction Type</w:t>
            </w: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Fee (per transaction)</w:t>
            </w:r>
          </w:p>
        </w:tc>
      </w:tr>
      <w:tr>
        <w:trPr>
          <w:trHeight w:val="210"/>
        </w:trPr>
        <w:tc>
          <w:tcPr>
            <w:tcW w:w="314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314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09"/>
        </w:trPr>
        <w:tc>
          <w:tcPr>
            <w:tcW w:w="314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1424" w:hanging="439"/>
        <w:spacing w:after="0"/>
        <w:tabs>
          <w:tab w:leader="none" w:pos="142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Tokenization fees for Square Card Programs will be charged as follows:</w:t>
      </w:r>
    </w:p>
    <w:p>
      <w:pPr>
        <w:spacing w:after="0" w:line="246" w:lineRule="exact"/>
        <w:rPr>
          <w:sz w:val="20"/>
          <w:szCs w:val="20"/>
          <w:color w:val="auto"/>
        </w:rPr>
      </w:pPr>
    </w:p>
    <w:tbl>
      <w:tblPr>
        <w:tblLayout w:type="fixed"/>
        <w:tblInd w:w="1114" w:type="dxa"/>
        <w:tblCellMar>
          <w:top w:w="0" w:type="dxa"/>
          <w:left w:w="0" w:type="dxa"/>
          <w:bottom w:w="0" w:type="dxa"/>
          <w:right w:w="0" w:type="dxa"/>
        </w:tblCellMar>
      </w:tblPr>
      <w:tr>
        <w:trPr>
          <w:trHeight w:val="162"/>
        </w:trPr>
        <w:tc>
          <w:tcPr>
            <w:tcW w:w="2120" w:type="dxa"/>
            <w:vAlign w:val="bottom"/>
            <w:tcBorders>
              <w:top w:val="single" w:sz="8" w:color="auto"/>
              <w:left w:val="single" w:sz="8" w:color="auto"/>
              <w:bottom w:val="single" w:sz="8" w:color="auto"/>
              <w:right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7"/>
              </w:rPr>
              <w:t>Item</w:t>
            </w:r>
          </w:p>
        </w:tc>
        <w:tc>
          <w:tcPr>
            <w:tcW w:w="2240" w:type="dxa"/>
            <w:vAlign w:val="bottom"/>
            <w:tcBorders>
              <w:top w:val="single" w:sz="8" w:color="auto"/>
              <w:bottom w:val="single" w:sz="8" w:color="auto"/>
              <w:right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Description</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r>
      <w:tr>
        <w:trPr>
          <w:trHeight w:val="209"/>
        </w:trPr>
        <w:tc>
          <w:tcPr>
            <w:tcW w:w="2120" w:type="dxa"/>
            <w:vAlign w:val="bottom"/>
            <w:tcBorders>
              <w:left w:val="single" w:sz="8" w:color="auto"/>
              <w:bottom w:val="single" w:sz="8" w:color="auto"/>
              <w:right w:val="single" w:sz="8" w:color="auto"/>
            </w:tcBorders>
          </w:tcPr>
          <w:p>
            <w:pPr>
              <w:jc w:val="right"/>
              <w:ind w:right="719"/>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right w:val="single" w:sz="8" w:color="auto"/>
            </w:tcBorders>
          </w:tcPr>
          <w:p>
            <w:pPr>
              <w:jc w:val="right"/>
              <w:ind w:right="1659"/>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right"/>
              <w:ind w:right="839"/>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jc w:val="right"/>
              <w:ind w:right="819"/>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4"/>
          </w:cols>
          <w:pgMar w:left="436" w:top="270" w:right="4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8"/>
          <w:szCs w:val="18"/>
          <w:color w:val="auto"/>
        </w:rPr>
        <w:t>Execution Version</w:t>
      </w:r>
    </w:p>
    <w:p>
      <w:pPr>
        <w:spacing w:after="0" w:line="162" w:lineRule="exact"/>
        <w:rPr>
          <w:sz w:val="20"/>
          <w:szCs w:val="20"/>
          <w:color w:val="auto"/>
        </w:rPr>
      </w:pPr>
    </w:p>
    <w:p>
      <w:pPr>
        <w:ind w:left="1424" w:hanging="439"/>
        <w:spacing w:after="0"/>
        <w:tabs>
          <w:tab w:leader="none" w:pos="1424" w:val="left"/>
        </w:tabs>
        <w:numPr>
          <w:ilvl w:val="1"/>
          <w:numId w:val="35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Fees</w:t>
      </w:r>
      <w:r>
        <w:rPr>
          <w:rFonts w:ascii="Arial" w:cs="Arial" w:eastAsia="Arial" w:hAnsi="Arial"/>
          <w:sz w:val="18"/>
          <w:szCs w:val="18"/>
          <w:color w:val="auto"/>
        </w:rPr>
        <w:t>. Marqeta will passthrough to Client all [***] that Marqeta incurs in connection with enabling [***] (“[***]”).</w:t>
      </w:r>
    </w:p>
    <w:p>
      <w:pPr>
        <w:spacing w:after="0" w:line="130" w:lineRule="exact"/>
        <w:rPr>
          <w:rFonts w:ascii="Arial" w:cs="Arial" w:eastAsia="Arial" w:hAnsi="Arial"/>
          <w:sz w:val="18"/>
          <w:szCs w:val="18"/>
          <w:color w:val="auto"/>
        </w:rPr>
      </w:pPr>
    </w:p>
    <w:p>
      <w:pPr>
        <w:ind w:left="424" w:right="40" w:hanging="424"/>
        <w:spacing w:after="0" w:line="287" w:lineRule="auto"/>
        <w:tabs>
          <w:tab w:leader="none" w:pos="424"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w:t>
      </w:r>
    </w:p>
    <w:p>
      <w:pPr>
        <w:spacing w:after="0" w:line="2" w:lineRule="exact"/>
        <w:rPr>
          <w:rFonts w:ascii="Arial" w:cs="Arial" w:eastAsia="Arial" w:hAnsi="Arial"/>
          <w:sz w:val="16"/>
          <w:szCs w:val="16"/>
          <w:color w:val="auto"/>
        </w:rPr>
      </w:pPr>
    </w:p>
    <w:p>
      <w:pPr>
        <w:ind w:left="424" w:right="160"/>
        <w:spacing w:after="0" w:line="273" w:lineRule="auto"/>
        <w:rPr>
          <w:rFonts w:ascii="Arial" w:cs="Arial" w:eastAsia="Arial" w:hAnsi="Arial"/>
          <w:sz w:val="16"/>
          <w:szCs w:val="16"/>
          <w:color w:val="auto"/>
        </w:rPr>
      </w:pPr>
      <w:r>
        <w:rPr>
          <w:rFonts w:ascii="Arial" w:cs="Arial" w:eastAsia="Arial" w:hAnsi="Arial"/>
          <w:sz w:val="17"/>
          <w:szCs w:val="17"/>
          <w:color w:val="auto"/>
        </w:rPr>
        <w:t>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ink-signed original.</w:t>
      </w:r>
    </w:p>
    <w:p>
      <w:pPr>
        <w:sectPr>
          <w:pgSz w:w="11900" w:h="16838" w:orient="portrait"/>
          <w:cols w:equalWidth="0" w:num="1">
            <w:col w:w="11024"/>
          </w:cols>
          <w:pgMar w:left="436" w:top="270" w:right="439" w:bottom="1440" w:gutter="0" w:footer="0" w:header="0"/>
        </w:sectPr>
      </w:pPr>
    </w:p>
    <w:bookmarkStart w:id="412" w:name="page413"/>
    <w:bookmarkEnd w:id="412"/>
    <w:p>
      <w:pPr>
        <w:ind w:left="8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6"/>
          <w:szCs w:val="16"/>
          <w:color w:val="auto"/>
        </w:rPr>
        <w:t>Execution Version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Square, Inc.</w:t>
            </w:r>
          </w:p>
        </w:tc>
        <w:tc>
          <w:tcPr>
            <w:tcW w:w="70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Marqet1a, Inc.</w:t>
            </w:r>
          </w:p>
        </w:tc>
      </w:tr>
      <w:tr>
        <w:trPr>
          <w:trHeight w:val="20"/>
        </w:trPr>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53"/>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 Sweetland</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Omri Dahan</w:t>
            </w:r>
          </w:p>
        </w:tc>
      </w:tr>
      <w:tr>
        <w:trPr>
          <w:trHeight w:val="205"/>
        </w:trPr>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Chris Sweetland</w:t>
            </w:r>
          </w:p>
        </w:tc>
        <w:tc>
          <w:tcPr>
            <w:tcW w:w="70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Omri Dahan</w:t>
            </w:r>
          </w:p>
        </w:tc>
      </w:t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Head of Payments Partnerships and Industry Relations</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Chief Revenue Officer</w:t>
            </w:r>
          </w:p>
        </w:tc>
      </w:t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11/21/2020</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November 23, 2020</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05"/>
        </w:trPr>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November 23, 2020</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8"/>
          <w:szCs w:val="18"/>
          <w:color w:val="auto"/>
        </w:rPr>
        <w:t>3-12-21</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AMENDMENT NO. 12 TO MASTER SERVICES AGREEMENT</w:t>
      </w:r>
    </w:p>
    <w:p>
      <w:pPr>
        <w:spacing w:after="0" w:line="229"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This Amendment No. 12 to Master Services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on the date of the last signature below (the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Effective Date</w:t>
      </w:r>
      <w:r>
        <w:rPr>
          <w:rFonts w:ascii="Arial" w:cs="Arial" w:eastAsia="Arial" w:hAnsi="Arial"/>
          <w:sz w:val="16"/>
          <w:szCs w:val="16"/>
          <w:color w:val="auto"/>
        </w:rPr>
        <w:t>”) “) by and between Square, Inc., a Delaware corporation, whose principal address is 1455 Market Street Suite 600, San Francisco, CA 94103 (“</w:t>
      </w:r>
      <w:r>
        <w:rPr>
          <w:rFonts w:ascii="Arial" w:cs="Arial" w:eastAsia="Arial" w:hAnsi="Arial"/>
          <w:sz w:val="16"/>
          <w:szCs w:val="16"/>
          <w:u w:val="single" w:color="auto"/>
          <w:color w:val="auto"/>
        </w:rPr>
        <w:t>Client</w:t>
      </w:r>
      <w:r>
        <w:rPr>
          <w:rFonts w:ascii="Arial" w:cs="Arial" w:eastAsia="Arial" w:hAnsi="Arial"/>
          <w:sz w:val="16"/>
          <w:szCs w:val="16"/>
          <w:color w:val="auto"/>
        </w:rPr>
        <w:t>”) on the one hand, and Marqeta, Inc., a Delaware corporation, whose principal address is 180 Grand Avenue, 6th Floor, Oakland, CA 94612 on the other hand (hereinafter “</w:t>
      </w:r>
      <w:r>
        <w:rPr>
          <w:rFonts w:ascii="Arial" w:cs="Arial" w:eastAsia="Arial" w:hAnsi="Arial"/>
          <w:sz w:val="16"/>
          <w:szCs w:val="16"/>
          <w:u w:val="single" w:color="auto"/>
          <w:color w:val="auto"/>
        </w:rPr>
        <w:t>Marqeta</w:t>
      </w:r>
      <w:r>
        <w:rPr>
          <w:rFonts w:ascii="Arial" w:cs="Arial" w:eastAsia="Arial" w:hAnsi="Arial"/>
          <w:sz w:val="16"/>
          <w:szCs w:val="16"/>
          <w:color w:val="auto"/>
        </w:rPr>
        <w:t>”, and together with Client, the “</w:t>
      </w:r>
      <w:r>
        <w:rPr>
          <w:rFonts w:ascii="Arial" w:cs="Arial" w:eastAsia="Arial" w:hAnsi="Arial"/>
          <w:sz w:val="16"/>
          <w:szCs w:val="16"/>
          <w:u w:val="single" w:color="auto"/>
          <w:color w:val="auto"/>
        </w:rPr>
        <w:t>Parties</w:t>
      </w:r>
      <w:r>
        <w:rPr>
          <w:rFonts w:ascii="Arial" w:cs="Arial" w:eastAsia="Arial" w:hAnsi="Arial"/>
          <w:sz w:val="16"/>
          <w:szCs w:val="16"/>
          <w:color w:val="auto"/>
        </w:rPr>
        <w:t>”), and amends the Master Services Agreement between Client and Marqeta dated April 19, 2016 as amended by the Amendment No. 1 to Master Services Agreement dated September 1, 2016, Amendment No. 2 to Master Services Agreement dated October 18, 2016, the Letter Addendum dated December 24, 2016, Amendment No. 3 to Master Services Agreement executed by Client on or about June 30, 2017, Amendment No. 4 to Master Services Agreement executed by Client on or about August 2, 2017, Amendment No. 5 to Master Services Agreement dated October 1, 2017, Amendment No. 6 to Master Services Agreement dated April 1, 2018, Amendment No. 7 to Master Services Agreement dated June 6, 2019, Amendment No. 8 to Master Services Agreement dated September 20, 2019, Amendment No. 9 to Master Services Agreement dated February 7, 2020, Amendment No. 10 to Master Services Agreement dated November 18, 2020, and Amendment No. 11 to Master Services Agreement dated November 18, 2020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Capitalized terms used herein and not otherwise defined will have the meaning ascribed to them in the Original Agreement.</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Marqeta and Client agree to amend certain provisions in the Original Agreement. The Parties agree as follows:</w:t>
      </w:r>
    </w:p>
    <w:p>
      <w:pPr>
        <w:spacing w:after="0" w:line="127" w:lineRule="exact"/>
        <w:rPr>
          <w:sz w:val="20"/>
          <w:szCs w:val="20"/>
          <w:color w:val="auto"/>
        </w:rPr>
      </w:pPr>
    </w:p>
    <w:p>
      <w:pPr>
        <w:ind w:left="424" w:hanging="424"/>
        <w:spacing w:after="0"/>
        <w:tabs>
          <w:tab w:leader="none" w:pos="424"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right="300" w:hanging="439"/>
        <w:spacing w:after="0" w:line="277" w:lineRule="auto"/>
        <w:tabs>
          <w:tab w:leader="none" w:pos="1424" w:val="left"/>
        </w:tabs>
        <w:numPr>
          <w:ilvl w:val="1"/>
          <w:numId w:val="361"/>
        </w:numPr>
        <w:rPr>
          <w:rFonts w:ascii="Arial" w:cs="Arial" w:eastAsia="Arial" w:hAnsi="Arial"/>
          <w:sz w:val="18"/>
          <w:szCs w:val="18"/>
          <w:color w:val="auto"/>
        </w:rPr>
      </w:pPr>
      <w:r>
        <w:rPr>
          <w:rFonts w:ascii="Arial" w:cs="Arial" w:eastAsia="Arial" w:hAnsi="Arial"/>
          <w:sz w:val="18"/>
          <w:szCs w:val="18"/>
          <w:color w:val="auto"/>
        </w:rPr>
        <w:t>Unless otherwise defined in this Amendment, all capitalized terms appearing in this Amendment shall have the meaning ascribed thereto in the Original Agreement.</w:t>
      </w:r>
    </w:p>
    <w:p>
      <w:pPr>
        <w:spacing w:after="0" w:line="75" w:lineRule="exact"/>
        <w:rPr>
          <w:rFonts w:ascii="Arial" w:cs="Arial" w:eastAsia="Arial" w:hAnsi="Arial"/>
          <w:sz w:val="18"/>
          <w:szCs w:val="18"/>
          <w:color w:val="auto"/>
        </w:rPr>
      </w:pPr>
    </w:p>
    <w:p>
      <w:pPr>
        <w:ind w:left="1424" w:right="260" w:hanging="439"/>
        <w:spacing w:after="0" w:line="277" w:lineRule="auto"/>
        <w:tabs>
          <w:tab w:leader="none" w:pos="1424" w:val="left"/>
        </w:tabs>
        <w:numPr>
          <w:ilvl w:val="1"/>
          <w:numId w:val="361"/>
        </w:numPr>
        <w:rPr>
          <w:rFonts w:ascii="Arial" w:cs="Arial" w:eastAsia="Arial" w:hAnsi="Arial"/>
          <w:sz w:val="18"/>
          <w:szCs w:val="18"/>
          <w:color w:val="auto"/>
        </w:rPr>
      </w:pPr>
      <w:r>
        <w:rPr>
          <w:rFonts w:ascii="Arial" w:cs="Arial" w:eastAsia="Arial" w:hAnsi="Arial"/>
          <w:sz w:val="18"/>
          <w:szCs w:val="18"/>
          <w:color w:val="auto"/>
        </w:rPr>
        <w:t>Schedule C, “Definitions,” is amended to include the following definitions, which add specificity to the historical methodology of the invoicing process applied during calendar year 2020:</w:t>
      </w:r>
    </w:p>
    <w:p>
      <w:pPr>
        <w:spacing w:after="0" w:line="62"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App Net Interchange</w:t>
      </w:r>
      <w:r>
        <w:rPr>
          <w:rFonts w:ascii="Arial" w:cs="Arial" w:eastAsia="Arial" w:hAnsi="Arial"/>
          <w:sz w:val="18"/>
          <w:szCs w:val="18"/>
          <w:color w:val="auto"/>
        </w:rPr>
        <w:t>” means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App NPV</w:t>
      </w:r>
      <w:r>
        <w:rPr>
          <w:rFonts w:ascii="Arial" w:cs="Arial" w:eastAsia="Arial" w:hAnsi="Arial"/>
          <w:sz w:val="18"/>
          <w:szCs w:val="18"/>
          <w:color w:val="auto"/>
        </w:rPr>
        <w:t>” means [***].</w:t>
      </w:r>
    </w:p>
    <w:p>
      <w:pPr>
        <w:spacing w:after="0" w:line="127" w:lineRule="exact"/>
        <w:rPr>
          <w:sz w:val="20"/>
          <w:szCs w:val="20"/>
          <w:color w:val="auto"/>
        </w:rPr>
      </w:pPr>
    </w:p>
    <w:p>
      <w:pPr>
        <w:ind w:left="424" w:hanging="424"/>
        <w:spacing w:after="0"/>
        <w:tabs>
          <w:tab w:leader="none" w:pos="424" w:val="left"/>
        </w:tabs>
        <w:numPr>
          <w:ilvl w:val="0"/>
          <w:numId w:val="362"/>
        </w:numPr>
        <w:rPr>
          <w:rFonts w:ascii="Arial" w:cs="Arial" w:eastAsia="Arial" w:hAnsi="Arial"/>
          <w:sz w:val="17"/>
          <w:szCs w:val="17"/>
          <w:color w:val="auto"/>
        </w:rPr>
      </w:pPr>
      <w:r>
        <w:rPr>
          <w:rFonts w:ascii="Arial" w:cs="Arial" w:eastAsia="Arial" w:hAnsi="Arial"/>
          <w:sz w:val="17"/>
          <w:szCs w:val="17"/>
          <w:b w:val="1"/>
          <w:bCs w:val="1"/>
          <w:color w:val="auto"/>
        </w:rPr>
        <w:t>Extension of Initial Term</w:t>
      </w:r>
      <w:r>
        <w:rPr>
          <w:rFonts w:ascii="Arial" w:cs="Arial" w:eastAsia="Arial" w:hAnsi="Arial"/>
          <w:sz w:val="17"/>
          <w:szCs w:val="17"/>
          <w:color w:val="auto"/>
        </w:rPr>
        <w:t>. Section 3(a) of Schedule A, “Program Terms,” is amended to add the following as an additional paragraph:</w:t>
      </w:r>
    </w:p>
    <w:p>
      <w:pPr>
        <w:spacing w:after="0" w:line="133" w:lineRule="exact"/>
        <w:rPr>
          <w:sz w:val="20"/>
          <w:szCs w:val="20"/>
          <w:color w:val="auto"/>
        </w:rPr>
      </w:pPr>
    </w:p>
    <w:p>
      <w:pPr>
        <w:ind w:left="1424" w:right="40"/>
        <w:spacing w:after="0" w:line="287" w:lineRule="auto"/>
        <w:rPr>
          <w:sz w:val="20"/>
          <w:szCs w:val="20"/>
          <w:color w:val="auto"/>
        </w:rPr>
      </w:pPr>
      <w:r>
        <w:rPr>
          <w:rFonts w:ascii="Arial" w:cs="Arial" w:eastAsia="Arial" w:hAnsi="Arial"/>
          <w:sz w:val="16"/>
          <w:szCs w:val="16"/>
          <w:color w:val="auto"/>
        </w:rPr>
        <w:t>The Initial Term, with respect to the Cash App Program, will begin on the Amendment Effective Date and will expire on the last day of the month that is three (3) years from the Amendment Effective Date, unless terminated earlier in accordance with the Original Agreement (the “Cash App Initial Term”). The Cash App Initial Term shall automatically renew for an unlimited number of one</w:t>
      </w:r>
    </w:p>
    <w:p>
      <w:pPr>
        <w:spacing w:after="0" w:line="2" w:lineRule="exact"/>
        <w:rPr>
          <w:sz w:val="20"/>
          <w:szCs w:val="20"/>
          <w:color w:val="auto"/>
        </w:rPr>
      </w:pPr>
    </w:p>
    <w:p>
      <w:pPr>
        <w:ind w:left="1424" w:right="140" w:firstLine="8"/>
        <w:spacing w:after="0" w:line="253" w:lineRule="auto"/>
        <w:tabs>
          <w:tab w:leader="none" w:pos="1679" w:val="left"/>
        </w:tabs>
        <w:numPr>
          <w:ilvl w:val="1"/>
          <w:numId w:val="363"/>
        </w:numPr>
        <w:rPr>
          <w:rFonts w:ascii="Arial" w:cs="Arial" w:eastAsia="Arial" w:hAnsi="Arial"/>
          <w:sz w:val="18"/>
          <w:szCs w:val="18"/>
          <w:color w:val="auto"/>
        </w:rPr>
      </w:pPr>
      <w:r>
        <w:rPr>
          <w:rFonts w:ascii="Arial" w:cs="Arial" w:eastAsia="Arial" w:hAnsi="Arial"/>
          <w:sz w:val="18"/>
          <w:szCs w:val="18"/>
          <w:color w:val="auto"/>
        </w:rPr>
        <w:t>year renewal terms (each, a “Cash App Renewal Term”) unless one Party provides the other with written notice of its intent to terminate not less than ninety (90) days prior to the end of the then-current Cash App Initial Term or Cash App Renewal Term. The Cash App Initial Term and any subsequent Cash App Renewal Term shall comprise the “Term” of the Original Agreement solely with respect to the Cash App Program.</w:t>
      </w:r>
    </w:p>
    <w:p>
      <w:pPr>
        <w:spacing w:after="0" w:line="94" w:lineRule="exact"/>
        <w:rPr>
          <w:rFonts w:ascii="Arial" w:cs="Arial" w:eastAsia="Arial" w:hAnsi="Arial"/>
          <w:sz w:val="18"/>
          <w:szCs w:val="18"/>
          <w:color w:val="auto"/>
        </w:rPr>
      </w:pPr>
    </w:p>
    <w:p>
      <w:pPr>
        <w:ind w:left="424" w:right="40" w:hanging="424"/>
        <w:spacing w:after="0" w:line="282" w:lineRule="auto"/>
        <w:tabs>
          <w:tab w:leader="none" w:pos="424"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Client Dispute Resolution Obligations</w:t>
      </w:r>
      <w:r>
        <w:rPr>
          <w:rFonts w:ascii="Arial" w:cs="Arial" w:eastAsia="Arial" w:hAnsi="Arial"/>
          <w:sz w:val="18"/>
          <w:szCs w:val="18"/>
          <w:color w:val="auto"/>
        </w:rPr>
        <w:t>. Section 2.i. of Schedule B, “Client Dispute Resolution Obligations,” is hereby deleted in its entirety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Cash App Program.</w:t>
      </w:r>
    </w:p>
    <w:p>
      <w:pPr>
        <w:spacing w:after="0" w:line="67" w:lineRule="exact"/>
        <w:rPr>
          <w:rFonts w:ascii="Arial" w:cs="Arial" w:eastAsia="Arial" w:hAnsi="Arial"/>
          <w:sz w:val="18"/>
          <w:szCs w:val="18"/>
          <w:color w:val="auto"/>
        </w:rPr>
      </w:pPr>
    </w:p>
    <w:p>
      <w:pPr>
        <w:ind w:left="424" w:right="80" w:hanging="424"/>
        <w:spacing w:after="0" w:line="282" w:lineRule="auto"/>
        <w:tabs>
          <w:tab w:leader="none" w:pos="424"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Termination for Convenience</w:t>
      </w:r>
      <w:r>
        <w:rPr>
          <w:rFonts w:ascii="Arial" w:cs="Arial" w:eastAsia="Arial" w:hAnsi="Arial"/>
          <w:sz w:val="18"/>
          <w:szCs w:val="18"/>
          <w:color w:val="auto"/>
        </w:rPr>
        <w:t>. Section 3(f)(b) of Schedule A, “Termination for Convenience,” is hereby deleted in its entirety for all Client Card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w:t>
      </w:r>
    </w:p>
    <w:p>
      <w:pPr>
        <w:spacing w:after="0" w:line="67" w:lineRule="exact"/>
        <w:rPr>
          <w:rFonts w:ascii="Arial" w:cs="Arial" w:eastAsia="Arial" w:hAnsi="Arial"/>
          <w:sz w:val="18"/>
          <w:szCs w:val="18"/>
          <w:color w:val="auto"/>
        </w:rPr>
      </w:pPr>
    </w:p>
    <w:p>
      <w:pPr>
        <w:ind w:left="424" w:right="620" w:hanging="424"/>
        <w:spacing w:after="0" w:line="282" w:lineRule="auto"/>
        <w:tabs>
          <w:tab w:leader="none" w:pos="424"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Payment Terms</w:t>
      </w:r>
      <w:r>
        <w:rPr>
          <w:rFonts w:ascii="Arial" w:cs="Arial" w:eastAsia="Arial" w:hAnsi="Arial"/>
          <w:sz w:val="18"/>
          <w:szCs w:val="18"/>
          <w:color w:val="auto"/>
        </w:rPr>
        <w:t>. For the Cash App Program, Section 8(a)(iv) of Schedule B, “Statements, Invoices and Payments,” is amended to add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provision at the end of the paragraph:</w:t>
      </w:r>
    </w:p>
    <w:p>
      <w:pPr>
        <w:spacing w:after="0" w:line="58" w:lineRule="exact"/>
        <w:rPr>
          <w:sz w:val="20"/>
          <w:szCs w:val="20"/>
          <w:color w:val="auto"/>
        </w:rPr>
      </w:pPr>
    </w:p>
    <w:p>
      <w:pPr>
        <w:ind w:left="1424" w:right="220"/>
        <w:spacing w:after="0" w:line="277" w:lineRule="auto"/>
        <w:rPr>
          <w:sz w:val="20"/>
          <w:szCs w:val="20"/>
          <w:color w:val="auto"/>
        </w:rPr>
      </w:pPr>
      <w:r>
        <w:rPr>
          <w:rFonts w:ascii="Arial" w:cs="Arial" w:eastAsia="Arial" w:hAnsi="Arial"/>
          <w:sz w:val="18"/>
          <w:szCs w:val="18"/>
          <w:color w:val="auto"/>
        </w:rPr>
        <w:t>Any [***] Payment Amounts owed by Client shall be set off with any such amounts owed to Client in determining the net amount payable from one Party to the other on a [***] basis.</w:t>
      </w:r>
    </w:p>
    <w:p>
      <w:pPr>
        <w:sectPr>
          <w:pgSz w:w="11900" w:h="16838" w:orient="portrait"/>
          <w:cols w:equalWidth="0" w:num="1">
            <w:col w:w="11024"/>
          </w:cols>
          <w:pgMar w:left="436" w:top="270" w:right="4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8"/>
          <w:szCs w:val="18"/>
          <w:color w:val="auto"/>
        </w:rPr>
        <w:t>3-12-21</w:t>
      </w:r>
    </w:p>
    <w:p>
      <w:pPr>
        <w:spacing w:after="0" w:line="252" w:lineRule="exact"/>
        <w:rPr>
          <w:sz w:val="20"/>
          <w:szCs w:val="20"/>
          <w:color w:val="auto"/>
        </w:rPr>
      </w:pPr>
    </w:p>
    <w:p>
      <w:pPr>
        <w:ind w:left="424" w:right="160" w:hanging="424"/>
        <w:spacing w:after="0" w:line="347" w:lineRule="auto"/>
        <w:tabs>
          <w:tab w:leader="none" w:pos="424" w:val="left"/>
        </w:tabs>
        <w:numPr>
          <w:ilvl w:val="0"/>
          <w:numId w:val="365"/>
        </w:numPr>
        <w:rPr>
          <w:rFonts w:ascii="Arial" w:cs="Arial" w:eastAsia="Arial" w:hAnsi="Arial"/>
          <w:sz w:val="16"/>
          <w:szCs w:val="16"/>
          <w:color w:val="auto"/>
        </w:rPr>
      </w:pPr>
      <w:r>
        <w:rPr>
          <w:rFonts w:ascii="Arial" w:cs="Arial" w:eastAsia="Arial" w:hAnsi="Arial"/>
          <w:sz w:val="16"/>
          <w:szCs w:val="16"/>
          <w:b w:val="1"/>
          <w:bCs w:val="1"/>
          <w:color w:val="auto"/>
        </w:rPr>
        <w:t>Pricing Terms</w:t>
      </w:r>
      <w:r>
        <w:rPr>
          <w:rFonts w:ascii="Arial" w:cs="Arial" w:eastAsia="Arial" w:hAnsi="Arial"/>
          <w:sz w:val="16"/>
          <w:szCs w:val="16"/>
          <w:color w:val="auto"/>
        </w:rPr>
        <w:t>. Schedule D, “Fees - Program Setup &amp; Processing Services,” is hereby amended by (a) deleting the Revenue Sharing section as</w:t>
      </w:r>
      <w:r>
        <w:rPr>
          <w:rFonts w:ascii="Arial" w:cs="Arial" w:eastAsia="Arial" w:hAnsi="Arial"/>
          <w:sz w:val="16"/>
          <w:szCs w:val="16"/>
          <w:b w:val="1"/>
          <w:bCs w:val="1"/>
          <w:color w:val="auto"/>
        </w:rPr>
        <w:t xml:space="preserve"> </w:t>
      </w:r>
      <w:r>
        <w:rPr>
          <w:rFonts w:ascii="Arial" w:cs="Arial" w:eastAsia="Arial" w:hAnsi="Arial"/>
          <w:sz w:val="16"/>
          <w:szCs w:val="16"/>
          <w:color w:val="auto"/>
        </w:rPr>
        <w:t>added by Amendment No. 6 and replacing it in its entirety, and (b) adding a Chargeback and Dispute Resolution section, each as set forth below:</w:t>
      </w:r>
    </w:p>
    <w:p>
      <w:pPr>
        <w:spacing w:after="0" w:line="33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Cash App Program Fees</w:t>
      </w:r>
    </w:p>
    <w:p>
      <w:pPr>
        <w:spacing w:after="0" w:line="225" w:lineRule="exact"/>
        <w:rPr>
          <w:sz w:val="20"/>
          <w:szCs w:val="20"/>
          <w:color w:val="auto"/>
        </w:rPr>
      </w:pPr>
    </w:p>
    <w:p>
      <w:pPr>
        <w:ind w:left="1244" w:hanging="253"/>
        <w:spacing w:after="0"/>
        <w:tabs>
          <w:tab w:leader="none" w:pos="1244" w:val="left"/>
        </w:tabs>
        <w:numPr>
          <w:ilvl w:val="1"/>
          <w:numId w:val="366"/>
        </w:numPr>
        <w:rPr>
          <w:rFonts w:ascii="Arial" w:cs="Arial" w:eastAsia="Arial" w:hAnsi="Arial"/>
          <w:sz w:val="17"/>
          <w:szCs w:val="17"/>
          <w:color w:val="auto"/>
        </w:rPr>
      </w:pPr>
      <w:r>
        <w:rPr>
          <w:rFonts w:ascii="Arial" w:cs="Arial" w:eastAsia="Arial" w:hAnsi="Arial"/>
          <w:sz w:val="17"/>
          <w:szCs w:val="17"/>
          <w:b w:val="1"/>
          <w:bCs w:val="1"/>
          <w:color w:val="auto"/>
        </w:rPr>
        <w:t>Cash App Program Fees</w:t>
      </w:r>
      <w:r>
        <w:rPr>
          <w:rFonts w:ascii="Arial" w:cs="Arial" w:eastAsia="Arial" w:hAnsi="Arial"/>
          <w:sz w:val="17"/>
          <w:szCs w:val="17"/>
          <w:color w:val="auto"/>
        </w:rPr>
        <w:t>. Beginning on [***], the fees set forth below shall apply solely to the Cash App Program as follows:</w:t>
      </w:r>
    </w:p>
    <w:p>
      <w:pPr>
        <w:spacing w:after="0" w:line="146" w:lineRule="exact"/>
        <w:rPr>
          <w:rFonts w:ascii="Arial" w:cs="Arial" w:eastAsia="Arial" w:hAnsi="Arial"/>
          <w:sz w:val="17"/>
          <w:szCs w:val="17"/>
          <w:color w:val="auto"/>
        </w:rPr>
      </w:pPr>
    </w:p>
    <w:p>
      <w:pPr>
        <w:ind w:left="1424" w:right="100" w:hanging="439"/>
        <w:spacing w:after="0" w:line="257" w:lineRule="auto"/>
        <w:tabs>
          <w:tab w:leader="none" w:pos="1424"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Revenue Sharing</w:t>
      </w:r>
      <w:r>
        <w:rPr>
          <w:rFonts w:ascii="Arial" w:cs="Arial" w:eastAsia="Arial" w:hAnsi="Arial"/>
          <w:sz w:val="18"/>
          <w:szCs w:val="18"/>
          <w:color w:val="auto"/>
        </w:rPr>
        <w:t>. The table below sets forth the applicable percentage of Cash App Net Interchange to be paid to Client for Cash App Program transactions on a [***] basis. A Tier is reached when the Cash App NPV in the applicable [***]. The Tiers will be applied [***] in accordance with the table below. If the [***]Cash App NPV for a given [***] falls within [***], then Client will be paid an amount equal to the [***]. If the Cash App NPV for a given [***] falls within [***], then Client will be paid both: (a) an amount equal to the [***] and (b) an amount equal to [***].</w:t>
      </w:r>
    </w:p>
    <w:p>
      <w:pPr>
        <w:spacing w:after="0" w:line="209" w:lineRule="exact"/>
        <w:rPr>
          <w:sz w:val="20"/>
          <w:szCs w:val="20"/>
          <w:color w:val="auto"/>
        </w:rPr>
      </w:pPr>
    </w:p>
    <w:tbl>
      <w:tblPr>
        <w:tblLayout w:type="fixed"/>
        <w:tblInd w:w="1114" w:type="dxa"/>
        <w:tblCellMar>
          <w:top w:w="0" w:type="dxa"/>
          <w:left w:w="0" w:type="dxa"/>
          <w:bottom w:w="0" w:type="dxa"/>
          <w:right w:w="0" w:type="dxa"/>
        </w:tblCellMar>
      </w:tblPr>
      <w:tr>
        <w:trPr>
          <w:trHeight w:val="139"/>
        </w:trPr>
        <w:tc>
          <w:tcPr>
            <w:tcW w:w="300" w:type="dxa"/>
            <w:vAlign w:val="bottom"/>
            <w:tcBorders>
              <w:top w:val="single" w:sz="8" w:color="auto"/>
              <w:left w:val="single" w:sz="8" w:color="auto"/>
            </w:tcBorders>
          </w:tcPr>
          <w:p>
            <w:pPr>
              <w:spacing w:after="0"/>
              <w:rPr>
                <w:sz w:val="12"/>
                <w:szCs w:val="12"/>
                <w:color w:val="auto"/>
              </w:rPr>
            </w:pPr>
          </w:p>
        </w:tc>
        <w:tc>
          <w:tcPr>
            <w:tcW w:w="1300" w:type="dxa"/>
            <w:vAlign w:val="bottom"/>
            <w:tcBorders>
              <w:top w:val="single" w:sz="8" w:color="auto"/>
              <w:right w:val="single" w:sz="8" w:color="auto"/>
            </w:tcBorders>
            <w:vMerge w:val="restart"/>
          </w:tcPr>
          <w:p>
            <w:pPr>
              <w:ind w:left="440"/>
              <w:spacing w:after="0"/>
              <w:rPr>
                <w:sz w:val="20"/>
                <w:szCs w:val="20"/>
                <w:color w:val="auto"/>
              </w:rPr>
            </w:pPr>
            <w:r>
              <w:rPr>
                <w:rFonts w:ascii="Arial" w:cs="Arial" w:eastAsia="Arial" w:hAnsi="Arial"/>
                <w:sz w:val="14"/>
                <w:szCs w:val="14"/>
                <w:b w:val="1"/>
                <w:bCs w:val="1"/>
                <w:color w:val="auto"/>
              </w:rPr>
              <w:t>Tier</w:t>
            </w:r>
          </w:p>
        </w:tc>
        <w:tc>
          <w:tcPr>
            <w:tcW w:w="1820" w:type="dxa"/>
            <w:vAlign w:val="bottom"/>
            <w:tcBorders>
              <w:top w:val="single" w:sz="8" w:color="auto"/>
              <w:right w:val="single" w:sz="8" w:color="auto"/>
            </w:tcBorders>
            <w:gridSpan w:val="2"/>
            <w:vMerge w:val="restart"/>
          </w:tcPr>
          <w:p>
            <w:pPr>
              <w:jc w:val="center"/>
              <w:ind w:left="14"/>
              <w:spacing w:after="0"/>
              <w:rPr>
                <w:sz w:val="20"/>
                <w:szCs w:val="20"/>
                <w:color w:val="auto"/>
              </w:rPr>
            </w:pPr>
            <w:r>
              <w:rPr>
                <w:rFonts w:ascii="Arial" w:cs="Arial" w:eastAsia="Arial" w:hAnsi="Arial"/>
                <w:sz w:val="14"/>
                <w:szCs w:val="14"/>
                <w:b w:val="1"/>
                <w:bCs w:val="1"/>
                <w:color w:val="auto"/>
              </w:rPr>
              <w:t>[***] Cash App NPV</w:t>
            </w:r>
          </w:p>
        </w:tc>
        <w:tc>
          <w:tcPr>
            <w:tcW w:w="20" w:type="dxa"/>
            <w:vAlign w:val="bottom"/>
            <w:tcBorders>
              <w:top w:val="single" w:sz="8" w:color="auto"/>
            </w:tcBorders>
          </w:tcPr>
          <w:p>
            <w:pPr>
              <w:spacing w:after="0"/>
              <w:rPr>
                <w:sz w:val="12"/>
                <w:szCs w:val="12"/>
                <w:color w:val="auto"/>
              </w:rPr>
            </w:pP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Client’s Revenue Share Rate</w:t>
            </w:r>
          </w:p>
        </w:tc>
        <w:tc>
          <w:tcPr>
            <w:tcW w:w="1840" w:type="dxa"/>
            <w:vAlign w:val="bottom"/>
            <w:tcBorders>
              <w:top w:val="single" w:sz="8" w:color="auto"/>
              <w:right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Marqeta’s Revenue Share</w:t>
            </w:r>
          </w:p>
        </w:tc>
        <w:tc>
          <w:tcPr>
            <w:tcW w:w="1740" w:type="dxa"/>
            <w:vAlign w:val="bottom"/>
            <w:tcBorders>
              <w:top w:val="single" w:sz="8" w:color="auto"/>
              <w:right w:val="single" w:sz="8" w:color="auto"/>
            </w:tcBorders>
            <w:gridSpan w:val="2"/>
            <w:vMerge w:val="restart"/>
          </w:tcPr>
          <w:p>
            <w:pPr>
              <w:ind w:left="380"/>
              <w:spacing w:after="0"/>
              <w:rPr>
                <w:sz w:val="20"/>
                <w:szCs w:val="20"/>
                <w:color w:val="auto"/>
              </w:rPr>
            </w:pPr>
            <w:r>
              <w:rPr>
                <w:rFonts w:ascii="Arial" w:cs="Arial" w:eastAsia="Arial" w:hAnsi="Arial"/>
                <w:sz w:val="14"/>
                <w:szCs w:val="14"/>
                <w:b w:val="1"/>
                <w:bCs w:val="1"/>
                <w:color w:val="auto"/>
              </w:rPr>
              <w:t>Tier Calculation</w:t>
            </w:r>
          </w:p>
        </w:tc>
        <w:tc>
          <w:tcPr>
            <w:tcW w:w="0" w:type="dxa"/>
            <w:vAlign w:val="bottom"/>
          </w:tcPr>
          <w:p>
            <w:pPr>
              <w:spacing w:after="0"/>
              <w:rPr>
                <w:sz w:val="1"/>
                <w:szCs w:val="1"/>
                <w:color w:val="auto"/>
              </w:rPr>
            </w:pPr>
          </w:p>
        </w:tc>
      </w:tr>
      <w:tr>
        <w:trPr>
          <w:trHeight w:val="171"/>
        </w:trPr>
        <w:tc>
          <w:tcPr>
            <w:tcW w:w="300" w:type="dxa"/>
            <w:vAlign w:val="bottom"/>
            <w:tcBorders>
              <w:left w:val="single" w:sz="8" w:color="auto"/>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vMerge w:val="continue"/>
          </w:tcPr>
          <w:p>
            <w:pPr>
              <w:spacing w:after="0"/>
              <w:rPr>
                <w:sz w:val="14"/>
                <w:szCs w:val="14"/>
                <w:color w:val="auto"/>
              </w:rPr>
            </w:pPr>
          </w:p>
        </w:tc>
        <w:tc>
          <w:tcPr>
            <w:tcW w:w="1820" w:type="dxa"/>
            <w:vAlign w:val="bottom"/>
            <w:tcBorders>
              <w:bottom w:val="single" w:sz="8" w:color="auto"/>
              <w:right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jc w:val="center"/>
              <w:ind w:right="488"/>
              <w:spacing w:after="0"/>
              <w:rPr>
                <w:sz w:val="20"/>
                <w:szCs w:val="20"/>
                <w:color w:val="auto"/>
              </w:rPr>
            </w:pPr>
            <w:r>
              <w:rPr>
                <w:rFonts w:ascii="Arial" w:cs="Arial" w:eastAsia="Arial" w:hAnsi="Arial"/>
                <w:sz w:val="14"/>
                <w:szCs w:val="14"/>
                <w:b w:val="1"/>
                <w:bCs w:val="1"/>
                <w:color w:val="auto"/>
                <w:w w:val="92"/>
              </w:rPr>
              <w:t>Rate</w:t>
            </w:r>
          </w:p>
        </w:tc>
        <w:tc>
          <w:tcPr>
            <w:tcW w:w="1740" w:type="dxa"/>
            <w:vAlign w:val="bottom"/>
            <w:tcBorders>
              <w:bottom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3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3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4940" w:type="dxa"/>
            <w:vAlign w:val="bottom"/>
            <w:tcBorders>
              <w:bottom w:val="single" w:sz="8" w:color="auto"/>
            </w:tcBorders>
            <w:gridSpan w:val="5"/>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Borders>
              <w:right w:val="single" w:sz="8" w:color="auto"/>
            </w:tcBorders>
          </w:tcPr>
          <w:p>
            <w:pPr>
              <w:spacing w:after="0"/>
              <w:rPr>
                <w:sz w:val="18"/>
                <w:szCs w:val="18"/>
                <w:color w:val="auto"/>
              </w:rPr>
            </w:pPr>
          </w:p>
        </w:tc>
        <w:tc>
          <w:tcPr>
            <w:tcW w:w="49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 Revenue Sharing Calculation Example:</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w:t>
            </w:r>
          </w:p>
        </w:tc>
        <w:tc>
          <w:tcPr>
            <w:tcW w:w="18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w:t>
            </w:r>
          </w:p>
        </w:tc>
        <w:tc>
          <w:tcPr>
            <w:tcW w:w="18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w:t>
            </w:r>
          </w:p>
        </w:tc>
        <w:tc>
          <w:tcPr>
            <w:tcW w:w="18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w:t>
            </w:r>
          </w:p>
        </w:tc>
        <w:tc>
          <w:tcPr>
            <w:tcW w:w="18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E = B + C +D</w:t>
            </w: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F</w:t>
            </w:r>
          </w:p>
        </w:tc>
        <w:tc>
          <w:tcPr>
            <w:tcW w:w="18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w:t>
            </w:r>
          </w:p>
        </w:tc>
        <w:tc>
          <w:tcPr>
            <w:tcW w:w="18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H = F x G</w:t>
            </w: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w:t>
            </w:r>
          </w:p>
        </w:tc>
        <w:tc>
          <w:tcPr>
            <w:tcW w:w="18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w:t>
            </w:r>
          </w:p>
        </w:tc>
        <w:tc>
          <w:tcPr>
            <w:tcW w:w="18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K = I x J</w:t>
            </w: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L = H - K</w:t>
            </w: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Borders>
              <w:right w:val="single" w:sz="8" w:color="auto"/>
            </w:tcBorders>
          </w:tcPr>
          <w:p>
            <w:pPr>
              <w:spacing w:after="0"/>
              <w:rPr>
                <w:sz w:val="18"/>
                <w:szCs w:val="18"/>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424" w:right="300" w:hanging="439"/>
        <w:spacing w:after="0" w:line="277" w:lineRule="auto"/>
        <w:tabs>
          <w:tab w:leader="none" w:pos="142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Chargeback and Dispute Resolution. The table below sets forth the Chargeback and Dispute Resolution Fees to be charged for all Cash App Program transaction disputes.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Marqeta Chargeback and Dispute Resolution Fees</w:t>
      </w:r>
    </w:p>
    <w:p>
      <w:pPr>
        <w:spacing w:after="0" w:line="129" w:lineRule="exact"/>
        <w:rPr>
          <w:sz w:val="20"/>
          <w:szCs w:val="20"/>
          <w:color w:val="auto"/>
        </w:rPr>
      </w:pPr>
    </w:p>
    <w:tbl>
      <w:tblPr>
        <w:tblLayout w:type="fixed"/>
        <w:tblInd w:w="1114" w:type="dxa"/>
        <w:tblCellMar>
          <w:top w:w="0" w:type="dxa"/>
          <w:left w:w="0" w:type="dxa"/>
          <w:bottom w:w="0" w:type="dxa"/>
          <w:right w:w="0" w:type="dxa"/>
        </w:tblCellMar>
      </w:tblPr>
      <w:tr>
        <w:trPr>
          <w:trHeight w:val="162"/>
        </w:trPr>
        <w:tc>
          <w:tcPr>
            <w:tcW w:w="2120" w:type="dxa"/>
            <w:vAlign w:val="bottom"/>
            <w:tcBorders>
              <w:top w:val="single" w:sz="8" w:color="auto"/>
              <w:left w:val="single" w:sz="8" w:color="auto"/>
              <w:bottom w:val="single" w:sz="8" w:color="auto"/>
              <w:right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7"/>
              </w:rPr>
              <w:t>Item</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r>
      <w:tr>
        <w:trPr>
          <w:trHeight w:val="209"/>
        </w:trPr>
        <w:tc>
          <w:tcPr>
            <w:tcW w:w="2120" w:type="dxa"/>
            <w:vAlign w:val="bottom"/>
            <w:tcBorders>
              <w:left w:val="single" w:sz="8" w:color="auto"/>
              <w:bottom w:val="single" w:sz="8" w:color="auto"/>
              <w:right w:val="single" w:sz="8" w:color="auto"/>
            </w:tcBorders>
          </w:tcPr>
          <w:p>
            <w:pPr>
              <w:jc w:val="right"/>
              <w:ind w:right="719"/>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right w:val="single" w:sz="8" w:color="auto"/>
            </w:tcBorders>
          </w:tcPr>
          <w:p>
            <w:pPr>
              <w:jc w:val="right"/>
              <w:ind w:right="799"/>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right w:val="single" w:sz="8" w:color="auto"/>
            </w:tcBorders>
          </w:tcPr>
          <w:p>
            <w:pPr>
              <w:jc w:val="right"/>
              <w:ind w:right="839"/>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jc w:val="right"/>
              <w:ind w:right="819"/>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4"/>
          </w:cols>
          <w:pgMar w:left="436" w:top="270" w:right="4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8"/>
          <w:szCs w:val="18"/>
          <w:color w:val="auto"/>
        </w:rPr>
        <w:t>3-12-21</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both"/>
        <w:ind w:left="1424" w:right="380" w:hanging="439"/>
        <w:spacing w:after="0" w:line="263" w:lineRule="auto"/>
        <w:tabs>
          <w:tab w:leader="none" w:pos="1424" w:val="left"/>
        </w:tabs>
        <w:numPr>
          <w:ilvl w:val="1"/>
          <w:numId w:val="369"/>
        </w:numPr>
        <w:rPr>
          <w:rFonts w:ascii="Arial" w:cs="Arial" w:eastAsia="Arial" w:hAnsi="Arial"/>
          <w:sz w:val="18"/>
          <w:szCs w:val="18"/>
          <w:color w:val="auto"/>
        </w:rPr>
      </w:pP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In addition to any other consideration due to Client hereunder, subject to the approval of Marqeta’s Board of Directors, Marqeta shall grant to Client a warrant to purchase up to 1,100,000 shares of Marqeta’s common stock, in substantially the form attached hereto as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424" w:right="40" w:hanging="424"/>
        <w:spacing w:after="0" w:line="287" w:lineRule="auto"/>
        <w:tabs>
          <w:tab w:leader="none" w:pos="424"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w:t>
      </w:r>
    </w:p>
    <w:p>
      <w:pPr>
        <w:spacing w:after="0" w:line="2" w:lineRule="exact"/>
        <w:rPr>
          <w:rFonts w:ascii="Arial" w:cs="Arial" w:eastAsia="Arial" w:hAnsi="Arial"/>
          <w:sz w:val="16"/>
          <w:szCs w:val="16"/>
          <w:color w:val="auto"/>
        </w:rPr>
      </w:pPr>
    </w:p>
    <w:p>
      <w:pPr>
        <w:ind w:left="424" w:right="160"/>
        <w:spacing w:after="0" w:line="273" w:lineRule="auto"/>
        <w:rPr>
          <w:rFonts w:ascii="Arial" w:cs="Arial" w:eastAsia="Arial" w:hAnsi="Arial"/>
          <w:sz w:val="16"/>
          <w:szCs w:val="16"/>
          <w:color w:val="auto"/>
        </w:rPr>
      </w:pPr>
      <w:r>
        <w:rPr>
          <w:rFonts w:ascii="Arial" w:cs="Arial" w:eastAsia="Arial" w:hAnsi="Arial"/>
          <w:sz w:val="17"/>
          <w:szCs w:val="17"/>
          <w:color w:val="auto"/>
        </w:rPr>
        <w:t>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ink-signed original.</w:t>
      </w:r>
    </w:p>
    <w:p>
      <w:pPr>
        <w:sectPr>
          <w:pgSz w:w="11900" w:h="16838" w:orient="portrait"/>
          <w:cols w:equalWidth="0" w:num="1">
            <w:col w:w="11024"/>
          </w:cols>
          <w:pgMar w:left="436" w:top="270" w:right="439" w:bottom="1440" w:gutter="0" w:footer="0" w:header="0"/>
        </w:sectPr>
      </w:pPr>
    </w:p>
    <w:bookmarkStart w:id="416" w:name="page417"/>
    <w:bookmarkEnd w:id="416"/>
    <w:p>
      <w:pPr>
        <w:ind w:left="9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6"/>
          <w:szCs w:val="16"/>
          <w:color w:val="auto"/>
        </w:rPr>
        <w:t>3-12-21</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7"/>
              </w:rPr>
              <w:t>SQUARE, INC.</w:t>
            </w:r>
          </w:p>
        </w:tc>
        <w:tc>
          <w:tcPr>
            <w:tcW w:w="3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MARQETA, INC.</w:t>
            </w:r>
          </w:p>
        </w:tc>
      </w:tr>
      <w:tr>
        <w:trPr>
          <w:trHeight w:val="20"/>
        </w:trPr>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453"/>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Grassadonia</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Tripp Faix</w:t>
            </w:r>
          </w:p>
        </w:tc>
      </w:tr>
      <w:tr>
        <w:trPr>
          <w:trHeight w:val="205"/>
        </w:trPr>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Brian Grassadonia</w:t>
            </w:r>
          </w:p>
        </w:tc>
        <w:tc>
          <w:tcPr>
            <w:tcW w:w="700" w:type="dxa"/>
            <w:vAlign w:val="bottom"/>
          </w:tcPr>
          <w:p>
            <w:pPr>
              <w:spacing w:after="0"/>
              <w:rPr>
                <w:sz w:val="17"/>
                <w:szCs w:val="17"/>
                <w:color w:val="auto"/>
              </w:rPr>
            </w:pPr>
          </w:p>
        </w:tc>
        <w:tc>
          <w:tcPr>
            <w:tcW w:w="64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Tripp Faix</w:t>
            </w:r>
          </w:p>
        </w:tc>
      </w:t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Square Cash Lead</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520" w:type="dxa"/>
            <w:vAlign w:val="bottom"/>
            <w:gridSpan w:val="2"/>
          </w:tcPr>
          <w:p>
            <w:pPr>
              <w:spacing w:after="0"/>
              <w:rPr>
                <w:sz w:val="20"/>
                <w:szCs w:val="20"/>
                <w:color w:val="auto"/>
              </w:rPr>
            </w:pPr>
            <w:r>
              <w:rPr>
                <w:rFonts w:ascii="Arial" w:cs="Arial" w:eastAsia="Arial" w:hAnsi="Arial"/>
                <w:sz w:val="18"/>
                <w:szCs w:val="18"/>
                <w:color w:val="auto"/>
              </w:rPr>
              <w:t>CFO</w:t>
            </w:r>
          </w:p>
        </w:tc>
      </w:t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3/13/2021</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20" w:type="dxa"/>
            <w:vAlign w:val="bottom"/>
            <w:gridSpan w:val="2"/>
          </w:tcPr>
          <w:p>
            <w:pPr>
              <w:spacing w:after="0"/>
              <w:rPr>
                <w:sz w:val="20"/>
                <w:szCs w:val="20"/>
                <w:color w:val="auto"/>
              </w:rPr>
            </w:pPr>
            <w:r>
              <w:rPr>
                <w:rFonts w:ascii="Arial" w:cs="Arial" w:eastAsia="Arial" w:hAnsi="Arial"/>
                <w:sz w:val="18"/>
                <w:szCs w:val="18"/>
                <w:color w:val="auto"/>
              </w:rPr>
              <w:t>March 13, 2021</w:t>
            </w:r>
          </w:p>
        </w:tc>
      </w:tr>
    </w:tbl>
    <w:p>
      <w:pPr>
        <w:sectPr>
          <w:pgSz w:w="11900" w:h="16838" w:orient="portrait"/>
          <w:cols w:equalWidth="0" w:num="1">
            <w:col w:w="11020"/>
          </w:cols>
          <w:pgMar w:left="440" w:top="270" w:right="439" w:bottom="1440" w:gutter="0" w:footer="0" w:header="0"/>
        </w:sectPr>
      </w:pPr>
    </w:p>
    <w:bookmarkStart w:id="417" w:name="page418"/>
    <w:bookmarkEnd w:id="4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w:t>
      </w:r>
      <w:r>
        <w:rPr>
          <w:rFonts w:ascii="Arial" w:cs="Arial" w:eastAsia="Arial" w:hAnsi="Arial"/>
          <w:sz w:val="18"/>
          <w:szCs w:val="18"/>
          <w:color w:val="auto"/>
        </w:rPr>
        <w:t>3-12-21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WARRANT</w:t>
      </w:r>
    </w:p>
    <w:p>
      <w:pPr>
        <w:sectPr>
          <w:pgSz w:w="11900" w:h="16838" w:orient="portrait"/>
          <w:cols w:equalWidth="0" w:num="1">
            <w:col w:w="10020"/>
          </w:cols>
          <w:pgMar w:left="1440" w:top="270" w:right="43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MARKED BY [***], HAS BEEN EXCLUDED FROM THIS EXHIBIT BECAUSE (I) IT</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color w:val="auto"/>
        </w:rPr>
        <w:t>IS NOT MATERIAL AND (II) THE REGISTRANT CUSTOMARILY AND ACTUALLY TREATS THE INFORMATION AS PRIVATE AND CONFIDENTIAL.</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13 TO MASTER SERVICES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Amendment No. 13 to Master Services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on the date of the last signature below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Addendum Implementation Date</w:t>
      </w:r>
      <w:r>
        <w:rPr>
          <w:rFonts w:ascii="Arial" w:cs="Arial" w:eastAsia="Arial" w:hAnsi="Arial"/>
          <w:sz w:val="16"/>
          <w:szCs w:val="16"/>
          <w:color w:val="auto"/>
        </w:rPr>
        <w:t>”) ”) by and between Square, Inc., a Delaware corporation, whose principal address is 1455 Market Street Suite 600,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94103 (“</w:t>
      </w:r>
      <w:r>
        <w:rPr>
          <w:rFonts w:ascii="Arial" w:cs="Arial" w:eastAsia="Arial" w:hAnsi="Arial"/>
          <w:sz w:val="17"/>
          <w:szCs w:val="17"/>
          <w:u w:val="single" w:color="auto"/>
          <w:color w:val="auto"/>
        </w:rPr>
        <w:t>Client</w:t>
      </w:r>
      <w:r>
        <w:rPr>
          <w:rFonts w:ascii="Arial" w:cs="Arial" w:eastAsia="Arial" w:hAnsi="Arial"/>
          <w:sz w:val="17"/>
          <w:szCs w:val="17"/>
          <w:color w:val="auto"/>
        </w:rPr>
        <w:t>”) and [***], an [***] corporation, whose principal address is [***] (“Client Affiliate”) on the one hand, and Marqeta,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 a Delaware corporation, whose principal address is 180 Grand Avenue, 6</w:t>
      </w:r>
      <w:r>
        <w:rPr>
          <w:rFonts w:ascii="Arial" w:cs="Arial" w:eastAsia="Arial" w:hAnsi="Arial"/>
          <w:sz w:val="13"/>
          <w:szCs w:val="13"/>
          <w:color w:val="auto"/>
        </w:rPr>
        <w:t>th</w:t>
      </w:r>
      <w:r>
        <w:rPr>
          <w:rFonts w:ascii="Arial" w:cs="Arial" w:eastAsia="Arial" w:hAnsi="Arial"/>
          <w:sz w:val="16"/>
          <w:szCs w:val="16"/>
          <w:color w:val="auto"/>
        </w:rPr>
        <w:t xml:space="preserve"> Floor, Oakland, CA 94612 on the other hand (hereinafter “</w:t>
      </w:r>
      <w:r>
        <w:rPr>
          <w:rFonts w:ascii="Arial" w:cs="Arial" w:eastAsia="Arial" w:hAnsi="Arial"/>
          <w:sz w:val="16"/>
          <w:szCs w:val="16"/>
          <w:u w:val="single" w:color="auto"/>
          <w:color w:val="auto"/>
        </w:rPr>
        <w:t>Marqeta</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together with Client and Client Affiliate, the “</w:t>
      </w:r>
      <w:r>
        <w:rPr>
          <w:rFonts w:ascii="Arial" w:cs="Arial" w:eastAsia="Arial" w:hAnsi="Arial"/>
          <w:sz w:val="16"/>
          <w:szCs w:val="16"/>
          <w:u w:val="single" w:color="auto"/>
          <w:color w:val="auto"/>
        </w:rPr>
        <w:t>Parties</w:t>
      </w:r>
      <w:r>
        <w:rPr>
          <w:rFonts w:ascii="Arial" w:cs="Arial" w:eastAsia="Arial" w:hAnsi="Arial"/>
          <w:sz w:val="16"/>
          <w:szCs w:val="16"/>
          <w:color w:val="auto"/>
        </w:rPr>
        <w:t>”), and amends the Master Services Agreement between Client and Marqeta dated April 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as amended by the Amendment No. 1 to Master Services Agreement dated September 1, 2016, Amendment No. 2 to Master Services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October 18, 2016, the Letter Addendum dated December 24, 2016, Amendment No. 3 to Master Services Agreement executed by Client 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about June 30, 2017, Amendment No. 4 to Master Services Agreement executed by Client on or about August 2, 2017, Amendment No. 5 to Master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Agreement dated October 1, 2017, Amendment No. 6 to Master Services Agreement dated April 1, 2018, Amendment No. 7 to Master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June 6, 2019, Amendment No. 8 to Master Services Agreement dated September 20, 2019, Amendment No. 9 to Master Services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dated February 7, 2020, Amendment No. 10 to Master Services Agreement dated November 18, 2020, Amendment No. 11 to Master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Services Agreement dated November 18, 2020, and Amendment No. 12 to Master Services Agreement dated March 13, 2021 (the “</w:t>
      </w:r>
      <w:r>
        <w:rPr>
          <w:rFonts w:ascii="Arial" w:cs="Arial" w:eastAsia="Arial" w:hAnsi="Arial"/>
          <w:sz w:val="17"/>
          <w:szCs w:val="17"/>
          <w:u w:val="single" w:color="auto"/>
          <w:color w:val="auto"/>
        </w:rPr>
        <w:t>Original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herein and not otherwise defined will have the meaning ascribed to them in the Original Agreement.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Marqeta and Client and Client Affiliate agree to amend certain provisions in the Original Agreement as follows:</w:t>
      </w:r>
    </w:p>
    <w:p>
      <w:pPr>
        <w:spacing w:after="0" w:line="127" w:lineRule="exact"/>
        <w:rPr>
          <w:sz w:val="20"/>
          <w:szCs w:val="20"/>
          <w:color w:val="auto"/>
        </w:rPr>
      </w:pPr>
    </w:p>
    <w:p>
      <w:pPr>
        <w:ind w:left="960" w:right="320" w:hanging="532"/>
        <w:spacing w:after="0" w:line="282" w:lineRule="auto"/>
        <w:tabs>
          <w:tab w:leader="none" w:pos="9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Section 4 of Amendment No. 11 to the Original Agreement is hereby amended in its entirety to update the Execution Window as follows:</w:t>
      </w:r>
    </w:p>
    <w:p>
      <w:pPr>
        <w:spacing w:after="0" w:line="53" w:lineRule="exact"/>
        <w:rPr>
          <w:rFonts w:ascii="Arial" w:cs="Arial" w:eastAsia="Arial" w:hAnsi="Arial"/>
          <w:sz w:val="18"/>
          <w:szCs w:val="18"/>
          <w:color w:val="auto"/>
        </w:rPr>
      </w:pPr>
    </w:p>
    <w:p>
      <w:pPr>
        <w:ind w:left="980" w:right="20"/>
        <w:spacing w:after="0" w:line="274" w:lineRule="auto"/>
        <w:rPr>
          <w:rFonts w:ascii="Arial" w:cs="Arial" w:eastAsia="Arial" w:hAnsi="Arial"/>
          <w:sz w:val="18"/>
          <w:szCs w:val="18"/>
          <w:color w:val="auto"/>
        </w:rPr>
      </w:pPr>
      <w:r>
        <w:rPr>
          <w:rFonts w:ascii="Arial" w:cs="Arial" w:eastAsia="Arial" w:hAnsi="Arial"/>
          <w:sz w:val="17"/>
          <w:szCs w:val="17"/>
          <w:b w:val="1"/>
          <w:bCs w:val="1"/>
          <w:color w:val="auto"/>
        </w:rPr>
        <w:t>“</w:t>
      </w:r>
      <w:r>
        <w:rPr>
          <w:rFonts w:ascii="Arial" w:cs="Arial" w:eastAsia="Arial" w:hAnsi="Arial"/>
          <w:sz w:val="17"/>
          <w:szCs w:val="17"/>
          <w:color w:val="auto"/>
        </w:rPr>
        <w:t>[***]. The Parties will implement a separate Card Program for the [***] (the “[***]”) in accordance with the terms and conditions of a</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agreement (the “[***]”). The Parties will work in good faith to develop and execute the [***]by May 31, 2021 (the “Execution Window”), which will describe the Services to be provided by Marqeta, the responsibilities of Client Affiliate, and include any other details relevant to the development, implementation and execution of the [***], including the compliance operating principles already shared between the Parties. The Initial Term set forth in Amendment No. 10 shall apply to the [***]. The effect of the terms and conditions of this Amendment are contingent upon the successful execution of the [***] within the Execution Window.”</w:t>
      </w:r>
    </w:p>
    <w:p>
      <w:pPr>
        <w:spacing w:after="0" w:line="82" w:lineRule="exact"/>
        <w:rPr>
          <w:rFonts w:ascii="Arial" w:cs="Arial" w:eastAsia="Arial" w:hAnsi="Arial"/>
          <w:sz w:val="18"/>
          <w:szCs w:val="18"/>
          <w:color w:val="auto"/>
        </w:rPr>
      </w:pPr>
    </w:p>
    <w:p>
      <w:pPr>
        <w:ind w:left="960" w:right="80" w:hanging="532"/>
        <w:spacing w:after="0" w:line="254" w:lineRule="auto"/>
        <w:tabs>
          <w:tab w:leader="none" w:pos="9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This Amendment and the Original Agreement set forth the Parties’ entire agreement with respect to the subject matter thereof. Except as expressly amended or modified herein, the Original Agreement is hereby ratified and remains in full force and effect. In the event of a conflict between any term or condition set forth in this Amendment and the Original Agreement, the terms and conditions of this Amendment will govern and prevail. This Amendment may be executed in any number of counterparts, each of which will be an original, but all of which together will constitute one and the same agreement. Execution and delivery of this Amendment by exchange of facsimile copies bearing the facsimile signature of a Party hereto or electronic email attachments bearing the facsimile or electronic signature of a Party hereto will constitute a valid and binding execution and delivery of this Amendment by such Party in the same manner as an ink-signed original.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ectPr>
          <w:pgSz w:w="11900" w:h="16838" w:orient="portrait"/>
          <w:cols w:equalWidth="0" w:num="1">
            <w:col w:w="11020"/>
          </w:cols>
          <w:pgMar w:left="440" w:top="270" w:right="439" w:bottom="1440" w:gutter="0" w:footer="0" w:header="0"/>
        </w:sectPr>
      </w:pPr>
    </w:p>
    <w:bookmarkStart w:id="419" w:name="page420"/>
    <w:bookmarkEnd w:id="419"/>
    <w:p>
      <w:pPr>
        <w:ind w:left="10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Parties have caused this Amendment to be executed by their duly authorized representatives as of the Amendment Effective Date.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QUARE</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ARQETA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Y</w:t>
            </w:r>
            <w:r>
              <w:rPr>
                <w:rFonts w:ascii="Arial" w:cs="Arial" w:eastAsia="Arial" w:hAnsi="Arial"/>
                <w:sz w:val="18"/>
                <w:szCs w:val="18"/>
                <w:b w:val="1"/>
                <w:bCs w:val="1"/>
                <w:color w:val="auto"/>
              </w:rPr>
              <w:t xml:space="preserve">:  </w:t>
            </w:r>
            <w:r>
              <w:rPr>
                <w:rFonts w:ascii="Arial" w:cs="Arial" w:eastAsia="Arial" w:hAnsi="Arial"/>
                <w:sz w:val="18"/>
                <w:szCs w:val="18"/>
                <w:color w:val="auto"/>
              </w:rPr>
              <w:t>/s/ David Talach</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Y</w:t>
            </w:r>
            <w:r>
              <w:rPr>
                <w:rFonts w:ascii="Arial" w:cs="Arial" w:eastAsia="Arial" w:hAnsi="Arial"/>
                <w:sz w:val="18"/>
                <w:szCs w:val="18"/>
                <w:b w:val="1"/>
                <w:bCs w:val="1"/>
                <w:color w:val="auto"/>
              </w:rPr>
              <w:t xml:space="preserve">:  </w:t>
            </w:r>
            <w:r>
              <w:rPr>
                <w:rFonts w:ascii="Arial" w:cs="Arial" w:eastAsia="Arial" w:hAnsi="Arial"/>
                <w:sz w:val="18"/>
                <w:szCs w:val="18"/>
                <w:color w:val="auto"/>
              </w:rPr>
              <w:t>/s/ Tripp Faix</w:t>
            </w:r>
          </w:p>
        </w:tc>
      </w:tr>
      <w:tr>
        <w:trPr>
          <w:trHeight w:val="205"/>
        </w:trPr>
        <w:tc>
          <w:tcPr>
            <w:tcW w:w="420" w:type="dxa"/>
            <w:vAlign w:val="bottom"/>
          </w:tcPr>
          <w:p>
            <w:pPr>
              <w:spacing w:after="0" w:line="205" w:lineRule="exact"/>
              <w:rPr>
                <w:sz w:val="20"/>
                <w:szCs w:val="20"/>
                <w:color w:val="auto"/>
              </w:rPr>
            </w:pPr>
            <w:r>
              <w:rPr>
                <w:rFonts w:ascii="Arial" w:cs="Arial" w:eastAsia="Arial" w:hAnsi="Arial"/>
                <w:sz w:val="18"/>
                <w:szCs w:val="18"/>
                <w:b w:val="1"/>
                <w:bCs w:val="1"/>
                <w:color w:val="auto"/>
                <w:w w:val="90"/>
              </w:rPr>
              <w:t>N</w:t>
            </w:r>
            <w:r>
              <w:rPr>
                <w:rFonts w:ascii="Arial" w:cs="Arial" w:eastAsia="Arial" w:hAnsi="Arial"/>
                <w:sz w:val="14"/>
                <w:szCs w:val="14"/>
                <w:b w:val="1"/>
                <w:bCs w:val="1"/>
                <w:color w:val="auto"/>
                <w:w w:val="90"/>
              </w:rPr>
              <w:t>AME</w:t>
            </w:r>
          </w:p>
        </w:tc>
        <w:tc>
          <w:tcPr>
            <w:tcW w:w="4740" w:type="dxa"/>
            <w:vAlign w:val="bottom"/>
            <w:tcBorders>
              <w:top w:val="single" w:sz="8" w:color="auto"/>
            </w:tcBorders>
          </w:tcPr>
          <w:p>
            <w:pPr>
              <w:ind w:left="60"/>
              <w:spacing w:after="0" w:line="205"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David Talach</w:t>
            </w:r>
          </w:p>
        </w:tc>
        <w:tc>
          <w:tcPr>
            <w:tcW w:w="1120" w:type="dxa"/>
            <w:vAlign w:val="bottom"/>
          </w:tcPr>
          <w:p>
            <w:pPr>
              <w:ind w:left="700"/>
              <w:spacing w:after="0" w:line="205" w:lineRule="exact"/>
              <w:rPr>
                <w:sz w:val="20"/>
                <w:szCs w:val="20"/>
                <w:color w:val="auto"/>
              </w:rPr>
            </w:pPr>
            <w:r>
              <w:rPr>
                <w:rFonts w:ascii="Arial" w:cs="Arial" w:eastAsia="Arial" w:hAnsi="Arial"/>
                <w:sz w:val="18"/>
                <w:szCs w:val="18"/>
                <w:b w:val="1"/>
                <w:bCs w:val="1"/>
                <w:color w:val="auto"/>
                <w:w w:val="90"/>
              </w:rPr>
              <w:t>N</w:t>
            </w:r>
            <w:r>
              <w:rPr>
                <w:rFonts w:ascii="Arial" w:cs="Arial" w:eastAsia="Arial" w:hAnsi="Arial"/>
                <w:sz w:val="14"/>
                <w:szCs w:val="14"/>
                <w:b w:val="1"/>
                <w:bCs w:val="1"/>
                <w:color w:val="auto"/>
                <w:w w:val="90"/>
              </w:rPr>
              <w:t>AME</w:t>
            </w:r>
          </w:p>
        </w:tc>
        <w:tc>
          <w:tcPr>
            <w:tcW w:w="4740" w:type="dxa"/>
            <w:vAlign w:val="bottom"/>
            <w:tcBorders>
              <w:top w:val="single" w:sz="8" w:color="auto"/>
            </w:tcBorders>
          </w:tcPr>
          <w:p>
            <w:pPr>
              <w:ind w:left="60"/>
              <w:spacing w:after="0" w:line="205"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Tripp Faix</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ITLE</w:t>
            </w:r>
            <w:r>
              <w:rPr>
                <w:rFonts w:ascii="Arial" w:cs="Arial" w:eastAsia="Arial" w:hAnsi="Arial"/>
                <w:sz w:val="18"/>
                <w:szCs w:val="18"/>
                <w:b w:val="1"/>
                <w:bCs w:val="1"/>
                <w:color w:val="auto"/>
              </w:rPr>
              <w:t xml:space="preserve">: </w:t>
            </w:r>
            <w:r>
              <w:rPr>
                <w:rFonts w:ascii="Arial" w:cs="Arial" w:eastAsia="Arial" w:hAnsi="Arial"/>
                <w:sz w:val="18"/>
                <w:szCs w:val="18"/>
                <w:color w:val="auto"/>
              </w:rPr>
              <w:t>GM, Payments</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ITLE</w:t>
            </w:r>
            <w:r>
              <w:rPr>
                <w:rFonts w:ascii="Arial" w:cs="Arial" w:eastAsia="Arial" w:hAnsi="Arial"/>
                <w:sz w:val="18"/>
                <w:szCs w:val="18"/>
                <w:b w:val="1"/>
                <w:bCs w:val="1"/>
                <w:color w:val="auto"/>
              </w:rPr>
              <w:t xml:space="preserve">: </w:t>
            </w:r>
            <w:r>
              <w:rPr>
                <w:rFonts w:ascii="Arial" w:cs="Arial" w:eastAsia="Arial" w:hAnsi="Arial"/>
                <w:sz w:val="18"/>
                <w:szCs w:val="18"/>
                <w:color w:val="auto"/>
              </w:rPr>
              <w:t>CFO</w:t>
            </w: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5/21/2021</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5/20/2021</w:t>
            </w:r>
          </w:p>
        </w:tc>
      </w:tr>
      <w:tr>
        <w:trPr>
          <w:trHeight w:val="458"/>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2"/>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5/20/2021</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78"/>
        </w:trPr>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Confidential</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2</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MARKED BY [***], HAS BEEN EXCLUDED FROM THIS EXHIBIT BECAUSE (I) IT</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color w:val="auto"/>
        </w:rPr>
        <w:t>IS NOT MATERIAL AND (II) THE REGISTRANT CUSTOMARILY AND ACTUALLY TREATS THE INFORMATION AS PRIVATE AND CONFIDENTIAL.</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40" w:type="dxa"/>
            <w:vAlign w:val="bottom"/>
            <w:gridSpan w:val="6"/>
          </w:tcPr>
          <w:p>
            <w:pPr>
              <w:ind w:left="320"/>
              <w:spacing w:after="0"/>
              <w:rPr>
                <w:sz w:val="20"/>
                <w:szCs w:val="20"/>
                <w:color w:val="auto"/>
              </w:rPr>
            </w:pPr>
            <w:r>
              <w:rPr>
                <w:rFonts w:ascii="Arial" w:cs="Arial" w:eastAsia="Arial" w:hAnsi="Arial"/>
                <w:sz w:val="18"/>
                <w:szCs w:val="18"/>
                <w:b w:val="1"/>
                <w:bCs w:val="1"/>
                <w:color w:val="auto"/>
              </w:rPr>
              <w:t>ADDENDUM TO MASTER SERVICES AGREEMENT [***]</w:t>
            </w:r>
          </w:p>
        </w:tc>
        <w:tc>
          <w:tcPr>
            <w:tcW w:w="0" w:type="dxa"/>
            <w:vAlign w:val="bottom"/>
          </w:tcPr>
          <w:p>
            <w:pPr>
              <w:spacing w:after="0"/>
              <w:rPr>
                <w:sz w:val="1"/>
                <w:szCs w:val="1"/>
                <w:color w:val="auto"/>
              </w:rPr>
            </w:pPr>
          </w:p>
        </w:tc>
      </w:tr>
      <w:tr>
        <w:trPr>
          <w:trHeight w:val="418"/>
        </w:trPr>
        <w:tc>
          <w:tcPr>
            <w:tcW w:w="2800" w:type="dxa"/>
            <w:vAlign w:val="bottom"/>
            <w:gridSpan w:val="5"/>
          </w:tcPr>
          <w:p>
            <w:pPr>
              <w:spacing w:after="0"/>
              <w:rPr>
                <w:sz w:val="20"/>
                <w:szCs w:val="20"/>
                <w:color w:val="auto"/>
              </w:rPr>
            </w:pPr>
            <w:r>
              <w:rPr>
                <w:rFonts w:ascii="Arial" w:cs="Arial" w:eastAsia="Arial" w:hAnsi="Arial"/>
                <w:sz w:val="18"/>
                <w:szCs w:val="18"/>
                <w:color w:val="auto"/>
              </w:rPr>
              <w:t>Marqeta, Inc. (“Marqeta”)</w:t>
            </w:r>
          </w:p>
        </w:tc>
        <w:tc>
          <w:tcPr>
            <w:tcW w:w="4980" w:type="dxa"/>
            <w:vAlign w:val="bottom"/>
            <w:gridSpan w:val="5"/>
          </w:tcPr>
          <w:p>
            <w:pPr>
              <w:ind w:left="29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(“Client Affiliate”)</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740" w:type="dxa"/>
            <w:vAlign w:val="bottom"/>
            <w:gridSpan w:val="4"/>
          </w:tcPr>
          <w:p>
            <w:pPr>
              <w:spacing w:after="0"/>
              <w:rPr>
                <w:sz w:val="20"/>
                <w:szCs w:val="20"/>
                <w:color w:val="auto"/>
              </w:rPr>
            </w:pPr>
            <w:r>
              <w:rPr>
                <w:rFonts w:ascii="Arial" w:cs="Arial" w:eastAsia="Arial" w:hAnsi="Arial"/>
                <w:sz w:val="18"/>
                <w:szCs w:val="18"/>
                <w:color w:val="auto"/>
              </w:rPr>
              <w:t>180 Grand Avenue</w:t>
            </w:r>
          </w:p>
        </w:tc>
        <w:tc>
          <w:tcPr>
            <w:tcW w:w="1060" w:type="dxa"/>
            <w:vAlign w:val="bottom"/>
          </w:tcPr>
          <w:p>
            <w:pPr>
              <w:spacing w:after="0"/>
              <w:rPr>
                <w:sz w:val="19"/>
                <w:szCs w:val="19"/>
                <w:color w:val="auto"/>
              </w:rPr>
            </w:pPr>
          </w:p>
        </w:tc>
        <w:tc>
          <w:tcPr>
            <w:tcW w:w="350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6th Floor</w:t>
            </w:r>
          </w:p>
        </w:tc>
        <w:tc>
          <w:tcPr>
            <w:tcW w:w="1060" w:type="dxa"/>
            <w:vAlign w:val="bottom"/>
          </w:tcPr>
          <w:p>
            <w:pPr>
              <w:spacing w:after="0"/>
              <w:rPr>
                <w:sz w:val="18"/>
                <w:szCs w:val="18"/>
                <w:color w:val="auto"/>
              </w:rPr>
            </w:pPr>
          </w:p>
        </w:tc>
        <w:tc>
          <w:tcPr>
            <w:tcW w:w="350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4"/>
          </w:tcPr>
          <w:p>
            <w:pPr>
              <w:spacing w:after="0"/>
              <w:rPr>
                <w:sz w:val="20"/>
                <w:szCs w:val="20"/>
                <w:color w:val="auto"/>
              </w:rPr>
            </w:pPr>
            <w:r>
              <w:rPr>
                <w:rFonts w:ascii="Arial" w:cs="Arial" w:eastAsia="Arial" w:hAnsi="Arial"/>
                <w:sz w:val="18"/>
                <w:szCs w:val="18"/>
                <w:color w:val="auto"/>
              </w:rPr>
              <w:t>Oakland, CA 94612</w:t>
            </w:r>
          </w:p>
        </w:tc>
        <w:tc>
          <w:tcPr>
            <w:tcW w:w="1060" w:type="dxa"/>
            <w:vAlign w:val="bottom"/>
          </w:tcPr>
          <w:p>
            <w:pPr>
              <w:spacing w:after="0"/>
              <w:rPr>
                <w:sz w:val="20"/>
                <w:szCs w:val="20"/>
                <w:color w:val="auto"/>
              </w:rPr>
            </w:pPr>
          </w:p>
        </w:tc>
        <w:tc>
          <w:tcPr>
            <w:tcW w:w="4980" w:type="dxa"/>
            <w:vAlign w:val="bottom"/>
            <w:gridSpan w:val="5"/>
            <w:vMerge w:val="restart"/>
          </w:tcPr>
          <w:p>
            <w:pPr>
              <w:ind w:left="2940"/>
              <w:spacing w:after="0"/>
              <w:rPr>
                <w:sz w:val="20"/>
                <w:szCs w:val="20"/>
                <w:color w:val="auto"/>
              </w:rPr>
            </w:pPr>
            <w:r>
              <w:rPr>
                <w:rFonts w:ascii="Arial" w:cs="Arial" w:eastAsia="Arial" w:hAnsi="Arial"/>
                <w:sz w:val="18"/>
                <w:szCs w:val="18"/>
                <w:color w:val="auto"/>
                <w:w w:val="93"/>
              </w:rPr>
              <w:t>For Notices, with a copy to:</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980" w:type="dxa"/>
            <w:vAlign w:val="bottom"/>
            <w:gridSpan w:val="5"/>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0" w:type="dxa"/>
            <w:vAlign w:val="bottom"/>
            <w:gridSpan w:val="5"/>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gridSpan w:val="5"/>
          </w:tcPr>
          <w:p>
            <w:pPr>
              <w:spacing w:after="0" w:line="196" w:lineRule="exact"/>
              <w:rPr>
                <w:sz w:val="20"/>
                <w:szCs w:val="20"/>
                <w:color w:val="auto"/>
              </w:rPr>
            </w:pPr>
            <w:r>
              <w:rPr>
                <w:rFonts w:ascii="Arial" w:cs="Arial" w:eastAsia="Arial" w:hAnsi="Arial"/>
                <w:sz w:val="18"/>
                <w:szCs w:val="18"/>
                <w:color w:val="auto"/>
              </w:rPr>
              <w:t>For Notices, with a copy to:</w:t>
            </w:r>
          </w:p>
        </w:tc>
        <w:tc>
          <w:tcPr>
            <w:tcW w:w="4980" w:type="dxa"/>
            <w:vAlign w:val="bottom"/>
            <w:gridSpan w:val="5"/>
          </w:tcPr>
          <w:p>
            <w:pPr>
              <w:ind w:left="2940"/>
              <w:spacing w:after="0" w:line="196" w:lineRule="exact"/>
              <w:rPr>
                <w:sz w:val="20"/>
                <w:szCs w:val="20"/>
                <w:color w:val="auto"/>
              </w:rPr>
            </w:pPr>
            <w:r>
              <w:rPr>
                <w:rFonts w:ascii="Arial" w:cs="Arial" w:eastAsia="Arial" w:hAnsi="Arial"/>
                <w:sz w:val="18"/>
                <w:szCs w:val="18"/>
                <w:color w:val="auto"/>
              </w:rPr>
              <w:t xml:space="preserve">Attn: </w:t>
            </w:r>
            <w:r>
              <w:rPr>
                <w:rFonts w:ascii="Arial" w:cs="Arial" w:eastAsia="Arial" w:hAnsi="Arial"/>
                <w:sz w:val="18"/>
                <w:szCs w:val="18"/>
                <w:b w:val="1"/>
                <w:bCs w:val="1"/>
                <w:color w:val="auto"/>
              </w:rPr>
              <w:t>[***]</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80" w:type="dxa"/>
            <w:vAlign w:val="bottom"/>
            <w:gridSpan w:val="5"/>
            <w:vMerge w:val="restart"/>
          </w:tcPr>
          <w:p>
            <w:pPr>
              <w:ind w:left="29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b w:val="1"/>
                <w:bCs w:val="1"/>
                <w:color w:val="auto"/>
              </w:rPr>
              <w:t>[***]</w:t>
            </w: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40" w:type="dxa"/>
            <w:vAlign w:val="bottom"/>
            <w:gridSpan w:val="4"/>
          </w:tcPr>
          <w:p>
            <w:pPr>
              <w:spacing w:after="0"/>
              <w:rPr>
                <w:sz w:val="20"/>
                <w:szCs w:val="20"/>
                <w:color w:val="auto"/>
              </w:rPr>
            </w:pPr>
            <w:r>
              <w:rPr>
                <w:rFonts w:ascii="Arial" w:cs="Arial" w:eastAsia="Arial" w:hAnsi="Arial"/>
                <w:sz w:val="18"/>
                <w:szCs w:val="18"/>
                <w:color w:val="auto"/>
                <w:w w:val="92"/>
              </w:rPr>
              <w:t>Attn: Legal Department</w:t>
            </w:r>
          </w:p>
        </w:tc>
        <w:tc>
          <w:tcPr>
            <w:tcW w:w="1060" w:type="dxa"/>
            <w:vAlign w:val="bottom"/>
          </w:tcPr>
          <w:p>
            <w:pPr>
              <w:spacing w:after="0"/>
              <w:rPr>
                <w:sz w:val="18"/>
                <w:szCs w:val="18"/>
                <w:color w:val="auto"/>
              </w:rPr>
            </w:pPr>
          </w:p>
        </w:tc>
        <w:tc>
          <w:tcPr>
            <w:tcW w:w="4980" w:type="dxa"/>
            <w:vAlign w:val="bottom"/>
            <w:gridSpan w:val="5"/>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gridSpan w:val="4"/>
          </w:tcPr>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b w:val="1"/>
                <w:bCs w:val="1"/>
                <w:color w:val="auto"/>
              </w:rPr>
              <w:t>[***]</w:t>
            </w:r>
          </w:p>
        </w:tc>
        <w:tc>
          <w:tcPr>
            <w:tcW w:w="10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740" w:type="dxa"/>
            <w:vAlign w:val="bottom"/>
            <w:gridSpan w:val="4"/>
          </w:tcPr>
          <w:p>
            <w:pPr>
              <w:spacing w:after="0"/>
              <w:rPr>
                <w:sz w:val="20"/>
                <w:szCs w:val="20"/>
                <w:color w:val="auto"/>
              </w:rPr>
            </w:pPr>
            <w:r>
              <w:rPr>
                <w:rFonts w:ascii="Arial" w:cs="Arial" w:eastAsia="Arial" w:hAnsi="Arial"/>
                <w:sz w:val="18"/>
                <w:szCs w:val="18"/>
                <w:color w:val="auto"/>
              </w:rPr>
              <w:t>Effective Date</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w w:val="89"/>
              </w:rPr>
              <w:t>5/20/2021</w:t>
            </w:r>
          </w:p>
        </w:tc>
        <w:tc>
          <w:tcPr>
            <w:tcW w:w="4980" w:type="dxa"/>
            <w:vAlign w:val="bottom"/>
            <w:gridSpan w:val="5"/>
          </w:tcPr>
          <w:p>
            <w:pPr>
              <w:ind w:left="2940"/>
              <w:spacing w:after="0"/>
              <w:rPr>
                <w:sz w:val="20"/>
                <w:szCs w:val="20"/>
                <w:color w:val="auto"/>
              </w:rPr>
            </w:pPr>
            <w:r>
              <w:rPr>
                <w:rFonts w:ascii="Arial" w:cs="Arial" w:eastAsia="Arial" w:hAnsi="Arial"/>
                <w:sz w:val="18"/>
                <w:szCs w:val="18"/>
                <w:color w:val="auto"/>
              </w:rPr>
              <w:t>Date of last signature</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5/20/2021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(this “</w:t>
      </w:r>
      <w:r>
        <w:rPr>
          <w:rFonts w:ascii="Arial" w:cs="Arial" w:eastAsia="Arial" w:hAnsi="Arial"/>
          <w:sz w:val="17"/>
          <w:szCs w:val="17"/>
          <w:b w:val="1"/>
          <w:bCs w:val="1"/>
          <w:color w:val="auto"/>
        </w:rPr>
        <w:t>[***]</w:t>
      </w:r>
      <w:r>
        <w:rPr>
          <w:rFonts w:ascii="Arial" w:cs="Arial" w:eastAsia="Arial" w:hAnsi="Arial"/>
          <w:sz w:val="17"/>
          <w:szCs w:val="17"/>
          <w:color w:val="auto"/>
        </w:rPr>
        <w:t>” or “Addendum”) to the Master Services Agreement dated April 19, 2016 is entered into between Marqeta and Client Affiliate (each a “Party,” and together the “Parties”) as of the Effective Date. Reference is made to Amendment No. 10 dated November 23, 2020 by and between Marqeta and Square, Inc (“Amendment No. 10”). Further, Marqeta and Client Affiliate have entered into Amendment No. 11 dated November 23, 2020 (“Amendment No. 11,” and together with Amendment No. 10 and the Master Services Agreement, the “Agreement”).</w:t>
      </w:r>
    </w:p>
    <w:p>
      <w:pPr>
        <w:spacing w:after="0" w:line="16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Marqeta and Client Affiliate desire to enter into the </w:t>
      </w:r>
      <w:r>
        <w:rPr>
          <w:rFonts w:ascii="Arial" w:cs="Arial" w:eastAsia="Arial" w:hAnsi="Arial"/>
          <w:sz w:val="18"/>
          <w:szCs w:val="18"/>
          <w:b w:val="1"/>
          <w:bCs w:val="1"/>
          <w:color w:val="auto"/>
        </w:rPr>
        <w:t>[***]</w:t>
      </w:r>
      <w:r>
        <w:rPr>
          <w:rFonts w:ascii="Arial" w:cs="Arial" w:eastAsia="Arial" w:hAnsi="Arial"/>
          <w:sz w:val="18"/>
          <w:szCs w:val="18"/>
          <w:color w:val="auto"/>
        </w:rPr>
        <w:t xml:space="preserve"> Addendum for the provision of Marqeta Processing Services (as defined in the Agreement) and </w:t>
      </w:r>
      <w:r>
        <w:rPr>
          <w:rFonts w:ascii="Arial" w:cs="Arial" w:eastAsia="Arial" w:hAnsi="Arial"/>
          <w:sz w:val="18"/>
          <w:szCs w:val="18"/>
          <w:b w:val="1"/>
          <w:bCs w:val="1"/>
          <w:color w:val="auto"/>
        </w:rPr>
        <w:t>[***]</w:t>
      </w:r>
      <w:r>
        <w:rPr>
          <w:rFonts w:ascii="Arial" w:cs="Arial" w:eastAsia="Arial" w:hAnsi="Arial"/>
          <w:sz w:val="18"/>
          <w:szCs w:val="18"/>
          <w:color w:val="auto"/>
        </w:rPr>
        <w:t xml:space="preserve"> Program Management Services (as defined in Schedule B) in support of the </w:t>
      </w:r>
      <w:r>
        <w:rPr>
          <w:rFonts w:ascii="Arial" w:cs="Arial" w:eastAsia="Arial" w:hAnsi="Arial"/>
          <w:sz w:val="18"/>
          <w:szCs w:val="18"/>
          <w:b w:val="1"/>
          <w:bCs w:val="1"/>
          <w:color w:val="auto"/>
        </w:rPr>
        <w:t>[***]</w:t>
      </w:r>
      <w:r>
        <w:rPr>
          <w:rFonts w:ascii="Arial" w:cs="Arial" w:eastAsia="Arial" w:hAnsi="Arial"/>
          <w:sz w:val="18"/>
          <w:szCs w:val="18"/>
          <w:color w:val="auto"/>
        </w:rPr>
        <w:t>. The “</w:t>
      </w:r>
      <w:r>
        <w:rPr>
          <w:rFonts w:ascii="Arial" w:cs="Arial" w:eastAsia="Arial" w:hAnsi="Arial"/>
          <w:sz w:val="18"/>
          <w:szCs w:val="18"/>
          <w:b w:val="1"/>
          <w:bCs w:val="1"/>
          <w:color w:val="auto"/>
        </w:rPr>
        <w:t>[***]</w:t>
      </w:r>
      <w:r>
        <w:rPr>
          <w:rFonts w:ascii="Arial" w:cs="Arial" w:eastAsia="Arial" w:hAnsi="Arial"/>
          <w:sz w:val="18"/>
          <w:szCs w:val="18"/>
          <w:color w:val="auto"/>
        </w:rPr>
        <w:t xml:space="preserve">” is a Card Program offered by Client Affiliate for </w:t>
      </w:r>
      <w:r>
        <w:rPr>
          <w:rFonts w:ascii="Arial" w:cs="Arial" w:eastAsia="Arial" w:hAnsi="Arial"/>
          <w:sz w:val="18"/>
          <w:szCs w:val="18"/>
          <w:b w:val="1"/>
          <w:bCs w:val="1"/>
          <w:color w:val="auto"/>
        </w:rPr>
        <w:t>[***]</w:t>
      </w:r>
      <w:r>
        <w:rPr>
          <w:rFonts w:ascii="Arial" w:cs="Arial" w:eastAsia="Arial" w:hAnsi="Arial"/>
          <w:sz w:val="18"/>
          <w:szCs w:val="18"/>
          <w:color w:val="auto"/>
        </w:rPr>
        <w:t xml:space="preserve">. The terms of the Agreement shall be incorporated by reference to this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Any capitalized term used in this Addendum, and not defined herein, shall have the meaning given to such term in the Agreement. In the event of a conflict in relation to the Managed by Marqeta Services between the provisions of the Agreement and this Addendum, the provisions of this Addendum shall prevail.</w:t>
      </w:r>
    </w:p>
    <w:p>
      <w:pPr>
        <w:spacing w:after="0" w:line="180"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color w:val="auto"/>
        </w:rPr>
        <w:t xml:space="preserve">Upon execution by the Parties below, this </w:t>
      </w:r>
      <w:r>
        <w:rPr>
          <w:rFonts w:ascii="Arial" w:cs="Arial" w:eastAsia="Arial" w:hAnsi="Arial"/>
          <w:sz w:val="18"/>
          <w:szCs w:val="18"/>
          <w:b w:val="1"/>
          <w:bCs w:val="1"/>
          <w:color w:val="auto"/>
        </w:rPr>
        <w:t>[***]</w:t>
      </w:r>
      <w:r>
        <w:rPr>
          <w:rFonts w:ascii="Arial" w:cs="Arial" w:eastAsia="Arial" w:hAnsi="Arial"/>
          <w:sz w:val="18"/>
          <w:szCs w:val="18"/>
          <w:color w:val="auto"/>
        </w:rPr>
        <w:t xml:space="preserve"> Addendum shall become a schedule to, and form part of, the Agreement. All provisions of the Agreement shall remain in full force and effect as between the original Parties thereto.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Marqeta, Inc.</w:t>
            </w:r>
          </w:p>
        </w:tc>
        <w:tc>
          <w:tcPr>
            <w:tcW w:w="1240" w:type="dxa"/>
            <w:vAlign w:val="bottom"/>
          </w:tcPr>
          <w:p>
            <w:pPr>
              <w:ind w:left="700"/>
              <w:spacing w:after="0"/>
              <w:rPr>
                <w:sz w:val="20"/>
                <w:szCs w:val="20"/>
                <w:color w:val="auto"/>
              </w:rPr>
            </w:pPr>
            <w:r>
              <w:rPr>
                <w:rFonts w:ascii="Arial" w:cs="Arial" w:eastAsia="Arial" w:hAnsi="Arial"/>
                <w:sz w:val="18"/>
                <w:szCs w:val="18"/>
                <w:color w:val="auto"/>
              </w:rPr>
              <w:t>[***]</w:t>
            </w:r>
          </w:p>
        </w:tc>
        <w:tc>
          <w:tcPr>
            <w:tcW w:w="4620" w:type="dxa"/>
            <w:vAlign w:val="bottom"/>
          </w:tcPr>
          <w:p>
            <w:pPr>
              <w:spacing w:after="0"/>
              <w:rPr>
                <w:sz w:val="20"/>
                <w:szCs w:val="20"/>
                <w:color w:val="auto"/>
              </w:rPr>
            </w:pPr>
          </w:p>
        </w:tc>
      </w:tr>
      <w:tr>
        <w:trPr>
          <w:trHeight w:val="44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Tripp Faix</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r>
      <w:tr>
        <w:trPr>
          <w:trHeight w:val="182"/>
        </w:trPr>
        <w:tc>
          <w:tcPr>
            <w:tcW w:w="540" w:type="dxa"/>
            <w:vAlign w:val="bottom"/>
          </w:tcPr>
          <w:p>
            <w:pPr>
              <w:spacing w:after="0" w:line="182" w:lineRule="exact"/>
              <w:rPr>
                <w:sz w:val="20"/>
                <w:szCs w:val="20"/>
                <w:color w:val="auto"/>
              </w:rPr>
            </w:pPr>
            <w:r>
              <w:rPr>
                <w:rFonts w:ascii="Arial" w:cs="Arial" w:eastAsia="Arial" w:hAnsi="Arial"/>
                <w:sz w:val="18"/>
                <w:szCs w:val="18"/>
                <w:color w:val="auto"/>
              </w:rPr>
              <w:t>Print:</w:t>
            </w:r>
          </w:p>
        </w:tc>
        <w:tc>
          <w:tcPr>
            <w:tcW w:w="4620" w:type="dxa"/>
            <w:vAlign w:val="bottom"/>
          </w:tcPr>
          <w:p>
            <w:pPr>
              <w:spacing w:after="0" w:line="182" w:lineRule="exact"/>
              <w:rPr>
                <w:sz w:val="20"/>
                <w:szCs w:val="20"/>
                <w:color w:val="auto"/>
              </w:rPr>
            </w:pPr>
            <w:r>
              <w:rPr>
                <w:rFonts w:ascii="Arial" w:cs="Arial" w:eastAsia="Arial" w:hAnsi="Arial"/>
                <w:sz w:val="18"/>
                <w:szCs w:val="18"/>
                <w:color w:val="auto"/>
              </w:rPr>
              <w:t>Tripp Faix</w:t>
            </w:r>
          </w:p>
        </w:tc>
        <w:tc>
          <w:tcPr>
            <w:tcW w:w="1240" w:type="dxa"/>
            <w:vAlign w:val="bottom"/>
          </w:tcPr>
          <w:p>
            <w:pPr>
              <w:ind w:left="700"/>
              <w:spacing w:after="0" w:line="182" w:lineRule="exact"/>
              <w:rPr>
                <w:sz w:val="20"/>
                <w:szCs w:val="20"/>
                <w:color w:val="auto"/>
              </w:rPr>
            </w:pPr>
            <w:r>
              <w:rPr>
                <w:rFonts w:ascii="Arial" w:cs="Arial" w:eastAsia="Arial" w:hAnsi="Arial"/>
                <w:sz w:val="18"/>
                <w:szCs w:val="18"/>
                <w:color w:val="auto"/>
              </w:rPr>
              <w:t>Print:</w:t>
            </w:r>
          </w:p>
        </w:tc>
        <w:tc>
          <w:tcPr>
            <w:tcW w:w="4620" w:type="dxa"/>
            <w:vAlign w:val="bottom"/>
          </w:tcPr>
          <w:p>
            <w:pPr>
              <w:spacing w:after="0" w:line="182" w:lineRule="exact"/>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CFO</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w:t>
            </w:r>
          </w:p>
        </w:tc>
      </w:tr>
      <w:tr>
        <w:trPr>
          <w:trHeight w:val="24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Pr>
          <w:p>
            <w:pPr>
              <w:spacing w:after="0"/>
              <w:rPr>
                <w:sz w:val="20"/>
                <w:szCs w:val="20"/>
                <w:color w:val="auto"/>
              </w:rPr>
            </w:pPr>
            <w:r>
              <w:rPr>
                <w:rFonts w:ascii="Arial" w:cs="Arial" w:eastAsia="Arial" w:hAnsi="Arial"/>
                <w:sz w:val="18"/>
                <w:szCs w:val="18"/>
                <w:color w:val="auto"/>
              </w:rPr>
              <w:t>5/20/2021</w:t>
            </w:r>
          </w:p>
        </w:tc>
        <w:tc>
          <w:tcPr>
            <w:tcW w:w="1240" w:type="dxa"/>
            <w:vAlign w:val="bottom"/>
          </w:tcPr>
          <w:p>
            <w:pPr>
              <w:ind w:left="700"/>
              <w:spacing w:after="0"/>
              <w:rPr>
                <w:sz w:val="20"/>
                <w:szCs w:val="20"/>
                <w:color w:val="auto"/>
              </w:rPr>
            </w:pPr>
            <w:r>
              <w:rPr>
                <w:rFonts w:ascii="Arial" w:cs="Arial" w:eastAsia="Arial" w:hAnsi="Arial"/>
                <w:sz w:val="18"/>
                <w:szCs w:val="18"/>
                <w:color w:val="auto"/>
              </w:rPr>
              <w:t>Date:</w:t>
            </w:r>
          </w:p>
        </w:tc>
        <w:tc>
          <w:tcPr>
            <w:tcW w:w="4620" w:type="dxa"/>
            <w:vAlign w:val="bottom"/>
          </w:tcPr>
          <w:p>
            <w:pPr>
              <w:spacing w:after="0"/>
              <w:rPr>
                <w:sz w:val="20"/>
                <w:szCs w:val="20"/>
                <w:color w:val="auto"/>
              </w:rPr>
            </w:pPr>
            <w:r>
              <w:rPr>
                <w:rFonts w:ascii="Arial" w:cs="Arial" w:eastAsia="Arial" w:hAnsi="Arial"/>
                <w:sz w:val="18"/>
                <w:szCs w:val="18"/>
                <w:color w:val="auto"/>
              </w:rPr>
              <w:t>5/20/2021</w:t>
            </w:r>
          </w:p>
        </w:tc>
      </w:tr>
    </w:tbl>
    <w:p>
      <w:pPr>
        <w:sectPr>
          <w:pgSz w:w="11900" w:h="16838" w:orient="portrait"/>
          <w:cols w:equalWidth="0" w:num="1">
            <w:col w:w="11020"/>
          </w:cols>
          <w:pgMar w:left="440" w:top="270" w:right="439" w:bottom="1440" w:gutter="0" w:footer="0" w:header="0"/>
        </w:sectPr>
      </w:pPr>
    </w:p>
    <w:bookmarkStart w:id="421" w:name="page422"/>
    <w:bookmarkEnd w:id="421"/>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 - [***] PROGRAM</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PROCESSING SERVICES</w:t>
      </w:r>
    </w:p>
    <w:p>
      <w:pPr>
        <w:spacing w:after="0" w:line="211" w:lineRule="exact"/>
        <w:rPr>
          <w:sz w:val="20"/>
          <w:szCs w:val="20"/>
          <w:color w:val="auto"/>
        </w:rPr>
      </w:pPr>
    </w:p>
    <w:p>
      <w:pPr>
        <w:ind w:left="184" w:hanging="184"/>
        <w:spacing w:after="0"/>
        <w:tabs>
          <w:tab w:leader="none" w:pos="184"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Marqeta’s Obligations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 w:firstLine="436"/>
        <w:spacing w:after="0" w:line="286" w:lineRule="auto"/>
        <w:tabs>
          <w:tab w:leader="none" w:pos="689"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Services Description</w:t>
      </w:r>
      <w:r>
        <w:rPr>
          <w:rFonts w:ascii="Arial" w:cs="Arial" w:eastAsia="Arial" w:hAnsi="Arial"/>
          <w:sz w:val="16"/>
          <w:szCs w:val="16"/>
          <w:color w:val="auto"/>
        </w:rPr>
        <w:t xml:space="preserve">. Marqeta shall provide Client Affiliate with: (1) the Processing Services and (2) the </w:t>
      </w:r>
      <w:r>
        <w:rPr>
          <w:rFonts w:ascii="Arial" w:cs="Arial" w:eastAsia="Arial" w:hAnsi="Arial"/>
          <w:sz w:val="16"/>
          <w:szCs w:val="16"/>
          <w:b w:val="1"/>
          <w:bCs w:val="1"/>
          <w:color w:val="auto"/>
        </w:rPr>
        <w:t>[***]</w:t>
      </w:r>
      <w:r>
        <w:rPr>
          <w:rFonts w:ascii="Arial" w:cs="Arial" w:eastAsia="Arial" w:hAnsi="Arial"/>
          <w:sz w:val="16"/>
          <w:szCs w:val="16"/>
          <w:color w:val="auto"/>
        </w:rPr>
        <w:t xml:space="preserve"> Program Management Services (collectively, the “Services”). Marqeta shall be responsible for providing the Services in accordance with Applicable Law and Client Affiliate Instructions (as defined below). Notwithstanding Section 2(a) of this Addendum, Marqeta shall be liable for any act or omission in connection with its provision of the Services that causes Client Affiliate to be in violation or non-compliance with Applicable Law, Client Affiliate Legal Requirements or Card Brand Rules. “</w:t>
      </w: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means a unique representation of the data and current financial status of a customer account relationship for a Card account under a Card Program, which account is serviced by Marqeta under this </w:t>
      </w:r>
      <w:r>
        <w:rPr>
          <w:rFonts w:ascii="Arial" w:cs="Arial" w:eastAsia="Arial" w:hAnsi="Arial"/>
          <w:sz w:val="16"/>
          <w:szCs w:val="16"/>
          <w:b w:val="1"/>
          <w:bCs w:val="1"/>
          <w:color w:val="auto"/>
        </w:rPr>
        <w:t>[***]</w:t>
      </w:r>
      <w:r>
        <w:rPr>
          <w:rFonts w:ascii="Arial" w:cs="Arial" w:eastAsia="Arial" w:hAnsi="Arial"/>
          <w:sz w:val="16"/>
          <w:szCs w:val="16"/>
          <w:color w:val="auto"/>
        </w:rPr>
        <w:t xml:space="preserve"> Addendum. A “</w:t>
      </w:r>
      <w:r>
        <w:rPr>
          <w:rFonts w:ascii="Arial" w:cs="Arial" w:eastAsia="Arial" w:hAnsi="Arial"/>
          <w:sz w:val="16"/>
          <w:szCs w:val="16"/>
          <w:u w:val="single" w:color="auto"/>
          <w:color w:val="auto"/>
        </w:rPr>
        <w:t>Card</w:t>
      </w:r>
      <w:r>
        <w:rPr>
          <w:rFonts w:ascii="Arial" w:cs="Arial" w:eastAsia="Arial" w:hAnsi="Arial"/>
          <w:sz w:val="16"/>
          <w:szCs w:val="16"/>
          <w:color w:val="auto"/>
        </w:rPr>
        <w:t>” means a prepaid card, debit card, or any other device, technology, or medium that is issued either as a physical card, virtual card, account access device or number containing a primary account number (“</w:t>
      </w:r>
      <w:r>
        <w:rPr>
          <w:rFonts w:ascii="Arial" w:cs="Arial" w:eastAsia="Arial" w:hAnsi="Arial"/>
          <w:sz w:val="16"/>
          <w:szCs w:val="16"/>
          <w:u w:val="single" w:color="auto"/>
          <w:color w:val="auto"/>
        </w:rPr>
        <w:t>PAN</w:t>
      </w:r>
      <w:r>
        <w:rPr>
          <w:rFonts w:ascii="Arial" w:cs="Arial" w:eastAsia="Arial" w:hAnsi="Arial"/>
          <w:sz w:val="16"/>
          <w:szCs w:val="16"/>
          <w:color w:val="auto"/>
        </w:rPr>
        <w:t>”) that is associated with a card account. A “</w:t>
      </w:r>
      <w:r>
        <w:rPr>
          <w:rFonts w:ascii="Arial" w:cs="Arial" w:eastAsia="Arial" w:hAnsi="Arial"/>
          <w:sz w:val="16"/>
          <w:szCs w:val="16"/>
          <w:u w:val="single" w:color="auto"/>
          <w:color w:val="auto"/>
        </w:rPr>
        <w:t>Card Program</w:t>
      </w:r>
      <w:r>
        <w:rPr>
          <w:rFonts w:ascii="Arial" w:cs="Arial" w:eastAsia="Arial" w:hAnsi="Arial"/>
          <w:sz w:val="16"/>
          <w:szCs w:val="16"/>
          <w:color w:val="auto"/>
        </w:rPr>
        <w:t xml:space="preserve">” means a set of solutions, offerings, and services operated by or on behalf of the Client Affiliate, in connection with which Marqeta provides the Services and Marqeta System under the terms of this </w:t>
      </w:r>
      <w:r>
        <w:rPr>
          <w:rFonts w:ascii="Arial" w:cs="Arial" w:eastAsia="Arial" w:hAnsi="Arial"/>
          <w:sz w:val="16"/>
          <w:szCs w:val="16"/>
          <w:b w:val="1"/>
          <w:bCs w:val="1"/>
          <w:color w:val="auto"/>
        </w:rPr>
        <w:t>[***]</w:t>
      </w:r>
      <w:r>
        <w:rPr>
          <w:rFonts w:ascii="Arial" w:cs="Arial" w:eastAsia="Arial" w:hAnsi="Arial"/>
          <w:sz w:val="16"/>
          <w:szCs w:val="16"/>
          <w:color w:val="auto"/>
        </w:rPr>
        <w:t xml:space="preserve"> Addendum. Marqeta may enhance, revise, upgrade, improve, correct, or issue a new release of all or part of the Services or System (collectively, “</w:t>
      </w:r>
      <w:r>
        <w:rPr>
          <w:rFonts w:ascii="Arial" w:cs="Arial" w:eastAsia="Arial" w:hAnsi="Arial"/>
          <w:sz w:val="16"/>
          <w:szCs w:val="16"/>
          <w:u w:val="single" w:color="auto"/>
          <w:color w:val="auto"/>
        </w:rPr>
        <w:t>Enhancement(s)</w:t>
      </w:r>
      <w:r>
        <w:rPr>
          <w:rFonts w:ascii="Arial" w:cs="Arial" w:eastAsia="Arial" w:hAnsi="Arial"/>
          <w:sz w:val="16"/>
          <w:szCs w:val="16"/>
          <w:color w:val="auto"/>
        </w:rPr>
        <w:t>”) at any time, provided that Marqeta provides notice of the availability and benefits of such Enhancement and the Enhancement does not materially degrade or substantially alter the Services such that Client Affiliate could no longer use such Services without material expenditure of time and resources by Client Affiliate. Marqeta will not charge Client Affiliate for any Enhancement. Except as may be necessary to comply with Applicable Law, Client Affiliate will not be required to use any Enhancement in order to continue use of the Services. If Client Affiliate elects to make use of an Enhancement, then Client Affiliate will be responsible for its own costs and expenses in connection therewith.</w:t>
      </w:r>
    </w:p>
    <w:p>
      <w:pPr>
        <w:spacing w:after="0" w:line="63" w:lineRule="exact"/>
        <w:rPr>
          <w:rFonts w:ascii="Arial" w:cs="Arial" w:eastAsia="Arial" w:hAnsi="Arial"/>
          <w:sz w:val="16"/>
          <w:szCs w:val="16"/>
          <w:color w:val="auto"/>
        </w:rPr>
      </w:pPr>
    </w:p>
    <w:p>
      <w:pPr>
        <w:ind w:left="4" w:firstLine="436"/>
        <w:spacing w:after="0" w:line="273" w:lineRule="auto"/>
        <w:tabs>
          <w:tab w:leader="none" w:pos="699" w:val="left"/>
        </w:tabs>
        <w:numPr>
          <w:ilvl w:val="1"/>
          <w:numId w:val="372"/>
        </w:numPr>
        <w:rPr>
          <w:rFonts w:ascii="Arial" w:cs="Arial" w:eastAsia="Arial" w:hAnsi="Arial"/>
          <w:sz w:val="17"/>
          <w:szCs w:val="17"/>
          <w:color w:val="auto"/>
        </w:rPr>
      </w:pPr>
      <w:r>
        <w:rPr>
          <w:rFonts w:ascii="Arial" w:cs="Arial" w:eastAsia="Arial" w:hAnsi="Arial"/>
          <w:sz w:val="17"/>
          <w:szCs w:val="17"/>
          <w:u w:val="single" w:color="auto"/>
          <w:color w:val="auto"/>
        </w:rPr>
        <w:t>Documentation and Onboarding</w:t>
      </w:r>
      <w:r>
        <w:rPr>
          <w:rFonts w:ascii="Arial" w:cs="Arial" w:eastAsia="Arial" w:hAnsi="Arial"/>
          <w:sz w:val="17"/>
          <w:szCs w:val="17"/>
          <w:color w:val="auto"/>
        </w:rPr>
        <w:t>. Marqeta will provide Client Affiliate with user manuals and other information that describes the features, functions, and operations of the Services (“</w:t>
      </w:r>
      <w:r>
        <w:rPr>
          <w:rFonts w:ascii="Arial" w:cs="Arial" w:eastAsia="Arial" w:hAnsi="Arial"/>
          <w:sz w:val="17"/>
          <w:szCs w:val="17"/>
          <w:u w:val="single" w:color="auto"/>
          <w:color w:val="auto"/>
        </w:rPr>
        <w:t>Documentation</w:t>
      </w:r>
      <w:r>
        <w:rPr>
          <w:rFonts w:ascii="Arial" w:cs="Arial" w:eastAsia="Arial" w:hAnsi="Arial"/>
          <w:sz w:val="17"/>
          <w:szCs w:val="17"/>
          <w:color w:val="auto"/>
        </w:rPr>
        <w:t xml:space="preserve">”). The Documentation can be found on the Marqeta Website, at </w:t>
      </w:r>
      <w:r>
        <w:rPr>
          <w:rFonts w:ascii="Arial" w:cs="Arial" w:eastAsia="Arial" w:hAnsi="Arial"/>
          <w:sz w:val="17"/>
          <w:szCs w:val="17"/>
          <w:u w:val="single" w:color="auto"/>
          <w:color w:val="auto"/>
        </w:rPr>
        <w:t>https://www.marqeta.com/api</w:t>
      </w:r>
      <w:r>
        <w:rPr>
          <w:rFonts w:ascii="Arial" w:cs="Arial" w:eastAsia="Arial" w:hAnsi="Arial"/>
          <w:sz w:val="17"/>
          <w:szCs w:val="17"/>
          <w:color w:val="auto"/>
        </w:rPr>
        <w:t>, and may be modified from time-to-time. A general description of Marqeta’s onboarding services (“</w:t>
      </w:r>
      <w:r>
        <w:rPr>
          <w:rFonts w:ascii="Arial" w:cs="Arial" w:eastAsia="Arial" w:hAnsi="Arial"/>
          <w:sz w:val="17"/>
          <w:szCs w:val="17"/>
          <w:u w:val="single" w:color="auto"/>
          <w:color w:val="auto"/>
        </w:rPr>
        <w:t>Onboarding Services</w:t>
      </w:r>
      <w:r>
        <w:rPr>
          <w:rFonts w:ascii="Arial" w:cs="Arial" w:eastAsia="Arial" w:hAnsi="Arial"/>
          <w:sz w:val="17"/>
          <w:szCs w:val="17"/>
          <w:color w:val="auto"/>
        </w:rPr>
        <w:t xml:space="preserve">”) is available on the Marqeta Website, at </w:t>
      </w:r>
      <w:r>
        <w:rPr>
          <w:rFonts w:ascii="Arial" w:cs="Arial" w:eastAsia="Arial" w:hAnsi="Arial"/>
          <w:sz w:val="17"/>
          <w:szCs w:val="17"/>
          <w:u w:val="single" w:color="auto"/>
          <w:color w:val="auto"/>
        </w:rPr>
        <w:t>https://www.marqeta.com/marqeta-powered/onboarding-services</w:t>
      </w:r>
      <w:r>
        <w:rPr>
          <w:rFonts w:ascii="Arial" w:cs="Arial" w:eastAsia="Arial" w:hAnsi="Arial"/>
          <w:sz w:val="17"/>
          <w:szCs w:val="17"/>
          <w:color w:val="auto"/>
        </w:rPr>
        <w:t xml:space="preserve">, and is incorporated into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and may be modified from time-to-time. Marqeta will provide Onboarding Services to Client Affiliate to facilitate and allow Client Affiliate to install application programming interfaces (“</w:t>
      </w:r>
      <w:r>
        <w:rPr>
          <w:rFonts w:ascii="Arial" w:cs="Arial" w:eastAsia="Arial" w:hAnsi="Arial"/>
          <w:sz w:val="17"/>
          <w:szCs w:val="17"/>
          <w:u w:val="single" w:color="auto"/>
          <w:color w:val="auto"/>
        </w:rPr>
        <w:t>API(s)</w:t>
      </w:r>
      <w:r>
        <w:rPr>
          <w:rFonts w:ascii="Arial" w:cs="Arial" w:eastAsia="Arial" w:hAnsi="Arial"/>
          <w:sz w:val="17"/>
          <w:szCs w:val="17"/>
          <w:color w:val="auto"/>
        </w:rPr>
        <w:t>”), software, or other materials needed to use the Services.</w:t>
      </w:r>
    </w:p>
    <w:p>
      <w:pPr>
        <w:spacing w:after="0" w:line="65" w:lineRule="exact"/>
        <w:rPr>
          <w:rFonts w:ascii="Arial" w:cs="Arial" w:eastAsia="Arial" w:hAnsi="Arial"/>
          <w:sz w:val="17"/>
          <w:szCs w:val="17"/>
          <w:color w:val="auto"/>
        </w:rPr>
      </w:pPr>
    </w:p>
    <w:p>
      <w:pPr>
        <w:ind w:left="684" w:hanging="244"/>
        <w:spacing w:after="0"/>
        <w:tabs>
          <w:tab w:leader="none" w:pos="684"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Service Level Agreement</w:t>
      </w:r>
      <w:r>
        <w:rPr>
          <w:rFonts w:ascii="Arial" w:cs="Arial" w:eastAsia="Arial" w:hAnsi="Arial"/>
          <w:sz w:val="18"/>
          <w:szCs w:val="18"/>
          <w:color w:val="auto"/>
        </w:rPr>
        <w:t>. The Service Level Agreement (the “</w:t>
      </w:r>
      <w:r>
        <w:rPr>
          <w:rFonts w:ascii="Arial" w:cs="Arial" w:eastAsia="Arial" w:hAnsi="Arial"/>
          <w:sz w:val="18"/>
          <w:szCs w:val="18"/>
          <w:u w:val="single" w:color="auto"/>
          <w:color w:val="auto"/>
        </w:rPr>
        <w:t>SLA</w:t>
      </w:r>
      <w:r>
        <w:rPr>
          <w:rFonts w:ascii="Arial" w:cs="Arial" w:eastAsia="Arial" w:hAnsi="Arial"/>
          <w:sz w:val="18"/>
          <w:szCs w:val="18"/>
          <w:color w:val="auto"/>
        </w:rPr>
        <w:t xml:space="preserve">”) is attached as </w:t>
      </w:r>
      <w:r>
        <w:rPr>
          <w:rFonts w:ascii="Arial" w:cs="Arial" w:eastAsia="Arial" w:hAnsi="Arial"/>
          <w:sz w:val="18"/>
          <w:szCs w:val="18"/>
          <w:b w:val="1"/>
          <w:bCs w:val="1"/>
          <w:u w:val="single" w:color="auto"/>
          <w:color w:val="auto"/>
        </w:rPr>
        <w:t>Schedule D</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 w:right="20" w:firstLine="436"/>
        <w:spacing w:after="0" w:line="271" w:lineRule="auto"/>
        <w:tabs>
          <w:tab w:leader="none" w:pos="699" w:val="left"/>
        </w:tabs>
        <w:numPr>
          <w:ilvl w:val="1"/>
          <w:numId w:val="372"/>
        </w:numPr>
        <w:rPr>
          <w:rFonts w:ascii="Arial" w:cs="Arial" w:eastAsia="Arial" w:hAnsi="Arial"/>
          <w:sz w:val="17"/>
          <w:szCs w:val="17"/>
          <w:color w:val="auto"/>
        </w:rPr>
      </w:pPr>
      <w:r>
        <w:rPr>
          <w:rFonts w:ascii="Arial" w:cs="Arial" w:eastAsia="Arial" w:hAnsi="Arial"/>
          <w:sz w:val="17"/>
          <w:szCs w:val="17"/>
          <w:u w:val="single" w:color="auto"/>
          <w:color w:val="auto"/>
        </w:rPr>
        <w:t>Marqeta Service Providers</w:t>
      </w:r>
      <w:r>
        <w:rPr>
          <w:rFonts w:ascii="Arial" w:cs="Arial" w:eastAsia="Arial" w:hAnsi="Arial"/>
          <w:sz w:val="17"/>
          <w:szCs w:val="17"/>
          <w:color w:val="auto"/>
        </w:rPr>
        <w:t>. Marqeta may use any entity controlling, controlled by, or under common control with a Marqeta Affiliate or a third party when performing under this Addendum (each, a “</w:t>
      </w:r>
      <w:r>
        <w:rPr>
          <w:rFonts w:ascii="Arial" w:cs="Arial" w:eastAsia="Arial" w:hAnsi="Arial"/>
          <w:sz w:val="17"/>
          <w:szCs w:val="17"/>
          <w:u w:val="single" w:color="auto"/>
          <w:color w:val="auto"/>
        </w:rPr>
        <w:t>Marqeta Service Provider</w:t>
      </w:r>
      <w:r>
        <w:rPr>
          <w:rFonts w:ascii="Arial" w:cs="Arial" w:eastAsia="Arial" w:hAnsi="Arial"/>
          <w:sz w:val="17"/>
          <w:szCs w:val="17"/>
          <w:color w:val="auto"/>
        </w:rPr>
        <w:t>”), provided that (1) such Marqeta Service Provider is bound by confidentiality obligations at least as restrictive as those set forth in this Addendum, (2) such Marqeta Service Provider agrees to comply with all applicable terms and conditions under this Addendum and the Agreement, (3) Marqeta’s use of a Marqeta Service Provider shall not release Marqeta from any duty or liability to fulfill Marqeta’s obligations under this Addendum or the Agreement, and (4) Marqeta shall remain primarily liable for the performance of such Marqeta Service Provider. “</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each Person who directly or indirectly controls, is controlled by or is under common control with a Party. “</w:t>
      </w:r>
      <w:r>
        <w:rPr>
          <w:rFonts w:ascii="Arial" w:cs="Arial" w:eastAsia="Arial" w:hAnsi="Arial"/>
          <w:sz w:val="17"/>
          <w:szCs w:val="17"/>
          <w:u w:val="single" w:color="auto"/>
          <w:color w:val="auto"/>
        </w:rPr>
        <w:t>Person</w:t>
      </w:r>
      <w:r>
        <w:rPr>
          <w:rFonts w:ascii="Arial" w:cs="Arial" w:eastAsia="Arial" w:hAnsi="Arial"/>
          <w:sz w:val="17"/>
          <w:szCs w:val="17"/>
          <w:color w:val="auto"/>
        </w:rPr>
        <w:t>” means any corporation, company, partnership, firm, joint venture, association, trust government agency, political subdivision, other entity, or individual.</w:t>
      </w:r>
    </w:p>
    <w:p>
      <w:pPr>
        <w:spacing w:after="0" w:line="70" w:lineRule="exact"/>
        <w:rPr>
          <w:rFonts w:ascii="Arial" w:cs="Arial" w:eastAsia="Arial" w:hAnsi="Arial"/>
          <w:sz w:val="17"/>
          <w:szCs w:val="17"/>
          <w:color w:val="auto"/>
        </w:rPr>
      </w:pPr>
    </w:p>
    <w:p>
      <w:pPr>
        <w:ind w:left="4" w:right="280" w:firstLine="436"/>
        <w:spacing w:after="0" w:line="308" w:lineRule="auto"/>
        <w:tabs>
          <w:tab w:leader="none" w:pos="689" w:val="left"/>
        </w:tabs>
        <w:numPr>
          <w:ilvl w:val="1"/>
          <w:numId w:val="372"/>
        </w:numPr>
        <w:rPr>
          <w:rFonts w:ascii="Arial" w:cs="Arial" w:eastAsia="Arial" w:hAnsi="Arial"/>
          <w:sz w:val="17"/>
          <w:szCs w:val="17"/>
          <w:color w:val="auto"/>
        </w:rPr>
      </w:pPr>
      <w:r>
        <w:rPr>
          <w:rFonts w:ascii="Arial" w:cs="Arial" w:eastAsia="Arial" w:hAnsi="Arial"/>
          <w:sz w:val="17"/>
          <w:szCs w:val="17"/>
          <w:u w:val="single" w:color="auto"/>
          <w:color w:val="auto"/>
        </w:rPr>
        <w:t>Information Sharing.</w:t>
      </w:r>
      <w:r>
        <w:rPr>
          <w:rFonts w:ascii="Arial" w:cs="Arial" w:eastAsia="Arial" w:hAnsi="Arial"/>
          <w:sz w:val="17"/>
          <w:szCs w:val="17"/>
          <w:color w:val="auto"/>
        </w:rPr>
        <w:t xml:space="preserve"> Marqeta agrees to reasonably cooperate with any request from Client Affiliate for additional information in Marqeta’s possession for the purpose of assisting Client Affiliate in responding to law enforcement requests or filing suspicious activity reports.</w:t>
      </w:r>
    </w:p>
    <w:p>
      <w:pPr>
        <w:sectPr>
          <w:pgSz w:w="11900" w:h="16838" w:orient="portrait"/>
          <w:cols w:equalWidth="0" w:num="1">
            <w:col w:w="11004"/>
          </w:cols>
          <w:pgMar w:left="436" w:top="270" w:right="459" w:bottom="1440" w:gutter="0" w:footer="0" w:header="0"/>
        </w:sectPr>
      </w:pPr>
    </w:p>
    <w:bookmarkStart w:id="422" w:name="page423"/>
    <w:bookmarkEnd w:id="422"/>
    <w:p>
      <w:pPr>
        <w:ind w:left="184" w:hanging="184"/>
        <w:spacing w:after="0"/>
        <w:tabs>
          <w:tab w:leader="none" w:pos="184"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Client Affiliate’s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436"/>
        <w:spacing w:after="0" w:line="275" w:lineRule="auto"/>
        <w:tabs>
          <w:tab w:leader="none" w:pos="689" w:val="left"/>
        </w:tabs>
        <w:numPr>
          <w:ilvl w:val="1"/>
          <w:numId w:val="373"/>
        </w:numPr>
        <w:rPr>
          <w:rFonts w:ascii="Arial" w:cs="Arial" w:eastAsia="Arial" w:hAnsi="Arial"/>
          <w:sz w:val="17"/>
          <w:szCs w:val="17"/>
          <w:color w:val="auto"/>
        </w:rPr>
      </w:pPr>
      <w:r>
        <w:rPr>
          <w:rFonts w:ascii="Arial" w:cs="Arial" w:eastAsia="Arial" w:hAnsi="Arial"/>
          <w:sz w:val="17"/>
          <w:szCs w:val="17"/>
          <w:u w:val="single" w:color="auto"/>
          <w:color w:val="auto"/>
        </w:rPr>
        <w:t>Use of Services</w:t>
      </w:r>
      <w:r>
        <w:rPr>
          <w:rFonts w:ascii="Arial" w:cs="Arial" w:eastAsia="Arial" w:hAnsi="Arial"/>
          <w:sz w:val="17"/>
          <w:szCs w:val="17"/>
          <w:color w:val="auto"/>
        </w:rPr>
        <w:t xml:space="preserve">. Client Affiliate will access and use Marqeta Services in accordance with this Addendum, Applicable Law (defined in Section 3(b) below), and the Card Brand Rules (defined in Section 3(c) below). </w:t>
      </w:r>
      <w:r>
        <w:rPr>
          <w:rFonts w:ascii="Arial" w:cs="Arial" w:eastAsia="Arial" w:hAnsi="Arial"/>
          <w:sz w:val="17"/>
          <w:szCs w:val="17"/>
          <w:b w:val="1"/>
          <w:bCs w:val="1"/>
          <w:color w:val="auto"/>
        </w:rPr>
        <w:t>[***]</w:t>
      </w:r>
      <w:r>
        <w:rPr>
          <w:rFonts w:ascii="Arial" w:cs="Arial" w:eastAsia="Arial" w:hAnsi="Arial"/>
          <w:sz w:val="17"/>
          <w:szCs w:val="17"/>
          <w:color w:val="auto"/>
        </w:rPr>
        <w:t>. A “</w:t>
      </w:r>
      <w:r>
        <w:rPr>
          <w:rFonts w:ascii="Arial" w:cs="Arial" w:eastAsia="Arial" w:hAnsi="Arial"/>
          <w:sz w:val="17"/>
          <w:szCs w:val="17"/>
          <w:u w:val="single" w:color="auto"/>
          <w:color w:val="auto"/>
        </w:rPr>
        <w:t>Cardholder</w:t>
      </w:r>
      <w:r>
        <w:rPr>
          <w:rFonts w:ascii="Arial" w:cs="Arial" w:eastAsia="Arial" w:hAnsi="Arial"/>
          <w:sz w:val="17"/>
          <w:szCs w:val="17"/>
          <w:color w:val="auto"/>
        </w:rPr>
        <w:t>” means that person or entity that is issued a Card. Client Affiliate will be solely responsible for compliance with all Applicable Law applicable to the operation of its business, provision of regulatory requirements to enable Marqeta to fulfill its obligations and responsibilities, and its other responsibilities under this Addendum (collectively the “</w:t>
      </w:r>
      <w:r>
        <w:rPr>
          <w:rFonts w:ascii="Arial" w:cs="Arial" w:eastAsia="Arial" w:hAnsi="Arial"/>
          <w:sz w:val="17"/>
          <w:szCs w:val="17"/>
          <w:u w:val="single" w:color="auto"/>
          <w:color w:val="auto"/>
        </w:rPr>
        <w:t>Client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Affiliate Legal Requirements</w:t>
      </w:r>
      <w:r>
        <w:rPr>
          <w:rFonts w:ascii="Arial" w:cs="Arial" w:eastAsia="Arial" w:hAnsi="Arial"/>
          <w:sz w:val="17"/>
          <w:szCs w:val="17"/>
          <w:color w:val="auto"/>
        </w:rPr>
        <w:t xml:space="preserve">”). Subject to Section 1(a), Client Affiliate will </w:t>
      </w:r>
      <w:r>
        <w:rPr>
          <w:rFonts w:ascii="Arial" w:cs="Arial" w:eastAsia="Arial" w:hAnsi="Arial"/>
          <w:sz w:val="17"/>
          <w:szCs w:val="17"/>
          <w:b w:val="1"/>
          <w:bCs w:val="1"/>
          <w:color w:val="auto"/>
        </w:rPr>
        <w:t>[***].</w:t>
      </w:r>
    </w:p>
    <w:p>
      <w:pPr>
        <w:spacing w:after="0" w:line="68" w:lineRule="exact"/>
        <w:rPr>
          <w:rFonts w:ascii="Arial" w:cs="Arial" w:eastAsia="Arial" w:hAnsi="Arial"/>
          <w:sz w:val="17"/>
          <w:szCs w:val="17"/>
          <w:color w:val="auto"/>
        </w:rPr>
      </w:pPr>
    </w:p>
    <w:p>
      <w:pPr>
        <w:ind w:left="4" w:right="40" w:firstLine="436"/>
        <w:spacing w:after="0" w:line="275" w:lineRule="auto"/>
        <w:tabs>
          <w:tab w:leader="none" w:pos="699" w:val="left"/>
        </w:tabs>
        <w:numPr>
          <w:ilvl w:val="1"/>
          <w:numId w:val="373"/>
        </w:numPr>
        <w:rPr>
          <w:rFonts w:ascii="Arial" w:cs="Arial" w:eastAsia="Arial" w:hAnsi="Arial"/>
          <w:sz w:val="17"/>
          <w:szCs w:val="17"/>
          <w:color w:val="auto"/>
        </w:rPr>
      </w:pPr>
      <w:r>
        <w:rPr>
          <w:rFonts w:ascii="Arial" w:cs="Arial" w:eastAsia="Arial" w:hAnsi="Arial"/>
          <w:sz w:val="17"/>
          <w:szCs w:val="17"/>
          <w:u w:val="single" w:color="auto"/>
          <w:color w:val="auto"/>
        </w:rPr>
        <w:t>Instructions and Reports</w:t>
      </w:r>
      <w:r>
        <w:rPr>
          <w:rFonts w:ascii="Arial" w:cs="Arial" w:eastAsia="Arial" w:hAnsi="Arial"/>
          <w:sz w:val="17"/>
          <w:szCs w:val="17"/>
          <w:color w:val="auto"/>
        </w:rPr>
        <w:t>. Client Affiliate will provide Marqeta and/or Marqeta Service Providers all materials, information, data, and instructions reasonably required to perform the Marqeta Services (“</w:t>
      </w:r>
      <w:r>
        <w:rPr>
          <w:rFonts w:ascii="Arial" w:cs="Arial" w:eastAsia="Arial" w:hAnsi="Arial"/>
          <w:sz w:val="17"/>
          <w:szCs w:val="17"/>
          <w:u w:val="single" w:color="auto"/>
          <w:color w:val="auto"/>
        </w:rPr>
        <w:t>Client Affiliate Instructions</w:t>
      </w:r>
      <w:r>
        <w:rPr>
          <w:rFonts w:ascii="Arial" w:cs="Arial" w:eastAsia="Arial" w:hAnsi="Arial"/>
          <w:sz w:val="17"/>
          <w:szCs w:val="17"/>
          <w:color w:val="auto"/>
        </w:rPr>
        <w:t xml:space="preserve">”). Client Affiliate Instructions will be accurate and complete. Marqeta may rely on Client Affiliate Instructions without additional inquiry. Client Affiliate will regularly review Client Affiliate Instructions for accuracy and completeness and will promptly notify Marqeta of any changes or errors in such Client Affiliate Instructions. </w:t>
      </w:r>
      <w:r>
        <w:rPr>
          <w:rFonts w:ascii="Arial" w:cs="Arial" w:eastAsia="Arial" w:hAnsi="Arial"/>
          <w:sz w:val="17"/>
          <w:szCs w:val="17"/>
          <w:b w:val="1"/>
          <w:bCs w:val="1"/>
          <w:color w:val="auto"/>
        </w:rPr>
        <w:t>[***]</w:t>
      </w:r>
      <w:r>
        <w:rPr>
          <w:rFonts w:ascii="Arial" w:cs="Arial" w:eastAsia="Arial" w:hAnsi="Arial"/>
          <w:sz w:val="17"/>
          <w:szCs w:val="17"/>
          <w:color w:val="auto"/>
        </w:rPr>
        <w:t>. “</w:t>
      </w:r>
      <w:r>
        <w:rPr>
          <w:rFonts w:ascii="Arial" w:cs="Arial" w:eastAsia="Arial" w:hAnsi="Arial"/>
          <w:sz w:val="17"/>
          <w:szCs w:val="17"/>
          <w:u w:val="single" w:color="auto"/>
          <w:color w:val="auto"/>
        </w:rPr>
        <w:t>JIT</w:t>
      </w:r>
      <w:r>
        <w:rPr>
          <w:rFonts w:ascii="Arial" w:cs="Arial" w:eastAsia="Arial" w:hAnsi="Arial"/>
          <w:sz w:val="17"/>
          <w:szCs w:val="17"/>
          <w:color w:val="auto"/>
        </w:rPr>
        <w:t>” or “</w:t>
      </w:r>
      <w:r>
        <w:rPr>
          <w:rFonts w:ascii="Arial" w:cs="Arial" w:eastAsia="Arial" w:hAnsi="Arial"/>
          <w:sz w:val="17"/>
          <w:szCs w:val="17"/>
          <w:u w:val="single" w:color="auto"/>
          <w:color w:val="auto"/>
        </w:rPr>
        <w:t>Just In</w:t>
      </w:r>
      <w:r>
        <w:rPr>
          <w:rFonts w:ascii="Arial" w:cs="Arial" w:eastAsia="Arial" w:hAnsi="Arial"/>
          <w:sz w:val="17"/>
          <w:szCs w:val="17"/>
          <w:color w:val="auto"/>
        </w:rPr>
        <w:t xml:space="preserve"> </w:t>
      </w:r>
      <w:r>
        <w:rPr>
          <w:rFonts w:ascii="Arial" w:cs="Arial" w:eastAsia="Arial" w:hAnsi="Arial"/>
          <w:sz w:val="17"/>
          <w:szCs w:val="17"/>
          <w:u w:val="single" w:color="auto"/>
          <w:color w:val="auto"/>
        </w:rPr>
        <w:t>Time</w:t>
      </w:r>
      <w:r>
        <w:rPr>
          <w:rFonts w:ascii="Arial" w:cs="Arial" w:eastAsia="Arial" w:hAnsi="Arial"/>
          <w:sz w:val="17"/>
          <w:szCs w:val="17"/>
          <w:color w:val="auto"/>
        </w:rPr>
        <w:t>” means a method that enables Client Affiliate to automatically authorize or decline Card transactions in real time via Marqeta’s API.</w:t>
      </w:r>
    </w:p>
    <w:p>
      <w:pPr>
        <w:spacing w:after="0" w:line="64" w:lineRule="exact"/>
        <w:rPr>
          <w:rFonts w:ascii="Arial" w:cs="Arial" w:eastAsia="Arial" w:hAnsi="Arial"/>
          <w:sz w:val="17"/>
          <w:szCs w:val="17"/>
          <w:color w:val="auto"/>
        </w:rPr>
      </w:pPr>
    </w:p>
    <w:p>
      <w:pPr>
        <w:ind w:left="684" w:hanging="244"/>
        <w:spacing w:after="0"/>
        <w:tabs>
          <w:tab w:leader="none" w:pos="684" w:val="left"/>
        </w:tabs>
        <w:numPr>
          <w:ilvl w:val="1"/>
          <w:numId w:val="373"/>
        </w:numPr>
        <w:rPr>
          <w:rFonts w:ascii="Arial" w:cs="Arial" w:eastAsia="Arial" w:hAnsi="Arial"/>
          <w:sz w:val="18"/>
          <w:szCs w:val="18"/>
          <w:color w:val="auto"/>
        </w:rPr>
      </w:pPr>
      <w:r>
        <w:rPr>
          <w:rFonts w:ascii="Arial" w:cs="Arial" w:eastAsia="Arial" w:hAnsi="Arial"/>
          <w:sz w:val="18"/>
          <w:szCs w:val="18"/>
          <w:u w:val="single" w:color="auto"/>
          <w:color w:val="auto"/>
        </w:rPr>
        <w:t>Card Restrictions</w:t>
      </w:r>
      <w:r>
        <w:rPr>
          <w:rFonts w:ascii="Arial" w:cs="Arial" w:eastAsia="Arial" w:hAnsi="Arial"/>
          <w:sz w:val="18"/>
          <w:szCs w:val="18"/>
          <w:color w:val="auto"/>
        </w:rPr>
        <w:t xml:space="preserve">. Client Affiliate will be responsible for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37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684" w:hanging="244"/>
        <w:spacing w:after="0"/>
        <w:tabs>
          <w:tab w:leader="none" w:pos="684" w:val="left"/>
        </w:tabs>
        <w:numPr>
          <w:ilvl w:val="1"/>
          <w:numId w:val="373"/>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Client Affiliate acknowledges that Marqeta’s willingness to make the Services available to Client Affiliate is dependent</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 xml:space="preserve">on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 w:right="20" w:firstLine="436"/>
        <w:spacing w:after="0" w:line="257" w:lineRule="auto"/>
        <w:tabs>
          <w:tab w:leader="none" w:pos="669" w:val="left"/>
        </w:tabs>
        <w:numPr>
          <w:ilvl w:val="1"/>
          <w:numId w:val="373"/>
        </w:numPr>
        <w:rPr>
          <w:rFonts w:ascii="Arial" w:cs="Arial" w:eastAsia="Arial" w:hAnsi="Arial"/>
          <w:sz w:val="18"/>
          <w:szCs w:val="18"/>
          <w:color w:val="auto"/>
        </w:rPr>
      </w:pPr>
      <w:r>
        <w:rPr>
          <w:rFonts w:ascii="Arial" w:cs="Arial" w:eastAsia="Arial" w:hAnsi="Arial"/>
          <w:sz w:val="18"/>
          <w:szCs w:val="18"/>
          <w:u w:val="single" w:color="auto"/>
          <w:color w:val="auto"/>
        </w:rPr>
        <w:t>Client Affiliate Service Providers</w:t>
      </w:r>
      <w:r>
        <w:rPr>
          <w:rFonts w:ascii="Arial" w:cs="Arial" w:eastAsia="Arial" w:hAnsi="Arial"/>
          <w:sz w:val="18"/>
          <w:szCs w:val="18"/>
          <w:color w:val="auto"/>
        </w:rPr>
        <w:t>. Client Affiliate may use the services of an Affiliate or any third party in exercising its rights or performing its obligations in connection with this Addendum (each, a “</w:t>
      </w:r>
      <w:r>
        <w:rPr>
          <w:rFonts w:ascii="Arial" w:cs="Arial" w:eastAsia="Arial" w:hAnsi="Arial"/>
          <w:sz w:val="18"/>
          <w:szCs w:val="18"/>
          <w:u w:val="single" w:color="auto"/>
          <w:color w:val="auto"/>
        </w:rPr>
        <w:t>Client Affiliate Service Provider</w:t>
      </w:r>
      <w:r>
        <w:rPr>
          <w:rFonts w:ascii="Arial" w:cs="Arial" w:eastAsia="Arial" w:hAnsi="Arial"/>
          <w:sz w:val="18"/>
          <w:szCs w:val="18"/>
          <w:color w:val="auto"/>
        </w:rPr>
        <w:t>”). If Client Affiliate or any Client Affiliate Service Provider performs any functions related to the Marqeta Services or this Addendum, Client Affiliate will be solely responsible for obtaining all authorizations, licenses, and consents, and for paying all amounts, necessary for the System to interface with Client Affiliate’s systems or those of its Client Affiliate Service Provider.</w:t>
      </w:r>
    </w:p>
    <w:p>
      <w:pPr>
        <w:spacing w:after="0" w:line="79" w:lineRule="exact"/>
        <w:rPr>
          <w:rFonts w:ascii="Arial" w:cs="Arial" w:eastAsia="Arial" w:hAnsi="Arial"/>
          <w:sz w:val="18"/>
          <w:szCs w:val="18"/>
          <w:color w:val="auto"/>
        </w:rPr>
      </w:pPr>
    </w:p>
    <w:p>
      <w:pPr>
        <w:ind w:left="184" w:hanging="184"/>
        <w:spacing w:after="0"/>
        <w:tabs>
          <w:tab w:leader="none" w:pos="184"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Mutual Obligations</w:t>
      </w:r>
    </w:p>
    <w:p>
      <w:pPr>
        <w:spacing w:after="0" w:line="117" w:lineRule="exact"/>
        <w:rPr>
          <w:rFonts w:ascii="Arial" w:cs="Arial" w:eastAsia="Arial" w:hAnsi="Arial"/>
          <w:sz w:val="18"/>
          <w:szCs w:val="18"/>
          <w:color w:val="auto"/>
        </w:rPr>
      </w:pPr>
    </w:p>
    <w:p>
      <w:pPr>
        <w:ind w:left="4" w:firstLine="436"/>
        <w:spacing w:after="0" w:line="254" w:lineRule="auto"/>
        <w:tabs>
          <w:tab w:leader="none" w:pos="689" w:val="left"/>
        </w:tabs>
        <w:numPr>
          <w:ilvl w:val="1"/>
          <w:numId w:val="37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Each Party represents and warrants that at all times (i) it has the requisite corporate power and authority to enter into this </w:t>
      </w:r>
      <w:r>
        <w:rPr>
          <w:rFonts w:ascii="Arial" w:cs="Arial" w:eastAsia="Arial" w:hAnsi="Arial"/>
          <w:sz w:val="18"/>
          <w:szCs w:val="18"/>
          <w:b w:val="1"/>
          <w:bCs w:val="1"/>
          <w:color w:val="auto"/>
        </w:rPr>
        <w:t>[***]</w:t>
      </w:r>
      <w:r>
        <w:rPr>
          <w:rFonts w:ascii="Arial" w:cs="Arial" w:eastAsia="Arial" w:hAnsi="Arial"/>
          <w:sz w:val="18"/>
          <w:szCs w:val="18"/>
          <w:color w:val="auto"/>
        </w:rPr>
        <w:t xml:space="preserve"> Addendum and perform under it, (ii) it is not a party to any other agreement that would hinder its ability to perform its obligations hereunder, and (iii) it is duly qualified and licensed to do business and to carry out its obligations as required by Applicable Law (as defined Section 3(b) below). Except as otherwise expressly provided in this </w:t>
      </w:r>
      <w:r>
        <w:rPr>
          <w:rFonts w:ascii="Arial" w:cs="Arial" w:eastAsia="Arial" w:hAnsi="Arial"/>
          <w:sz w:val="18"/>
          <w:szCs w:val="18"/>
          <w:b w:val="1"/>
          <w:bCs w:val="1"/>
          <w:color w:val="auto"/>
        </w:rPr>
        <w:t>[***]</w:t>
      </w:r>
      <w:r>
        <w:rPr>
          <w:rFonts w:ascii="Arial" w:cs="Arial" w:eastAsia="Arial" w:hAnsi="Arial"/>
          <w:sz w:val="18"/>
          <w:szCs w:val="18"/>
          <w:color w:val="auto"/>
        </w:rPr>
        <w:t xml:space="preserve"> Addendum and to the maximum extent permitted by Applicable Law, neither Party makes any representations, guarantee, conditions or warranties of any kind, nature, or description to the other Party, whether statutory, express, or implied, including any warranty, guarantee, condition or representation of non-infringement, error-free operation, merchantability, or fitness for a particular purpose.</w:t>
      </w:r>
    </w:p>
    <w:p>
      <w:pPr>
        <w:spacing w:after="0" w:line="82" w:lineRule="exact"/>
        <w:rPr>
          <w:rFonts w:ascii="Arial" w:cs="Arial" w:eastAsia="Arial" w:hAnsi="Arial"/>
          <w:sz w:val="18"/>
          <w:szCs w:val="18"/>
          <w:color w:val="auto"/>
        </w:rPr>
      </w:pPr>
    </w:p>
    <w:p>
      <w:pPr>
        <w:ind w:left="4" w:right="20" w:firstLine="436"/>
        <w:spacing w:after="0" w:line="274" w:lineRule="auto"/>
        <w:tabs>
          <w:tab w:leader="none" w:pos="699" w:val="left"/>
        </w:tabs>
        <w:numPr>
          <w:ilvl w:val="1"/>
          <w:numId w:val="373"/>
        </w:numPr>
        <w:rPr>
          <w:rFonts w:ascii="Arial" w:cs="Arial" w:eastAsia="Arial" w:hAnsi="Arial"/>
          <w:sz w:val="17"/>
          <w:szCs w:val="17"/>
          <w:color w:val="auto"/>
        </w:rPr>
      </w:pPr>
      <w:r>
        <w:rPr>
          <w:rFonts w:ascii="Arial" w:cs="Arial" w:eastAsia="Arial" w:hAnsi="Arial"/>
          <w:sz w:val="17"/>
          <w:szCs w:val="17"/>
          <w:u w:val="single" w:color="auto"/>
          <w:color w:val="auto"/>
        </w:rPr>
        <w:t>Compliance with Applicable Law</w:t>
      </w:r>
      <w:r>
        <w:rPr>
          <w:rFonts w:ascii="Arial" w:cs="Arial" w:eastAsia="Arial" w:hAnsi="Arial"/>
          <w:sz w:val="17"/>
          <w:szCs w:val="17"/>
          <w:color w:val="auto"/>
        </w:rPr>
        <w:t xml:space="preserve">. The Parties will perform their respective obligations under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in a lawful and proper manner in accordance with industry standards. Marqeta may make changes to the Services, the System, or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 to comply with changes to Applicable Law, Card Brand Rules (including PCI DSS, as defined in Section 3(c) below). When this occurs, Marqeta will notify Client Affiliate as soon as reasonably possible. “</w:t>
      </w:r>
      <w:r>
        <w:rPr>
          <w:rFonts w:ascii="Arial" w:cs="Arial" w:eastAsia="Arial" w:hAnsi="Arial"/>
          <w:sz w:val="17"/>
          <w:szCs w:val="17"/>
          <w:u w:val="single" w:color="auto"/>
          <w:color w:val="auto"/>
        </w:rPr>
        <w:t>Applicable Law</w:t>
      </w:r>
      <w:r>
        <w:rPr>
          <w:rFonts w:ascii="Arial" w:cs="Arial" w:eastAsia="Arial" w:hAnsi="Arial"/>
          <w:sz w:val="17"/>
          <w:szCs w:val="17"/>
          <w:color w:val="auto"/>
        </w:rPr>
        <w:t xml:space="preserve">” means laws, regulations, statutes, codes, rules, orders, licenses, certifications, decrees, standards or written policies, guidelines, directives, or interpretations imposed by any authority, including any Regulator that has or has asserted jurisdiction over the Party or matter in question, that apply to or relate to this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w:t>
      </w:r>
    </w:p>
    <w:p>
      <w:pPr>
        <w:sectPr>
          <w:pgSz w:w="11900" w:h="16838" w:orient="portrait"/>
          <w:cols w:equalWidth="0" w:num="1">
            <w:col w:w="11004"/>
          </w:cols>
          <w:pgMar w:left="436" w:top="274" w:right="459" w:bottom="1440" w:gutter="0" w:footer="0" w:header="0"/>
        </w:sectPr>
      </w:pPr>
    </w:p>
    <w:bookmarkStart w:id="423" w:name="page424"/>
    <w:bookmarkEnd w:id="423"/>
    <w:p>
      <w:pPr>
        <w:ind w:left="4" w:firstLine="436"/>
        <w:spacing w:after="0" w:line="257" w:lineRule="auto"/>
        <w:tabs>
          <w:tab w:leader="none" w:pos="689" w:val="left"/>
        </w:tabs>
        <w:numPr>
          <w:ilvl w:val="1"/>
          <w:numId w:val="3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Card Brand Rules</w:t>
      </w:r>
      <w:r>
        <w:rPr>
          <w:rFonts w:ascii="Arial" w:cs="Arial" w:eastAsia="Arial" w:hAnsi="Arial"/>
          <w:sz w:val="18"/>
          <w:szCs w:val="18"/>
          <w:color w:val="auto"/>
        </w:rPr>
        <w:t>. A “</w:t>
      </w:r>
      <w:r>
        <w:rPr>
          <w:rFonts w:ascii="Arial" w:cs="Arial" w:eastAsia="Arial" w:hAnsi="Arial"/>
          <w:sz w:val="18"/>
          <w:szCs w:val="18"/>
          <w:u w:val="single" w:color="auto"/>
          <w:color w:val="auto"/>
        </w:rPr>
        <w:t>Card Brand</w:t>
      </w:r>
      <w:r>
        <w:rPr>
          <w:rFonts w:ascii="Arial" w:cs="Arial" w:eastAsia="Arial" w:hAnsi="Arial"/>
          <w:sz w:val="18"/>
          <w:szCs w:val="18"/>
          <w:color w:val="auto"/>
        </w:rPr>
        <w:t>” means any operator of a payment card network, such as Visa, Discover, or Mastercard. Each Party will comply with the rules, by-laws, and standards of any applicable Card Brand (“</w:t>
      </w:r>
      <w:r>
        <w:rPr>
          <w:rFonts w:ascii="Arial" w:cs="Arial" w:eastAsia="Arial" w:hAnsi="Arial"/>
          <w:sz w:val="18"/>
          <w:szCs w:val="18"/>
          <w:u w:val="single" w:color="auto"/>
          <w:color w:val="auto"/>
        </w:rPr>
        <w:t>Card Brand Rules</w:t>
      </w:r>
      <w:r>
        <w:rPr>
          <w:rFonts w:ascii="Arial" w:cs="Arial" w:eastAsia="Arial" w:hAnsi="Arial"/>
          <w:sz w:val="18"/>
          <w:szCs w:val="18"/>
          <w:color w:val="auto"/>
        </w:rPr>
        <w:t>”). In addition, each Party will comply with Payment Card Industry Data Security Standards (“</w:t>
      </w:r>
      <w:r>
        <w:rPr>
          <w:rFonts w:ascii="Arial" w:cs="Arial" w:eastAsia="Arial" w:hAnsi="Arial"/>
          <w:sz w:val="18"/>
          <w:szCs w:val="18"/>
          <w:u w:val="single" w:color="auto"/>
          <w:color w:val="auto"/>
        </w:rPr>
        <w:t>PCI DSS</w:t>
      </w:r>
      <w:r>
        <w:rPr>
          <w:rFonts w:ascii="Arial" w:cs="Arial" w:eastAsia="Arial" w:hAnsi="Arial"/>
          <w:sz w:val="18"/>
          <w:szCs w:val="18"/>
          <w:color w:val="auto"/>
        </w:rPr>
        <w:t xml:space="preserve">”), to the extent applicable to the Party’s performance of its obligations under this </w:t>
      </w:r>
      <w:r>
        <w:rPr>
          <w:rFonts w:ascii="Arial" w:cs="Arial" w:eastAsia="Arial" w:hAnsi="Arial"/>
          <w:sz w:val="18"/>
          <w:szCs w:val="18"/>
          <w:b w:val="1"/>
          <w:bCs w:val="1"/>
          <w:color w:val="auto"/>
        </w:rPr>
        <w:t>[***]</w:t>
      </w:r>
      <w:r>
        <w:rPr>
          <w:rFonts w:ascii="Arial" w:cs="Arial" w:eastAsia="Arial" w:hAnsi="Arial"/>
          <w:sz w:val="18"/>
          <w:szCs w:val="18"/>
          <w:color w:val="auto"/>
        </w:rPr>
        <w:t xml:space="preserve"> Addendum. Upon Marqeta’s request (no more than </w:t>
      </w:r>
      <w:r>
        <w:rPr>
          <w:rFonts w:ascii="Arial" w:cs="Arial" w:eastAsia="Arial" w:hAnsi="Arial"/>
          <w:sz w:val="18"/>
          <w:szCs w:val="18"/>
          <w:b w:val="1"/>
          <w:bCs w:val="1"/>
          <w:color w:val="auto"/>
        </w:rPr>
        <w:t>[***]</w:t>
      </w:r>
      <w:r>
        <w:rPr>
          <w:rFonts w:ascii="Arial" w:cs="Arial" w:eastAsia="Arial" w:hAnsi="Arial"/>
          <w:sz w:val="18"/>
          <w:szCs w:val="18"/>
          <w:color w:val="auto"/>
        </w:rPr>
        <w:t>), Client Affiliate will verify its compliance with PCI DSS, to the extent applicable, and provide the results of the verification to Marqeta in writing.</w:t>
      </w:r>
    </w:p>
    <w:p>
      <w:pPr>
        <w:spacing w:after="0" w:line="79" w:lineRule="exact"/>
        <w:rPr>
          <w:rFonts w:ascii="Arial" w:cs="Arial" w:eastAsia="Arial" w:hAnsi="Arial"/>
          <w:sz w:val="18"/>
          <w:szCs w:val="18"/>
          <w:color w:val="auto"/>
        </w:rPr>
      </w:pPr>
    </w:p>
    <w:p>
      <w:pPr>
        <w:ind w:left="704" w:hanging="264"/>
        <w:spacing w:after="0"/>
        <w:tabs>
          <w:tab w:leader="none" w:pos="704" w:val="left"/>
        </w:tabs>
        <w:numPr>
          <w:ilvl w:val="1"/>
          <w:numId w:val="374"/>
        </w:numPr>
        <w:rPr>
          <w:rFonts w:ascii="Arial" w:cs="Arial" w:eastAsia="Arial" w:hAnsi="Arial"/>
          <w:sz w:val="18"/>
          <w:szCs w:val="18"/>
          <w:color w:val="auto"/>
        </w:rPr>
      </w:pPr>
      <w:r>
        <w:rPr>
          <w:rFonts w:ascii="Arial" w:cs="Arial" w:eastAsia="Arial" w:hAnsi="Arial"/>
          <w:sz w:val="18"/>
          <w:szCs w:val="18"/>
          <w:u w:val="single" w:color="auto"/>
          <w:color w:val="auto"/>
        </w:rPr>
        <w:t>Security Standards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301" w:lineRule="auto"/>
        <w:tabs>
          <w:tab w:leader="none" w:pos="1210" w:val="left"/>
        </w:tabs>
        <w:numPr>
          <w:ilvl w:val="2"/>
          <w:numId w:val="374"/>
        </w:numPr>
        <w:rPr>
          <w:rFonts w:ascii="Arial" w:cs="Arial" w:eastAsia="Arial" w:hAnsi="Arial"/>
          <w:sz w:val="16"/>
          <w:szCs w:val="16"/>
          <w:color w:val="auto"/>
        </w:rPr>
      </w:pPr>
      <w:r>
        <w:rPr>
          <w:rFonts w:ascii="Arial" w:cs="Arial" w:eastAsia="Arial" w:hAnsi="Arial"/>
          <w:sz w:val="16"/>
          <w:szCs w:val="16"/>
          <w:color w:val="auto"/>
        </w:rPr>
        <w:t>Each Party will implement security measures and procedures designed to: (1) ensure the security and confidentiality of Cardholder Data and Transaction Data (as defined in Section 7(b) below), (2) protect against anticipated threats or hazards to the security and integrity of Cardholder Data and Transaction Data, (3) protect against unauthorized access to or use of Cardholder Data and Transaction Data, (4) prevent unauthorized access to or use of the other Party’s system through its systems, and (5) prevent unauthorized access to or use of its own systems.</w:t>
      </w:r>
    </w:p>
    <w:p>
      <w:pPr>
        <w:spacing w:after="0" w:line="45" w:lineRule="exact"/>
        <w:rPr>
          <w:rFonts w:ascii="Arial" w:cs="Arial" w:eastAsia="Arial" w:hAnsi="Arial"/>
          <w:sz w:val="16"/>
          <w:szCs w:val="16"/>
          <w:color w:val="auto"/>
        </w:rPr>
      </w:pPr>
    </w:p>
    <w:p>
      <w:pPr>
        <w:ind w:left="4" w:right="40" w:firstLine="987"/>
        <w:spacing w:after="0" w:line="277" w:lineRule="auto"/>
        <w:tabs>
          <w:tab w:leader="none" w:pos="1260" w:val="left"/>
        </w:tabs>
        <w:numPr>
          <w:ilvl w:val="2"/>
          <w:numId w:val="374"/>
        </w:numPr>
        <w:rPr>
          <w:rFonts w:ascii="Arial" w:cs="Arial" w:eastAsia="Arial" w:hAnsi="Arial"/>
          <w:sz w:val="17"/>
          <w:szCs w:val="17"/>
          <w:color w:val="auto"/>
        </w:rPr>
      </w:pPr>
      <w:r>
        <w:rPr>
          <w:rFonts w:ascii="Arial" w:cs="Arial" w:eastAsia="Arial" w:hAnsi="Arial"/>
          <w:sz w:val="17"/>
          <w:szCs w:val="17"/>
          <w:color w:val="auto"/>
        </w:rPr>
        <w:t xml:space="preserve">No later than </w:t>
      </w:r>
      <w:r>
        <w:rPr>
          <w:rFonts w:ascii="Arial" w:cs="Arial" w:eastAsia="Arial" w:hAnsi="Arial"/>
          <w:sz w:val="17"/>
          <w:szCs w:val="17"/>
          <w:b w:val="1"/>
          <w:bCs w:val="1"/>
          <w:color w:val="auto"/>
        </w:rPr>
        <w:t>[***]</w:t>
      </w:r>
      <w:r>
        <w:rPr>
          <w:rFonts w:ascii="Arial" w:cs="Arial" w:eastAsia="Arial" w:hAnsi="Arial"/>
          <w:sz w:val="17"/>
          <w:szCs w:val="17"/>
          <w:color w:val="auto"/>
        </w:rPr>
        <w:t xml:space="preserve"> following a Party’s written request to the other Party, the receiving Party will (1) permit the requesting Party, either directly or through a third-party service provider, to perform vulnerability scans of the receiving Party’s IP addresses in a manner consistent with industry best practices at a mutually agreed upon time, or (2) provide the requesting Party documentation of the results of scans of the furnishing Party’s IP addresses performed by a scanning vendor approved by the Payment Card Industry Security Standards Council within the last </w:t>
      </w:r>
      <w:r>
        <w:rPr>
          <w:rFonts w:ascii="Arial" w:cs="Arial" w:eastAsia="Arial" w:hAnsi="Arial"/>
          <w:sz w:val="17"/>
          <w:szCs w:val="17"/>
          <w:b w:val="1"/>
          <w:bCs w:val="1"/>
          <w:color w:val="auto"/>
        </w:rPr>
        <w:t>[***]</w:t>
      </w:r>
      <w:r>
        <w:rPr>
          <w:rFonts w:ascii="Arial" w:cs="Arial" w:eastAsia="Arial" w:hAnsi="Arial"/>
          <w:sz w:val="17"/>
          <w:szCs w:val="17"/>
          <w:color w:val="auto"/>
        </w:rPr>
        <w:t>. For purposes of this Addendum, “</w:t>
      </w:r>
      <w:r>
        <w:rPr>
          <w:rFonts w:ascii="Arial" w:cs="Arial" w:eastAsia="Arial" w:hAnsi="Arial"/>
          <w:sz w:val="17"/>
          <w:szCs w:val="17"/>
          <w:u w:val="single" w:color="auto"/>
          <w:color w:val="auto"/>
        </w:rPr>
        <w:t>Business Day(s</w:t>
      </w:r>
      <w:r>
        <w:rPr>
          <w:rFonts w:ascii="Arial" w:cs="Arial" w:eastAsia="Arial" w:hAnsi="Arial"/>
          <w:sz w:val="17"/>
          <w:szCs w:val="17"/>
          <w:color w:val="auto"/>
        </w:rPr>
        <w:t>)” means any day on which national banks are open for business to the general public.</w:t>
      </w:r>
    </w:p>
    <w:p>
      <w:pPr>
        <w:spacing w:after="0" w:line="63" w:lineRule="exact"/>
        <w:rPr>
          <w:rFonts w:ascii="Arial" w:cs="Arial" w:eastAsia="Arial" w:hAnsi="Arial"/>
          <w:sz w:val="17"/>
          <w:szCs w:val="17"/>
          <w:color w:val="auto"/>
        </w:rPr>
      </w:pPr>
    </w:p>
    <w:p>
      <w:pPr>
        <w:ind w:left="4" w:right="20" w:firstLine="436"/>
        <w:spacing w:after="0" w:line="279" w:lineRule="auto"/>
        <w:tabs>
          <w:tab w:leader="none" w:pos="689"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Notice of Security Breach</w:t>
      </w:r>
      <w:r>
        <w:rPr>
          <w:rFonts w:ascii="Arial" w:cs="Arial" w:eastAsia="Arial" w:hAnsi="Arial"/>
          <w:sz w:val="17"/>
          <w:szCs w:val="17"/>
          <w:color w:val="auto"/>
        </w:rPr>
        <w:t>. If either Party becomes aware of any unauthorized access to Cardholder Data, Transaction Data, or the other Party’s Confidential Information (as defined in Section 6(a) below), such Party will immediately notify the compromised Party and describe the circumstances surrounding such unauthorized access. In addition, each Party will promptly, at its own expense, take reasonable steps to minimize the violation and reasonably cooperate with the compromised Party to minimize any damage resulting therefrom.</w:t>
      </w:r>
    </w:p>
    <w:p>
      <w:pPr>
        <w:spacing w:after="0" w:line="63" w:lineRule="exact"/>
        <w:rPr>
          <w:rFonts w:ascii="Arial" w:cs="Arial" w:eastAsia="Arial" w:hAnsi="Arial"/>
          <w:sz w:val="17"/>
          <w:szCs w:val="17"/>
          <w:color w:val="auto"/>
        </w:rPr>
      </w:pPr>
    </w:p>
    <w:p>
      <w:pPr>
        <w:ind w:left="4" w:right="40" w:firstLine="436"/>
        <w:spacing w:after="0" w:line="263" w:lineRule="auto"/>
        <w:tabs>
          <w:tab w:leader="none" w:pos="669" w:val="left"/>
        </w:tabs>
        <w:numPr>
          <w:ilvl w:val="1"/>
          <w:numId w:val="374"/>
        </w:numPr>
        <w:rPr>
          <w:rFonts w:ascii="Arial" w:cs="Arial" w:eastAsia="Arial" w:hAnsi="Arial"/>
          <w:sz w:val="18"/>
          <w:szCs w:val="18"/>
          <w:color w:val="auto"/>
        </w:rPr>
      </w:pPr>
      <w:r>
        <w:rPr>
          <w:rFonts w:ascii="Arial" w:cs="Arial" w:eastAsia="Arial" w:hAnsi="Arial"/>
          <w:sz w:val="18"/>
          <w:szCs w:val="18"/>
          <w:u w:val="single" w:color="auto"/>
          <w:color w:val="auto"/>
        </w:rPr>
        <w:t>Examination by Regulator</w:t>
      </w:r>
      <w:r>
        <w:rPr>
          <w:rFonts w:ascii="Arial" w:cs="Arial" w:eastAsia="Arial" w:hAnsi="Arial"/>
          <w:sz w:val="18"/>
          <w:szCs w:val="18"/>
          <w:color w:val="auto"/>
        </w:rPr>
        <w:t>. Each Party shall fully cooperate with each Regulator of the other Party in connection with an examination of such Party by a Regulator as may be required by Applicable Law. Each Party agrees to cooperate with any request of a Regulator that is reasonably necessary for such Regulator to conduct an examination of the other Party.</w:t>
      </w:r>
    </w:p>
    <w:p>
      <w:pPr>
        <w:spacing w:after="0" w:line="75" w:lineRule="exact"/>
        <w:rPr>
          <w:rFonts w:ascii="Arial" w:cs="Arial" w:eastAsia="Arial" w:hAnsi="Arial"/>
          <w:sz w:val="18"/>
          <w:szCs w:val="18"/>
          <w:color w:val="auto"/>
        </w:rPr>
      </w:pPr>
    </w:p>
    <w:p>
      <w:pPr>
        <w:ind w:left="4" w:right="80" w:firstLine="436"/>
        <w:spacing w:after="0" w:line="257" w:lineRule="auto"/>
        <w:tabs>
          <w:tab w:leader="none" w:pos="699" w:val="left"/>
        </w:tabs>
        <w:numPr>
          <w:ilvl w:val="1"/>
          <w:numId w:val="374"/>
        </w:numPr>
        <w:rPr>
          <w:rFonts w:ascii="Arial" w:cs="Arial" w:eastAsia="Arial" w:hAnsi="Arial"/>
          <w:sz w:val="18"/>
          <w:szCs w:val="18"/>
          <w:color w:val="auto"/>
        </w:rPr>
      </w:pPr>
      <w:r>
        <w:rPr>
          <w:rFonts w:ascii="Arial" w:cs="Arial" w:eastAsia="Arial" w:hAnsi="Arial"/>
          <w:sz w:val="18"/>
          <w:szCs w:val="18"/>
          <w:u w:val="single" w:color="auto"/>
          <w:color w:val="auto"/>
        </w:rPr>
        <w:t>Audit</w:t>
      </w:r>
      <w:r>
        <w:rPr>
          <w:rFonts w:ascii="Arial" w:cs="Arial" w:eastAsia="Arial" w:hAnsi="Arial"/>
          <w:sz w:val="18"/>
          <w:szCs w:val="18"/>
          <w:color w:val="auto"/>
        </w:rPr>
        <w:t xml:space="preserve">. Marqeta agrees to share with Client Affiliate any findings, reports or results (“Audit Reports”) generated in connection with an audit or examination of Marqeta’s Services by a Regulator that may have a material impact on Client Affiliate’s compliance obligations, including, but not limited to, </w:t>
      </w:r>
      <w:r>
        <w:rPr>
          <w:rFonts w:ascii="Arial" w:cs="Arial" w:eastAsia="Arial" w:hAnsi="Arial"/>
          <w:sz w:val="18"/>
          <w:szCs w:val="18"/>
          <w:b w:val="1"/>
          <w:bCs w:val="1"/>
          <w:color w:val="auto"/>
        </w:rPr>
        <w:t>[***]</w:t>
      </w:r>
      <w:r>
        <w:rPr>
          <w:rFonts w:ascii="Arial" w:cs="Arial" w:eastAsia="Arial" w:hAnsi="Arial"/>
          <w:sz w:val="18"/>
          <w:szCs w:val="18"/>
          <w:color w:val="auto"/>
        </w:rPr>
        <w:t xml:space="preserve">. No more than </w:t>
      </w:r>
      <w:r>
        <w:rPr>
          <w:rFonts w:ascii="Arial" w:cs="Arial" w:eastAsia="Arial" w:hAnsi="Arial"/>
          <w:sz w:val="18"/>
          <w:szCs w:val="18"/>
          <w:b w:val="1"/>
          <w:bCs w:val="1"/>
          <w:color w:val="auto"/>
        </w:rPr>
        <w:t>[***]</w:t>
      </w:r>
      <w:r>
        <w:rPr>
          <w:rFonts w:ascii="Arial" w:cs="Arial" w:eastAsia="Arial" w:hAnsi="Arial"/>
          <w:sz w:val="18"/>
          <w:szCs w:val="18"/>
          <w:color w:val="auto"/>
        </w:rPr>
        <w:t xml:space="preserve"> in any </w:t>
      </w:r>
      <w:r>
        <w:rPr>
          <w:rFonts w:ascii="Arial" w:cs="Arial" w:eastAsia="Arial" w:hAnsi="Arial"/>
          <w:sz w:val="18"/>
          <w:szCs w:val="18"/>
          <w:b w:val="1"/>
          <w:bCs w:val="1"/>
          <w:color w:val="auto"/>
        </w:rPr>
        <w:t>[***]</w:t>
      </w:r>
      <w:r>
        <w:rPr>
          <w:rFonts w:ascii="Arial" w:cs="Arial" w:eastAsia="Arial" w:hAnsi="Arial"/>
          <w:sz w:val="18"/>
          <w:szCs w:val="18"/>
          <w:color w:val="auto"/>
        </w:rPr>
        <w:t xml:space="preserve"> and upon at least </w:t>
      </w:r>
      <w:r>
        <w:rPr>
          <w:rFonts w:ascii="Arial" w:cs="Arial" w:eastAsia="Arial" w:hAnsi="Arial"/>
          <w:sz w:val="18"/>
          <w:szCs w:val="18"/>
          <w:b w:val="1"/>
          <w:bCs w:val="1"/>
          <w:color w:val="auto"/>
        </w:rPr>
        <w:t>[***]</w:t>
      </w:r>
      <w:r>
        <w:rPr>
          <w:rFonts w:ascii="Arial" w:cs="Arial" w:eastAsia="Arial" w:hAnsi="Arial"/>
          <w:sz w:val="18"/>
          <w:szCs w:val="18"/>
          <w:color w:val="auto"/>
        </w:rPr>
        <w:t xml:space="preserve"> advance written notice, Client Affiliate reserves the right to engage a third-party auditor (as mutually agreed upon by the Parties) to perform a single audit of Marqeta’s Services and associated compliance programs at Client Affiliate’s expense.</w:t>
      </w:r>
    </w:p>
    <w:p>
      <w:pPr>
        <w:spacing w:after="0" w:line="79" w:lineRule="exact"/>
        <w:rPr>
          <w:rFonts w:ascii="Arial" w:cs="Arial" w:eastAsia="Arial" w:hAnsi="Arial"/>
          <w:sz w:val="18"/>
          <w:szCs w:val="18"/>
          <w:color w:val="auto"/>
        </w:rPr>
      </w:pPr>
    </w:p>
    <w:p>
      <w:pPr>
        <w:ind w:left="184" w:hanging="184"/>
        <w:spacing w:after="0"/>
        <w:tabs>
          <w:tab w:leader="none" w:pos="184"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Fees and Payment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Client Affiliate will pay Marqeta the fees detailed in Amendment No. 11.</w:t>
      </w:r>
    </w:p>
    <w:p>
      <w:pPr>
        <w:spacing w:after="0" w:line="113" w:lineRule="exact"/>
        <w:rPr>
          <w:rFonts w:ascii="Arial" w:cs="Arial" w:eastAsia="Arial" w:hAnsi="Arial"/>
          <w:sz w:val="18"/>
          <w:szCs w:val="18"/>
          <w:color w:val="auto"/>
        </w:rPr>
      </w:pPr>
    </w:p>
    <w:p>
      <w:pPr>
        <w:ind w:left="4" w:right="120" w:firstLine="436"/>
        <w:spacing w:after="0" w:line="282" w:lineRule="auto"/>
        <w:tabs>
          <w:tab w:leader="none" w:pos="699"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Invoice and Payment</w:t>
      </w:r>
      <w:r>
        <w:rPr>
          <w:rFonts w:ascii="Arial" w:cs="Arial" w:eastAsia="Arial" w:hAnsi="Arial"/>
          <w:sz w:val="18"/>
          <w:szCs w:val="18"/>
          <w:color w:val="auto"/>
        </w:rPr>
        <w:t xml:space="preserve">. Marqeta will invoice Client Affiliate </w:t>
      </w:r>
      <w:r>
        <w:rPr>
          <w:rFonts w:ascii="Arial" w:cs="Arial" w:eastAsia="Arial" w:hAnsi="Arial"/>
          <w:sz w:val="18"/>
          <w:szCs w:val="18"/>
          <w:b w:val="1"/>
          <w:bCs w:val="1"/>
          <w:color w:val="auto"/>
        </w:rPr>
        <w:t>[***]</w:t>
      </w:r>
      <w:r>
        <w:rPr>
          <w:rFonts w:ascii="Arial" w:cs="Arial" w:eastAsia="Arial" w:hAnsi="Arial"/>
          <w:sz w:val="18"/>
          <w:szCs w:val="18"/>
          <w:color w:val="auto"/>
        </w:rPr>
        <w:t xml:space="preserve"> in arrears. Client Affiliate’s payment will be due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invoice date.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684" w:hanging="244"/>
        <w:spacing w:after="0"/>
        <w:tabs>
          <w:tab w:leader="none" w:pos="684"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Invoice Disputes</w:t>
      </w:r>
      <w:r>
        <w:rPr>
          <w:rFonts w:ascii="Arial" w:cs="Arial" w:eastAsia="Arial" w:hAnsi="Arial"/>
          <w:sz w:val="18"/>
          <w:szCs w:val="18"/>
          <w:color w:val="auto"/>
        </w:rPr>
        <w:t xml:space="preserve">. Client Affiliate may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Card Funding and Settlement.</w:t>
      </w:r>
      <w:r>
        <w:rPr>
          <w:rFonts w:ascii="Arial" w:cs="Arial" w:eastAsia="Arial" w:hAnsi="Arial"/>
          <w:sz w:val="18"/>
          <w:szCs w:val="18"/>
          <w:color w:val="auto"/>
        </w:rPr>
        <w:t xml:space="preserve"> Client Affiliate is responsible for </w:t>
      </w: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424" w:name="page425"/>
    <w:bookmarkEnd w:id="424"/>
    <w:p>
      <w:pPr>
        <w:ind w:left="184" w:hanging="184"/>
        <w:spacing w:after="0"/>
        <w:tabs>
          <w:tab w:leader="none" w:pos="184"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436"/>
        <w:spacing w:after="0" w:line="293" w:lineRule="auto"/>
        <w:tabs>
          <w:tab w:leader="none" w:pos="689" w:val="left"/>
        </w:tabs>
        <w:numPr>
          <w:ilvl w:val="1"/>
          <w:numId w:val="376"/>
        </w:numPr>
        <w:rPr>
          <w:rFonts w:ascii="Arial" w:cs="Arial" w:eastAsia="Arial" w:hAnsi="Arial"/>
          <w:sz w:val="16"/>
          <w:szCs w:val="16"/>
          <w:color w:val="auto"/>
        </w:rPr>
      </w:pPr>
      <w:r>
        <w:rPr>
          <w:rFonts w:ascii="Arial" w:cs="Arial" w:eastAsia="Arial" w:hAnsi="Arial"/>
          <w:sz w:val="16"/>
          <w:szCs w:val="16"/>
          <w:u w:val="single" w:color="auto"/>
          <w:color w:val="auto"/>
        </w:rPr>
        <w:t>Parties Marks</w:t>
      </w:r>
      <w:r>
        <w:rPr>
          <w:rFonts w:ascii="Arial" w:cs="Arial" w:eastAsia="Arial" w:hAnsi="Arial"/>
          <w:sz w:val="16"/>
          <w:szCs w:val="16"/>
          <w:color w:val="auto"/>
        </w:rPr>
        <w:t>. Each Party (or its Affiliates) owns all right, title, and interest in and to, or has sufficient rights to use, any materials provided by or on its behalf in connection with this Addendum, including but not limited to its names, trademarks, service marks, or logos (“</w:t>
      </w:r>
      <w:r>
        <w:rPr>
          <w:rFonts w:ascii="Arial" w:cs="Arial" w:eastAsia="Arial" w:hAnsi="Arial"/>
          <w:sz w:val="16"/>
          <w:szCs w:val="16"/>
          <w:u w:val="single" w:color="auto"/>
          <w:color w:val="auto"/>
        </w:rPr>
        <w:t>Marks</w:t>
      </w:r>
      <w:r>
        <w:rPr>
          <w:rFonts w:ascii="Arial" w:cs="Arial" w:eastAsia="Arial" w:hAnsi="Arial"/>
          <w:sz w:val="16"/>
          <w:szCs w:val="16"/>
          <w:color w:val="auto"/>
        </w:rPr>
        <w:t xml:space="preserve">”). Except for the licenses granted under this Addendum, neither Party will have any right, title, interest, or license to the other Party’s Marks. During the Term, each Party grants to the other a </w:t>
      </w:r>
      <w:r>
        <w:rPr>
          <w:rFonts w:ascii="Arial" w:cs="Arial" w:eastAsia="Arial" w:hAnsi="Arial"/>
          <w:sz w:val="16"/>
          <w:szCs w:val="16"/>
          <w:b w:val="1"/>
          <w:bCs w:val="1"/>
          <w:color w:val="auto"/>
        </w:rPr>
        <w:t>[***]</w:t>
      </w:r>
      <w:r>
        <w:rPr>
          <w:rFonts w:ascii="Arial" w:cs="Arial" w:eastAsia="Arial" w:hAnsi="Arial"/>
          <w:sz w:val="16"/>
          <w:szCs w:val="16"/>
          <w:color w:val="auto"/>
        </w:rPr>
        <w:t xml:space="preserve"> exclusively in connection with the Services. The Parties will obtain one another’s prior approval in writing before distributing to the public any marketing or promotional materials that use the other Party’s Marks, except that Marqeta may use Client Affiliate’s Marks without prior consent as strictly necessary to provide the Services, and Marqeta may engage in the Marketing Activities as set forth in Amendment No. 10.</w:t>
      </w:r>
    </w:p>
    <w:p>
      <w:pPr>
        <w:spacing w:after="0" w:line="56" w:lineRule="exact"/>
        <w:rPr>
          <w:sz w:val="20"/>
          <w:szCs w:val="20"/>
          <w:color w:val="auto"/>
        </w:rPr>
      </w:pPr>
    </w:p>
    <w:p>
      <w:pPr>
        <w:ind w:left="4" w:right="20" w:firstLine="436"/>
        <w:spacing w:after="0" w:line="259" w:lineRule="auto"/>
        <w:tabs>
          <w:tab w:leader="none" w:pos="689" w:val="left"/>
        </w:tabs>
        <w:numPr>
          <w:ilvl w:val="1"/>
          <w:numId w:val="377"/>
        </w:numPr>
        <w:rPr>
          <w:rFonts w:ascii="Arial" w:cs="Arial" w:eastAsia="Arial" w:hAnsi="Arial"/>
          <w:sz w:val="18"/>
          <w:szCs w:val="18"/>
          <w:color w:val="auto"/>
        </w:rPr>
      </w:pPr>
      <w:r>
        <w:rPr>
          <w:rFonts w:ascii="Arial" w:cs="Arial" w:eastAsia="Arial" w:hAnsi="Arial"/>
          <w:sz w:val="18"/>
          <w:szCs w:val="18"/>
          <w:u w:val="single" w:color="auto"/>
          <w:color w:val="auto"/>
        </w:rPr>
        <w:t>Ownership and License</w:t>
      </w:r>
      <w:r>
        <w:rPr>
          <w:rFonts w:ascii="Arial" w:cs="Arial" w:eastAsia="Arial" w:hAnsi="Arial"/>
          <w:sz w:val="18"/>
          <w:szCs w:val="18"/>
          <w:color w:val="auto"/>
        </w:rPr>
        <w:t>. Marqeta may provide Client Affiliate with project deliverables, plans, Documentation, reports, analyses, and other tangible materials in connection with this Addendum (collectively, the “</w:t>
      </w:r>
      <w:r>
        <w:rPr>
          <w:rFonts w:ascii="Arial" w:cs="Arial" w:eastAsia="Arial" w:hAnsi="Arial"/>
          <w:sz w:val="18"/>
          <w:szCs w:val="18"/>
          <w:u w:val="single" w:color="auto"/>
          <w:color w:val="auto"/>
        </w:rPr>
        <w:t>Deliverables</w:t>
      </w:r>
      <w:r>
        <w:rPr>
          <w:rFonts w:ascii="Arial" w:cs="Arial" w:eastAsia="Arial" w:hAnsi="Arial"/>
          <w:sz w:val="18"/>
          <w:szCs w:val="18"/>
          <w:color w:val="auto"/>
        </w:rPr>
        <w:t xml:space="preserve">”). Marqeta owns all right, title, and interest, including all intellectual property rights, in and to the Deliverables, the Services, and the System and all derivatives thereof. Marqeta grants to Client Affiliate a </w:t>
      </w:r>
      <w:r>
        <w:rPr>
          <w:rFonts w:ascii="Arial" w:cs="Arial" w:eastAsia="Arial" w:hAnsi="Arial"/>
          <w:sz w:val="18"/>
          <w:szCs w:val="18"/>
          <w:b w:val="1"/>
          <w:bCs w:val="1"/>
          <w:color w:val="auto"/>
        </w:rPr>
        <w:t>[***]</w:t>
      </w:r>
      <w:r>
        <w:rPr>
          <w:rFonts w:ascii="Arial" w:cs="Arial" w:eastAsia="Arial" w:hAnsi="Arial"/>
          <w:sz w:val="18"/>
          <w:szCs w:val="18"/>
          <w:color w:val="auto"/>
        </w:rPr>
        <w:t xml:space="preserve"> exclusively in connection with Client Affiliate’s receipt of the Services.</w:t>
      </w:r>
    </w:p>
    <w:p>
      <w:pPr>
        <w:spacing w:after="0" w:line="78" w:lineRule="exact"/>
        <w:rPr>
          <w:rFonts w:ascii="Arial" w:cs="Arial" w:eastAsia="Arial" w:hAnsi="Arial"/>
          <w:sz w:val="18"/>
          <w:szCs w:val="18"/>
          <w:color w:val="auto"/>
        </w:rPr>
      </w:pPr>
    </w:p>
    <w:p>
      <w:pPr>
        <w:ind w:left="4" w:right="100" w:firstLine="436"/>
        <w:spacing w:after="0" w:line="286" w:lineRule="auto"/>
        <w:tabs>
          <w:tab w:leader="none" w:pos="699" w:val="left"/>
        </w:tabs>
        <w:numPr>
          <w:ilvl w:val="1"/>
          <w:numId w:val="377"/>
        </w:numPr>
        <w:rPr>
          <w:rFonts w:ascii="Arial" w:cs="Arial" w:eastAsia="Arial" w:hAnsi="Arial"/>
          <w:sz w:val="17"/>
          <w:szCs w:val="17"/>
          <w:color w:val="auto"/>
        </w:rPr>
      </w:pPr>
      <w:r>
        <w:rPr>
          <w:rFonts w:ascii="Arial" w:cs="Arial" w:eastAsia="Arial" w:hAnsi="Arial"/>
          <w:sz w:val="17"/>
          <w:szCs w:val="17"/>
          <w:u w:val="single" w:color="auto"/>
          <w:color w:val="auto"/>
        </w:rPr>
        <w:t>Enhancements</w:t>
      </w:r>
      <w:r>
        <w:rPr>
          <w:rFonts w:ascii="Arial" w:cs="Arial" w:eastAsia="Arial" w:hAnsi="Arial"/>
          <w:sz w:val="17"/>
          <w:szCs w:val="17"/>
          <w:color w:val="auto"/>
        </w:rPr>
        <w:t>. Marqeta will be the sole and exclusive owner of all intellectual property rights in any Enhancement to the System or Services, including any suggestions, enhancement requests, recommendations or other feedback, and the Parties agree that any such Enhancement will not be a “work made for hire” or a “joint work of authorship” (each as defined under the United States Copyright Act).</w:t>
      </w:r>
    </w:p>
    <w:p>
      <w:pPr>
        <w:spacing w:after="0" w:line="57" w:lineRule="exact"/>
        <w:rPr>
          <w:rFonts w:ascii="Arial" w:cs="Arial" w:eastAsia="Arial" w:hAnsi="Arial"/>
          <w:sz w:val="17"/>
          <w:szCs w:val="17"/>
          <w:color w:val="auto"/>
        </w:rPr>
      </w:pPr>
    </w:p>
    <w:p>
      <w:pPr>
        <w:ind w:left="184" w:hanging="184"/>
        <w:spacing w:after="0"/>
        <w:tabs>
          <w:tab w:leader="none" w:pos="184"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37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Each Party may receive (“</w:t>
      </w:r>
      <w:r>
        <w:rPr>
          <w:rFonts w:ascii="Arial" w:cs="Arial" w:eastAsia="Arial" w:hAnsi="Arial"/>
          <w:sz w:val="17"/>
          <w:szCs w:val="17"/>
          <w:u w:val="single" w:color="auto"/>
          <w:color w:val="auto"/>
        </w:rPr>
        <w:t>Receiving Party</w:t>
      </w:r>
      <w:r>
        <w:rPr>
          <w:rFonts w:ascii="Arial" w:cs="Arial" w:eastAsia="Arial" w:hAnsi="Arial"/>
          <w:sz w:val="17"/>
          <w:szCs w:val="17"/>
          <w:color w:val="auto"/>
        </w:rPr>
        <w:t>”) or otherwise become familiar with Confidential Information about the other Party</w:t>
      </w:r>
    </w:p>
    <w:p>
      <w:pPr>
        <w:spacing w:after="0" w:line="35"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Disclosing Party</w:t>
      </w:r>
      <w:r>
        <w:rPr>
          <w:rFonts w:ascii="Arial" w:cs="Arial" w:eastAsia="Arial" w:hAnsi="Arial"/>
          <w:sz w:val="16"/>
          <w:szCs w:val="16"/>
          <w:color w:val="auto"/>
        </w:rPr>
        <w: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the terms of this Addendum and information about the Disclosing Party’s technology, customer information, business activities, operations, and its trade secrets (as defined under Applicable Law), which are proprietary or confidential. Confidential Information also includes (without limitation) (i) existing or contemplated products, services, designs, technology, processes, technical data, engineering, techniques, methodologies and concepts and any related information, (ii) information relating to business plans, sales or marketing methods and customer lists or requirements of a Party, (iii) all information about current and potential future customers of a Party, and (iv) any material marked or designated “confidential” or which by its nature or the circumstances surrounding its disclosure should reasonably be regarded as confidential. Confidential Information does not include information that a Receiving Party can demonstrate: (1) was in the public domain at the time of disclosure,</w:t>
      </w:r>
    </w:p>
    <w:p>
      <w:pPr>
        <w:spacing w:after="0" w:line="4" w:lineRule="exact"/>
        <w:rPr>
          <w:sz w:val="20"/>
          <w:szCs w:val="20"/>
          <w:color w:val="auto"/>
        </w:rPr>
      </w:pPr>
    </w:p>
    <w:p>
      <w:pPr>
        <w:ind w:left="4" w:right="120" w:hanging="4"/>
        <w:spacing w:after="0" w:line="260" w:lineRule="auto"/>
        <w:tabs>
          <w:tab w:leader="none" w:pos="259"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was in the legal possession of the Receiving Party at the time of disclosure without a duty of confidentiality, or (3) was independently developed by the Receiving Party without reference to the Disclosing Party’s Confidential Information.</w:t>
      </w:r>
    </w:p>
    <w:p>
      <w:pPr>
        <w:spacing w:after="0" w:line="77" w:lineRule="exact"/>
        <w:rPr>
          <w:rFonts w:ascii="Arial" w:cs="Arial" w:eastAsia="Arial" w:hAnsi="Arial"/>
          <w:sz w:val="18"/>
          <w:szCs w:val="18"/>
          <w:color w:val="auto"/>
        </w:rPr>
      </w:pPr>
    </w:p>
    <w:p>
      <w:pPr>
        <w:ind w:left="4" w:right="20" w:firstLine="436"/>
        <w:spacing w:after="0" w:line="290" w:lineRule="auto"/>
        <w:tabs>
          <w:tab w:leader="none" w:pos="699" w:val="left"/>
        </w:tabs>
        <w:numPr>
          <w:ilvl w:val="1"/>
          <w:numId w:val="379"/>
        </w:numPr>
        <w:rPr>
          <w:rFonts w:ascii="Arial" w:cs="Arial" w:eastAsia="Arial" w:hAnsi="Arial"/>
          <w:sz w:val="16"/>
          <w:szCs w:val="16"/>
          <w:color w:val="auto"/>
        </w:rPr>
      </w:pPr>
      <w:r>
        <w:rPr>
          <w:rFonts w:ascii="Arial" w:cs="Arial" w:eastAsia="Arial" w:hAnsi="Arial"/>
          <w:sz w:val="16"/>
          <w:szCs w:val="16"/>
          <w:u w:val="single" w:color="auto"/>
          <w:color w:val="auto"/>
        </w:rPr>
        <w:t>Non-Disclosure</w:t>
      </w:r>
      <w:r>
        <w:rPr>
          <w:rFonts w:ascii="Arial" w:cs="Arial" w:eastAsia="Arial" w:hAnsi="Arial"/>
          <w:sz w:val="16"/>
          <w:szCs w:val="16"/>
          <w:color w:val="auto"/>
        </w:rPr>
        <w:t>. The Receiving Party agrees to take all reasonable measures to maintain the confidentiality and secrecy of the Confidential Information of the Disclosing Party and to avoid its disclosure, including all precautions the Receiving Party employs with respect to its confidential materials of a similar nature. Receiving Party may not disclose the Disclosing Party’s Confidential Information to any third party, except: (i) where each Party is the Receiving Party to its Affiliates, and (ii) where Marqeta is the Receiving Party to Marqeta Service Providers for the purpose of providing the Services. In all cases, the Receiving Party must ensure that the third-party recipients do not use or disclose the Confidential Information other than in accordance with the terms of this Addendum. The Receiving Party may also disclose Disclosing Party’s Confidential Information to the extent required by Applicable Law or court order, provided that the Receiving Party uses reasonable efforts to limit such disclosure and to obtain confidential treatment or a protective order and has, to the extent reasonably possible, allowed the Disclosing Party to participate in the proceeding.</w:t>
      </w:r>
    </w:p>
    <w:p>
      <w:pPr>
        <w:spacing w:after="0" w:line="57" w:lineRule="exact"/>
        <w:rPr>
          <w:sz w:val="20"/>
          <w:szCs w:val="20"/>
          <w:color w:val="auto"/>
        </w:rPr>
      </w:pPr>
    </w:p>
    <w:p>
      <w:pPr>
        <w:ind w:left="184" w:hanging="184"/>
        <w:spacing w:after="0"/>
        <w:tabs>
          <w:tab w:leader="none" w:pos="184"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Data Privacy and Information Security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436"/>
        <w:spacing w:after="0" w:line="255" w:lineRule="auto"/>
        <w:tabs>
          <w:tab w:leader="none" w:pos="689" w:val="left"/>
        </w:tabs>
        <w:numPr>
          <w:ilvl w:val="1"/>
          <w:numId w:val="380"/>
        </w:numPr>
        <w:rPr>
          <w:rFonts w:ascii="Arial" w:cs="Arial" w:eastAsia="Arial" w:hAnsi="Arial"/>
          <w:sz w:val="18"/>
          <w:szCs w:val="18"/>
          <w:color w:val="auto"/>
        </w:rPr>
      </w:pPr>
      <w:r>
        <w:rPr>
          <w:rFonts w:ascii="Arial" w:cs="Arial" w:eastAsia="Arial" w:hAnsi="Arial"/>
          <w:sz w:val="18"/>
          <w:szCs w:val="18"/>
          <w:u w:val="single" w:color="auto"/>
          <w:color w:val="auto"/>
        </w:rPr>
        <w:t>No Transfer of Personal Data</w:t>
      </w:r>
      <w:r>
        <w:rPr>
          <w:rFonts w:ascii="Arial" w:cs="Arial" w:eastAsia="Arial" w:hAnsi="Arial"/>
          <w:sz w:val="18"/>
          <w:szCs w:val="18"/>
          <w:color w:val="auto"/>
        </w:rPr>
        <w:t>. The Parties acknowledge that the transfer of Personal Data from Client Affiliate to Marqeta may not be required for the performance of the Services contemplated by this Addendum. “</w:t>
      </w:r>
      <w:r>
        <w:rPr>
          <w:rFonts w:ascii="Arial" w:cs="Arial" w:eastAsia="Arial" w:hAnsi="Arial"/>
          <w:sz w:val="18"/>
          <w:szCs w:val="18"/>
          <w:u w:val="single" w:color="auto"/>
          <w:color w:val="auto"/>
        </w:rPr>
        <w:t>Personal Data</w:t>
      </w:r>
      <w:r>
        <w:rPr>
          <w:rFonts w:ascii="Arial" w:cs="Arial" w:eastAsia="Arial" w:hAnsi="Arial"/>
          <w:sz w:val="18"/>
          <w:szCs w:val="18"/>
          <w:color w:val="auto"/>
        </w:rPr>
        <w:t>” means any information obtained in connection with this Addendum (i) relating to an identified or identifiable natural person, (ii) that can reasonably be used to identify or authenticate an individual, including but not limited to name, contact information, precise location information, persistent identifiers, government-issued identification numbers, passwords, or PINs, financial account numbers and other personal identifiers, or (iii) any information that may otherwise be considered Personal Data or “personal information” under Applicable Law.</w:t>
      </w:r>
    </w:p>
    <w:p>
      <w:pPr>
        <w:sectPr>
          <w:pgSz w:w="11900" w:h="16838" w:orient="portrait"/>
          <w:cols w:equalWidth="0" w:num="1">
            <w:col w:w="11004"/>
          </w:cols>
          <w:pgMar w:left="436" w:top="274" w:right="459" w:bottom="1440" w:gutter="0" w:footer="0" w:header="0"/>
        </w:sectPr>
      </w:pPr>
    </w:p>
    <w:bookmarkStart w:id="425" w:name="page426"/>
    <w:bookmarkEnd w:id="425"/>
    <w:p>
      <w:pPr>
        <w:ind w:left="4" w:right="160" w:firstLine="436"/>
        <w:spacing w:after="0" w:line="291" w:lineRule="auto"/>
        <w:tabs>
          <w:tab w:leader="none" w:pos="699" w:val="left"/>
        </w:tabs>
        <w:numPr>
          <w:ilvl w:val="1"/>
          <w:numId w:val="3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Cardholder Data</w:t>
      </w:r>
      <w:r>
        <w:rPr>
          <w:rFonts w:ascii="Arial" w:cs="Arial" w:eastAsia="Arial" w:hAnsi="Arial"/>
          <w:sz w:val="16"/>
          <w:szCs w:val="16"/>
          <w:color w:val="auto"/>
        </w:rPr>
        <w:t>. “</w:t>
      </w:r>
      <w:r>
        <w:rPr>
          <w:rFonts w:ascii="Arial" w:cs="Arial" w:eastAsia="Arial" w:hAnsi="Arial"/>
          <w:sz w:val="16"/>
          <w:szCs w:val="16"/>
          <w:u w:val="single" w:color="auto"/>
          <w:color w:val="auto"/>
        </w:rPr>
        <w:t>Cardholder Data</w:t>
      </w:r>
      <w:r>
        <w:rPr>
          <w:rFonts w:ascii="Arial" w:cs="Arial" w:eastAsia="Arial" w:hAnsi="Arial"/>
          <w:sz w:val="16"/>
          <w:szCs w:val="16"/>
          <w:color w:val="auto"/>
        </w:rPr>
        <w:t>” has the same meaning as cardholder data in the PCI DSS Payment Application Data Security Standards Glossary of Terms, Abbreviations, and Acronyms, which at a minimum, consists of the full primary account number (“</w:t>
      </w:r>
      <w:r>
        <w:rPr>
          <w:rFonts w:ascii="Arial" w:cs="Arial" w:eastAsia="Arial" w:hAnsi="Arial"/>
          <w:sz w:val="16"/>
          <w:szCs w:val="16"/>
          <w:u w:val="single" w:color="auto"/>
          <w:color w:val="auto"/>
        </w:rPr>
        <w:t>PAN</w:t>
      </w:r>
      <w:r>
        <w:rPr>
          <w:rFonts w:ascii="Arial" w:cs="Arial" w:eastAsia="Arial" w:hAnsi="Arial"/>
          <w:sz w:val="16"/>
          <w:szCs w:val="16"/>
          <w:color w:val="auto"/>
        </w:rPr>
        <w:t>”). Cardholder Data may also appear in the form of the full PAN plus any of the following: cardholder name, expiration date and/or service code. “</w:t>
      </w:r>
      <w:r>
        <w:rPr>
          <w:rFonts w:ascii="Arial" w:cs="Arial" w:eastAsia="Arial" w:hAnsi="Arial"/>
          <w:sz w:val="16"/>
          <w:szCs w:val="16"/>
          <w:u w:val="single" w:color="auto"/>
          <w:color w:val="auto"/>
        </w:rPr>
        <w:t>Transaction Data</w:t>
      </w:r>
      <w:r>
        <w:rPr>
          <w:rFonts w:ascii="Arial" w:cs="Arial" w:eastAsia="Arial" w:hAnsi="Arial"/>
          <w:sz w:val="16"/>
          <w:szCs w:val="16"/>
          <w:color w:val="auto"/>
        </w:rPr>
        <w:t>” means any data, except Cardholder Data, about a transaction initiated with a Card. Client Affiliate may use Cardholder Data and Transaction Data it receives through Marqeta to perform obligations in accordance with operating a Card Program and Applicable Law. Marqeta may not use or disclose any Cardholder Data or Transaction Data for any purpose except for: (i) providing and improving the Services, (ii) performing its obligations under this Addendum, (iii) performing fraud screening and verifying identities and information, and (iv) to comply with Applicable Law or Card Brand Rules.</w:t>
      </w:r>
    </w:p>
    <w:p>
      <w:pPr>
        <w:spacing w:after="0" w:line="58" w:lineRule="exact"/>
        <w:rPr>
          <w:rFonts w:ascii="Arial" w:cs="Arial" w:eastAsia="Arial" w:hAnsi="Arial"/>
          <w:sz w:val="16"/>
          <w:szCs w:val="16"/>
          <w:color w:val="auto"/>
        </w:rPr>
      </w:pPr>
    </w:p>
    <w:p>
      <w:pPr>
        <w:ind w:left="4" w:right="40" w:firstLine="436"/>
        <w:spacing w:after="0" w:line="269" w:lineRule="auto"/>
        <w:tabs>
          <w:tab w:leader="none" w:pos="689" w:val="left"/>
        </w:tabs>
        <w:numPr>
          <w:ilvl w:val="1"/>
          <w:numId w:val="381"/>
        </w:numPr>
        <w:rPr>
          <w:rFonts w:ascii="Arial" w:cs="Arial" w:eastAsia="Arial" w:hAnsi="Arial"/>
          <w:sz w:val="17"/>
          <w:szCs w:val="17"/>
          <w:color w:val="auto"/>
        </w:rPr>
      </w:pPr>
      <w:r>
        <w:rPr>
          <w:rFonts w:ascii="Arial" w:cs="Arial" w:eastAsia="Arial" w:hAnsi="Arial"/>
          <w:sz w:val="17"/>
          <w:szCs w:val="17"/>
          <w:u w:val="single" w:color="auto"/>
          <w:color w:val="auto"/>
        </w:rPr>
        <w:t>Aggregated Data</w:t>
      </w:r>
      <w:r>
        <w:rPr>
          <w:rFonts w:ascii="Arial" w:cs="Arial" w:eastAsia="Arial" w:hAnsi="Arial"/>
          <w:sz w:val="17"/>
          <w:szCs w:val="17"/>
          <w:color w:val="auto"/>
        </w:rPr>
        <w:t>. Subject to the restrictions in this Section 7(c), Marqeta may use Aggregated Data to the extent not prohibited by Applicable Law. Aggregated Data shall be aggregated on a national or regional basis with data from Marqeta’s other clients and will not include any geographic information about Client. Marqeta (i) shall not sell any Aggregated Data to any Person, and (ii) Marqeta shall ensure that neither Client Affiliate’s identity nor the identity of any of Client Affiliate’s personnel, or any of the foregoing’s relationship to Aggregated Data, is discernible or inferable by any means (either from the data itself or the way it is presented). Marqeta shall never identify Client Affiliate as the source of any Aggregated Data Marqeta uses pursuant to this Section 7(c). If Client Affiliate reasonably believes Marqeta has identified Client Affiliate as the source of the Aggregated Data, Client shall provide Marqeta with notice of such belief, together with reasonable detail, and if applicable, documentation supporting such belief. If Marqeta identifies Client Affiliate as the source of Aggregated Data, Marqeta must stop using such Aggregated Data identifying Client Affiliate for any purpose. Under this Addendum, “</w:t>
      </w:r>
      <w:r>
        <w:rPr>
          <w:rFonts w:ascii="Arial" w:cs="Arial" w:eastAsia="Arial" w:hAnsi="Arial"/>
          <w:sz w:val="17"/>
          <w:szCs w:val="17"/>
          <w:u w:val="single" w:color="auto"/>
          <w:color w:val="auto"/>
        </w:rPr>
        <w:t>Aggregated Data</w:t>
      </w:r>
      <w:r>
        <w:rPr>
          <w:rFonts w:ascii="Arial" w:cs="Arial" w:eastAsia="Arial" w:hAnsi="Arial"/>
          <w:sz w:val="17"/>
          <w:szCs w:val="17"/>
          <w:color w:val="auto"/>
        </w:rPr>
        <w:t>” means de-identified Cardholder Data, Transaction Data, or other information collected by Marqeta in connection with Client Affiliate’s use of the Services that is combined with de-identified data of a similar nature obtained from Marqeta’s other customers.</w:t>
      </w:r>
    </w:p>
    <w:p>
      <w:pPr>
        <w:spacing w:after="0" w:line="73" w:lineRule="exact"/>
        <w:rPr>
          <w:rFonts w:ascii="Arial" w:cs="Arial" w:eastAsia="Arial" w:hAnsi="Arial"/>
          <w:sz w:val="17"/>
          <w:szCs w:val="17"/>
          <w:color w:val="auto"/>
        </w:rPr>
      </w:pPr>
    </w:p>
    <w:p>
      <w:pPr>
        <w:ind w:left="184" w:hanging="184"/>
        <w:spacing w:after="0"/>
        <w:tabs>
          <w:tab w:leader="none" w:pos="184"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80" w:firstLine="436"/>
        <w:spacing w:after="0" w:line="287" w:lineRule="auto"/>
        <w:tabs>
          <w:tab w:leader="none" w:pos="689" w:val="left"/>
        </w:tabs>
        <w:numPr>
          <w:ilvl w:val="1"/>
          <w:numId w:val="38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initial term of this Addendum (the “</w:t>
      </w:r>
      <w:r>
        <w:rPr>
          <w:rFonts w:ascii="Arial" w:cs="Arial" w:eastAsia="Arial" w:hAnsi="Arial"/>
          <w:sz w:val="16"/>
          <w:szCs w:val="16"/>
          <w:u w:val="single" w:color="auto"/>
          <w:color w:val="auto"/>
        </w:rPr>
        <w:t>Initial Term</w:t>
      </w:r>
      <w:r>
        <w:rPr>
          <w:rFonts w:ascii="Arial" w:cs="Arial" w:eastAsia="Arial" w:hAnsi="Arial"/>
          <w:sz w:val="16"/>
          <w:szCs w:val="16"/>
          <w:color w:val="auto"/>
        </w:rPr>
        <w:t>”) will begin on the Effective Date and will expire at 11:59 p.m. (Pacific Time) on December 31, 2024. The Initial Term will automatically renew for successive one (1) year renewal terms (each, a “</w:t>
      </w:r>
      <w:r>
        <w:rPr>
          <w:rFonts w:ascii="Arial" w:cs="Arial" w:eastAsia="Arial" w:hAnsi="Arial"/>
          <w:sz w:val="16"/>
          <w:szCs w:val="16"/>
          <w:u w:val="single" w:color="auto"/>
          <w:color w:val="auto"/>
        </w:rPr>
        <w:t>Renewal Term,</w:t>
      </w:r>
      <w:r>
        <w:rPr>
          <w:rFonts w:ascii="Arial" w:cs="Arial" w:eastAsia="Arial" w:hAnsi="Arial"/>
          <w:sz w:val="16"/>
          <w:szCs w:val="16"/>
          <w:color w:val="auto"/>
        </w:rPr>
        <w:t>” and together with the Initial Term, the “</w:t>
      </w:r>
      <w:r>
        <w:rPr>
          <w:rFonts w:ascii="Arial" w:cs="Arial" w:eastAsia="Arial" w:hAnsi="Arial"/>
          <w:sz w:val="16"/>
          <w:szCs w:val="16"/>
          <w:u w:val="single" w:color="auto"/>
          <w:color w:val="auto"/>
        </w:rPr>
        <w:t>Term</w:t>
      </w:r>
      <w:r>
        <w:rPr>
          <w:rFonts w:ascii="Arial" w:cs="Arial" w:eastAsia="Arial" w:hAnsi="Arial"/>
          <w:sz w:val="16"/>
          <w:szCs w:val="16"/>
          <w:color w:val="auto"/>
        </w:rPr>
        <w:t>”), unless either Party provides the other Party with written notice of its intent not to renew at least one hundred eighty</w:t>
      </w:r>
    </w:p>
    <w:p>
      <w:pPr>
        <w:spacing w:after="0" w:line="2" w:lineRule="exact"/>
        <w:rPr>
          <w:rFonts w:ascii="Arial" w:cs="Arial" w:eastAsia="Arial" w:hAnsi="Arial"/>
          <w:sz w:val="16"/>
          <w:szCs w:val="16"/>
          <w:color w:val="auto"/>
        </w:rPr>
      </w:pPr>
    </w:p>
    <w:p>
      <w:pPr>
        <w:ind w:left="4" w:right="20"/>
        <w:spacing w:after="0" w:line="281" w:lineRule="auto"/>
        <w:rPr>
          <w:rFonts w:ascii="Arial" w:cs="Arial" w:eastAsia="Arial" w:hAnsi="Arial"/>
          <w:sz w:val="16"/>
          <w:szCs w:val="16"/>
          <w:color w:val="auto"/>
        </w:rPr>
      </w:pPr>
      <w:r>
        <w:rPr>
          <w:rFonts w:ascii="Arial" w:cs="Arial" w:eastAsia="Arial" w:hAnsi="Arial"/>
          <w:sz w:val="16"/>
          <w:szCs w:val="16"/>
          <w:color w:val="auto"/>
        </w:rPr>
        <w:t>(180) days prior to the end of the then-current Term. The fees applicable to any Renewal Term shall be consistent with the fees set forth in Amendment No. 11 of the Agreement, unless otherwise agreed to in writing by the Parties. The “</w:t>
      </w:r>
      <w:r>
        <w:rPr>
          <w:rFonts w:ascii="Arial" w:cs="Arial" w:eastAsia="Arial" w:hAnsi="Arial"/>
          <w:sz w:val="16"/>
          <w:szCs w:val="16"/>
          <w:u w:val="single" w:color="auto"/>
          <w:color w:val="auto"/>
        </w:rPr>
        <w:t>Go Live Date</w:t>
      </w:r>
      <w:r>
        <w:rPr>
          <w:rFonts w:ascii="Arial" w:cs="Arial" w:eastAsia="Arial" w:hAnsi="Arial"/>
          <w:sz w:val="16"/>
          <w:szCs w:val="16"/>
          <w:color w:val="auto"/>
        </w:rPr>
        <w:t>” is the first day of the month following the earlier of the date that Marqeta provides Client Affiliate with production credentials enabling Client Affiliate to run transactions in the production environment, or</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days from the Effective Date.</w:t>
      </w:r>
    </w:p>
    <w:p>
      <w:pPr>
        <w:spacing w:after="0" w:line="102" w:lineRule="exact"/>
        <w:rPr>
          <w:rFonts w:ascii="Arial" w:cs="Arial" w:eastAsia="Arial" w:hAnsi="Arial"/>
          <w:sz w:val="18"/>
          <w:szCs w:val="18"/>
          <w:color w:val="auto"/>
        </w:rPr>
      </w:pPr>
    </w:p>
    <w:p>
      <w:pPr>
        <w:ind w:left="704" w:hanging="264"/>
        <w:spacing w:after="0"/>
        <w:tabs>
          <w:tab w:leader="none" w:pos="704" w:val="left"/>
        </w:tabs>
        <w:numPr>
          <w:ilvl w:val="1"/>
          <w:numId w:val="383"/>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A Party may terminate this Addendum, upon written notice to the other Party, in the event that the other Party:</w:t>
      </w:r>
    </w:p>
    <w:p>
      <w:pPr>
        <w:spacing w:after="0" w:line="128" w:lineRule="exact"/>
        <w:rPr>
          <w:rFonts w:ascii="Arial" w:cs="Arial" w:eastAsia="Arial" w:hAnsi="Arial"/>
          <w:sz w:val="17"/>
          <w:szCs w:val="17"/>
          <w:color w:val="auto"/>
        </w:rPr>
      </w:pPr>
    </w:p>
    <w:p>
      <w:pPr>
        <w:ind w:left="4" w:firstLine="987"/>
        <w:spacing w:after="0" w:line="259" w:lineRule="auto"/>
        <w:tabs>
          <w:tab w:leader="none" w:pos="1210" w:val="left"/>
        </w:tabs>
        <w:numPr>
          <w:ilvl w:val="2"/>
          <w:numId w:val="383"/>
        </w:numPr>
        <w:rPr>
          <w:rFonts w:ascii="Arial" w:cs="Arial" w:eastAsia="Arial" w:hAnsi="Arial"/>
          <w:sz w:val="18"/>
          <w:szCs w:val="18"/>
          <w:color w:val="auto"/>
        </w:rPr>
      </w:pPr>
      <w:r>
        <w:rPr>
          <w:rFonts w:ascii="Arial" w:cs="Arial" w:eastAsia="Arial" w:hAnsi="Arial"/>
          <w:sz w:val="18"/>
          <w:szCs w:val="18"/>
          <w:color w:val="auto"/>
        </w:rPr>
        <w:t>Commits a material breach of this Addendum and fails to cure such material breach within thirty (30) days after receipt of notice, provided, that, if such material breach is a non-monetary breach and is not reasonably curable within thirty (30) days, the cure period will be extended so long as the other Party commences such cure within such thirty (30) day period and diligently pursues such cure to completion within ninety (90) days after notice is first provided; or</w:t>
      </w:r>
    </w:p>
    <w:p>
      <w:pPr>
        <w:spacing w:after="0" w:line="78" w:lineRule="exact"/>
        <w:rPr>
          <w:rFonts w:ascii="Arial" w:cs="Arial" w:eastAsia="Arial" w:hAnsi="Arial"/>
          <w:sz w:val="18"/>
          <w:szCs w:val="18"/>
          <w:color w:val="auto"/>
        </w:rPr>
      </w:pPr>
    </w:p>
    <w:p>
      <w:pPr>
        <w:ind w:left="4" w:right="120" w:firstLine="987"/>
        <w:spacing w:after="0" w:line="257" w:lineRule="auto"/>
        <w:tabs>
          <w:tab w:leader="none" w:pos="1260" w:val="left"/>
        </w:tabs>
        <w:numPr>
          <w:ilvl w:val="2"/>
          <w:numId w:val="383"/>
        </w:numPr>
        <w:rPr>
          <w:rFonts w:ascii="Arial" w:cs="Arial" w:eastAsia="Arial" w:hAnsi="Arial"/>
          <w:sz w:val="18"/>
          <w:szCs w:val="18"/>
          <w:color w:val="auto"/>
        </w:rPr>
      </w:pPr>
      <w:r>
        <w:rPr>
          <w:rFonts w:ascii="Arial" w:cs="Arial" w:eastAsia="Arial" w:hAnsi="Arial"/>
          <w:sz w:val="18"/>
          <w:szCs w:val="18"/>
          <w:color w:val="auto"/>
        </w:rPr>
        <w:t>Becomes subject to any voluntary or involuntary bankruptcy, insolvency, judicial management, dissolution, reorganization (by way of voluntary arrangement, scheme of arrangement or otherwise) or liquidation proceeding, has a liquidator (including a provisional liquidator), receiver, administrator, administrative receiver, judicial manager, compulsory manager, trustee, agent or other similar officer appointed in respect of it or any of its assets, makes an assignment for the benefit of its creditors, admits its inability to pay its debts as they become due, or any analogous procedure or step is taken in any jurisdiction.</w:t>
      </w:r>
    </w:p>
    <w:p>
      <w:pPr>
        <w:sectPr>
          <w:pgSz w:w="11900" w:h="16838" w:orient="portrait"/>
          <w:cols w:equalWidth="0" w:num="1">
            <w:col w:w="11004"/>
          </w:cols>
          <w:pgMar w:left="436" w:top="274" w:right="459" w:bottom="1440" w:gutter="0" w:footer="0" w:header="0"/>
        </w:sectPr>
      </w:pPr>
    </w:p>
    <w:bookmarkStart w:id="426" w:name="page427"/>
    <w:bookmarkEnd w:id="426"/>
    <w:p>
      <w:pPr>
        <w:ind w:left="4" w:right="160" w:firstLine="987"/>
        <w:spacing w:after="0" w:line="263" w:lineRule="auto"/>
        <w:tabs>
          <w:tab w:leader="none" w:pos="1310" w:val="left"/>
        </w:tabs>
        <w:numPr>
          <w:ilvl w:val="1"/>
          <w:numId w:val="3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Marqeta may terminate this Addendum in the event Client Affiliate fails to pay undisputed charges when such payments are due and payable (pursuant to Section 4 above) and fails to cure such material breach within ten (10) days after receipt of notice. Such termination by Marqeta does not prejudice or waive its right to payment or to suspend performance of the Services.</w:t>
      </w:r>
    </w:p>
    <w:p>
      <w:pPr>
        <w:spacing w:after="0" w:line="75" w:lineRule="exact"/>
        <w:rPr>
          <w:rFonts w:ascii="Arial" w:cs="Arial" w:eastAsia="Arial" w:hAnsi="Arial"/>
          <w:sz w:val="18"/>
          <w:szCs w:val="18"/>
          <w:color w:val="auto"/>
        </w:rPr>
      </w:pPr>
    </w:p>
    <w:p>
      <w:pPr>
        <w:ind w:left="684" w:hanging="244"/>
        <w:spacing w:after="0"/>
        <w:tabs>
          <w:tab w:leader="none" w:pos="684"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Termination Not for Cause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80" w:firstLine="987"/>
        <w:spacing w:after="0" w:line="311" w:lineRule="auto"/>
        <w:tabs>
          <w:tab w:leader="none" w:pos="1210" w:val="left"/>
        </w:tabs>
        <w:numPr>
          <w:ilvl w:val="1"/>
          <w:numId w:val="385"/>
        </w:numPr>
        <w:rPr>
          <w:rFonts w:ascii="Arial" w:cs="Arial" w:eastAsia="Arial" w:hAnsi="Arial"/>
          <w:sz w:val="16"/>
          <w:szCs w:val="16"/>
          <w:color w:val="auto"/>
        </w:rPr>
      </w:pPr>
      <w:r>
        <w:rPr>
          <w:rFonts w:ascii="Arial" w:cs="Arial" w:eastAsia="Arial" w:hAnsi="Arial"/>
          <w:sz w:val="16"/>
          <w:szCs w:val="16"/>
          <w:color w:val="auto"/>
        </w:rPr>
        <w:t>A Party may terminate this Addendum on ninety (90) days’ prior written notice, if there is a change in Applicable Law or Card Brand Rules that would have a material adverse impact upon a Party’s ability to perform its obligations under this Addendum. The Party terminating this Addendum will provide such ninety (90) days’ notice of such termination unless otherwise required under Applicable Law or Card Brand Rules.</w:t>
      </w:r>
    </w:p>
    <w:p>
      <w:pPr>
        <w:spacing w:after="0" w:line="41" w:lineRule="exact"/>
        <w:rPr>
          <w:sz w:val="20"/>
          <w:szCs w:val="20"/>
          <w:color w:val="auto"/>
        </w:rPr>
      </w:pPr>
    </w:p>
    <w:p>
      <w:pPr>
        <w:ind w:left="1264" w:hanging="273"/>
        <w:spacing w:after="0"/>
        <w:tabs>
          <w:tab w:leader="none" w:pos="1264" w:val="left"/>
        </w:tabs>
        <w:numPr>
          <w:ilvl w:val="2"/>
          <w:numId w:val="386"/>
        </w:numPr>
        <w:rPr>
          <w:rFonts w:ascii="Arial" w:cs="Arial" w:eastAsia="Arial" w:hAnsi="Arial"/>
          <w:sz w:val="16"/>
          <w:szCs w:val="16"/>
          <w:color w:val="auto"/>
        </w:rPr>
      </w:pPr>
      <w:r>
        <w:rPr>
          <w:rFonts w:ascii="Arial" w:cs="Arial" w:eastAsia="Arial" w:hAnsi="Arial"/>
          <w:sz w:val="16"/>
          <w:szCs w:val="16"/>
          <w:color w:val="auto"/>
        </w:rPr>
        <w:t>Marqeta may terminate this Addendum if directed to do so by a Regulator or Card Brand. Marqeta will provide one hundred eighty</w:t>
      </w:r>
    </w:p>
    <w:p>
      <w:pPr>
        <w:spacing w:after="0" w:line="46" w:lineRule="exact"/>
        <w:rPr>
          <w:rFonts w:ascii="Arial" w:cs="Arial" w:eastAsia="Arial" w:hAnsi="Arial"/>
          <w:sz w:val="16"/>
          <w:szCs w:val="16"/>
          <w:color w:val="auto"/>
        </w:rPr>
      </w:pPr>
    </w:p>
    <w:p>
      <w:pPr>
        <w:ind w:left="444" w:hanging="444"/>
        <w:spacing w:after="0"/>
        <w:tabs>
          <w:tab w:leader="none" w:pos="44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days’ notice of such termination unless it is required to provide less notice.</w:t>
      </w:r>
    </w:p>
    <w:p>
      <w:pPr>
        <w:spacing w:after="0" w:line="102" w:lineRule="exact"/>
        <w:rPr>
          <w:rFonts w:ascii="Arial" w:cs="Arial" w:eastAsia="Arial" w:hAnsi="Arial"/>
          <w:sz w:val="18"/>
          <w:szCs w:val="18"/>
          <w:color w:val="auto"/>
        </w:rPr>
      </w:pPr>
    </w:p>
    <w:p>
      <w:pPr>
        <w:ind w:left="4" w:right="20" w:firstLine="436"/>
        <w:spacing w:after="0" w:line="284" w:lineRule="auto"/>
        <w:tabs>
          <w:tab w:leader="none" w:pos="699" w:val="left"/>
        </w:tabs>
        <w:numPr>
          <w:ilvl w:val="1"/>
          <w:numId w:val="387"/>
        </w:numPr>
        <w:rPr>
          <w:rFonts w:ascii="Arial" w:cs="Arial" w:eastAsia="Arial" w:hAnsi="Arial"/>
          <w:sz w:val="16"/>
          <w:szCs w:val="16"/>
          <w:color w:val="auto"/>
        </w:rPr>
      </w:pPr>
      <w:r>
        <w:rPr>
          <w:rFonts w:ascii="Arial" w:cs="Arial" w:eastAsia="Arial" w:hAnsi="Arial"/>
          <w:sz w:val="16"/>
          <w:szCs w:val="16"/>
          <w:u w:val="single" w:color="auto"/>
          <w:color w:val="auto"/>
        </w:rPr>
        <w:t>Transition</w:t>
      </w:r>
      <w:r>
        <w:rPr>
          <w:rFonts w:ascii="Arial" w:cs="Arial" w:eastAsia="Arial" w:hAnsi="Arial"/>
          <w:sz w:val="16"/>
          <w:szCs w:val="16"/>
          <w:color w:val="auto"/>
        </w:rPr>
        <w:t>. Any notice of termination by either Party will include a proposed date for initiation of transition, if any. Except for termination of this Addendum by Marqeta for cause or at the direction of a Card Brand or Regulator, Marqeta will provide transition assistance reasonably necessary to transition the accounts for which Marqeta provides the Services to a successor service provider as agreed by the Parties in writing (the “</w:t>
      </w:r>
      <w:r>
        <w:rPr>
          <w:rFonts w:ascii="Arial" w:cs="Arial" w:eastAsia="Arial" w:hAnsi="Arial"/>
          <w:sz w:val="16"/>
          <w:szCs w:val="16"/>
          <w:u w:val="single" w:color="auto"/>
          <w:color w:val="auto"/>
        </w:rPr>
        <w:t>Transition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Services</w:t>
      </w:r>
      <w:r>
        <w:rPr>
          <w:rFonts w:ascii="Arial" w:cs="Arial" w:eastAsia="Arial" w:hAnsi="Arial"/>
          <w:sz w:val="16"/>
          <w:szCs w:val="16"/>
          <w:color w:val="auto"/>
        </w:rPr>
        <w:t>”); provided, that, Client Affiliate will be responsible for all costs and expenses in connection with the Transition Services, including any fees earned by Marqeta but not yet paid by Client Affiliate and any fees for the Services during the transition. Any notice of termination by Client Affiliate shall include a proposed date for initiation of Transition Services, if any. The proposed date for completion of Transition Services shall be no fewer than one hundred eighty (180) days following such written notice. If Client Affiliate elects not to receive the Transition Services, the Parties will work in good faith to implement an orderly wind-down of the Services after termination of this Addendum. The wind-down period will not exceed six</w:t>
      </w:r>
    </w:p>
    <w:p>
      <w:pPr>
        <w:ind w:left="264" w:hanging="264"/>
        <w:spacing w:after="0"/>
        <w:tabs>
          <w:tab w:leader="none" w:pos="26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months.</w:t>
      </w:r>
    </w:p>
    <w:p>
      <w:pPr>
        <w:spacing w:after="0" w:line="102" w:lineRule="exact"/>
        <w:rPr>
          <w:rFonts w:ascii="Arial" w:cs="Arial" w:eastAsia="Arial" w:hAnsi="Arial"/>
          <w:sz w:val="18"/>
          <w:szCs w:val="18"/>
          <w:color w:val="auto"/>
        </w:rPr>
      </w:pPr>
    </w:p>
    <w:p>
      <w:pPr>
        <w:ind w:left="4" w:firstLine="436"/>
        <w:spacing w:after="0" w:line="296" w:lineRule="auto"/>
        <w:tabs>
          <w:tab w:leader="none" w:pos="689"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t>Effect of Termination</w:t>
      </w:r>
      <w:r>
        <w:rPr>
          <w:rFonts w:ascii="Arial" w:cs="Arial" w:eastAsia="Arial" w:hAnsi="Arial"/>
          <w:sz w:val="16"/>
          <w:szCs w:val="16"/>
          <w:color w:val="auto"/>
        </w:rPr>
        <w:t>. Upon expiration or termination of this Addendum, Client Affiliate will be responsible for the payment of all fees accrued, due, and payable by Client Affiliate up to the later of the date of such expiration or termination or the completion of the transition. If Client Affiliate elects to receive Transition Services, all associated costs will be due and payable no later than the date of completion of the Transition Services. In addition to any other remedies available to Marqeta at law or under this Addendum, Marqeta may, as a continuous right, set off any amounts owed to it against any outstanding amounts owed to Client Affiliate until Client Affiliate’s liability owed to Marqeta under this subsection is fully paid.</w:t>
      </w:r>
    </w:p>
    <w:p>
      <w:pPr>
        <w:spacing w:after="0" w:line="53" w:lineRule="exact"/>
        <w:rPr>
          <w:rFonts w:ascii="Arial" w:cs="Arial" w:eastAsia="Arial" w:hAnsi="Arial"/>
          <w:sz w:val="16"/>
          <w:szCs w:val="16"/>
          <w:color w:val="auto"/>
        </w:rPr>
      </w:pPr>
    </w:p>
    <w:p>
      <w:pPr>
        <w:ind w:left="664" w:hanging="224"/>
        <w:spacing w:after="0"/>
        <w:tabs>
          <w:tab w:leader="none" w:pos="664"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Termination Upon Force Majeure</w:t>
      </w:r>
      <w:r>
        <w:rPr>
          <w:rFonts w:ascii="Arial" w:cs="Arial" w:eastAsia="Arial" w:hAnsi="Arial"/>
          <w:sz w:val="18"/>
          <w:szCs w:val="18"/>
          <w:color w:val="auto"/>
        </w:rPr>
        <w:t xml:space="preserve">. Either Party may terminate a Card Program in compliance with the terms of </w:t>
      </w:r>
      <w:r>
        <w:rPr>
          <w:rFonts w:ascii="Arial" w:cs="Arial" w:eastAsia="Arial" w:hAnsi="Arial"/>
          <w:sz w:val="18"/>
          <w:szCs w:val="18"/>
          <w:u w:val="single" w:color="auto"/>
          <w:color w:val="auto"/>
        </w:rPr>
        <w:t>Section 12(d</w:t>
      </w:r>
      <w:r>
        <w:rPr>
          <w:rFonts w:ascii="Arial" w:cs="Arial" w:eastAsia="Arial" w:hAnsi="Arial"/>
          <w:sz w:val="18"/>
          <w:szCs w:val="18"/>
          <w:color w:val="auto"/>
        </w:rPr>
        <w:t>).</w:t>
      </w:r>
    </w:p>
    <w:p>
      <w:pPr>
        <w:spacing w:after="0" w:line="117" w:lineRule="exact"/>
        <w:rPr>
          <w:sz w:val="20"/>
          <w:szCs w:val="20"/>
          <w:color w:val="auto"/>
        </w:rPr>
      </w:pPr>
    </w:p>
    <w:p>
      <w:pPr>
        <w:ind w:left="184" w:hanging="184"/>
        <w:spacing w:after="0"/>
        <w:tabs>
          <w:tab w:leader="none" w:pos="184"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36"/>
        <w:spacing w:after="0" w:line="270" w:lineRule="auto"/>
        <w:tabs>
          <w:tab w:leader="none" w:pos="689" w:val="left"/>
        </w:tabs>
        <w:numPr>
          <w:ilvl w:val="1"/>
          <w:numId w:val="389"/>
        </w:numPr>
        <w:rPr>
          <w:rFonts w:ascii="Arial" w:cs="Arial" w:eastAsia="Arial" w:hAnsi="Arial"/>
          <w:sz w:val="17"/>
          <w:szCs w:val="17"/>
          <w:color w:val="auto"/>
        </w:rPr>
      </w:pPr>
      <w:r>
        <w:rPr>
          <w:rFonts w:ascii="Arial" w:cs="Arial" w:eastAsia="Arial" w:hAnsi="Arial"/>
          <w:sz w:val="17"/>
          <w:szCs w:val="17"/>
          <w:u w:val="single" w:color="auto"/>
          <w:color w:val="auto"/>
        </w:rPr>
        <w:t>Marqeta Indemnification</w:t>
      </w:r>
      <w:r>
        <w:rPr>
          <w:rFonts w:ascii="Arial" w:cs="Arial" w:eastAsia="Arial" w:hAnsi="Arial"/>
          <w:sz w:val="17"/>
          <w:szCs w:val="17"/>
          <w:color w:val="auto"/>
        </w:rPr>
        <w:t>. Marqeta will indemnify, defend, and hold harmless Client Affiliate from and against all costs, penalties, fees, assessments, and other losses, including reasonable attorneys’ fees (“</w:t>
      </w:r>
      <w:r>
        <w:rPr>
          <w:rFonts w:ascii="Arial" w:cs="Arial" w:eastAsia="Arial" w:hAnsi="Arial"/>
          <w:sz w:val="17"/>
          <w:szCs w:val="17"/>
          <w:u w:val="single" w:color="auto"/>
          <w:color w:val="auto"/>
        </w:rPr>
        <w:t>Damages</w:t>
      </w:r>
      <w:r>
        <w:rPr>
          <w:rFonts w:ascii="Arial" w:cs="Arial" w:eastAsia="Arial" w:hAnsi="Arial"/>
          <w:sz w:val="17"/>
          <w:szCs w:val="17"/>
          <w:color w:val="auto"/>
        </w:rPr>
        <w:t>”), as a result of any third-party claim or cause of action (“</w:t>
      </w:r>
      <w:r>
        <w:rPr>
          <w:rFonts w:ascii="Arial" w:cs="Arial" w:eastAsia="Arial" w:hAnsi="Arial"/>
          <w:sz w:val="17"/>
          <w:szCs w:val="17"/>
          <w:u w:val="single" w:color="auto"/>
          <w:color w:val="auto"/>
        </w:rPr>
        <w:t>Claim</w:t>
      </w:r>
      <w:r>
        <w:rPr>
          <w:rFonts w:ascii="Arial" w:cs="Arial" w:eastAsia="Arial" w:hAnsi="Arial"/>
          <w:sz w:val="17"/>
          <w:szCs w:val="17"/>
          <w:color w:val="auto"/>
        </w:rPr>
        <w:t>”), arising out of, relating to, or alleging: (i) Marqeta’s material breach of this Addendum, (ii) any act or omission by Marqeta in connection with its provision of the Services that causes Client Affiliate to be in violation or non-compliance with Applicable Law, Client Affiliate Legal Requirements or the Card Brand Rules, (iii) Marqeta’s gross negligence, willful misconduct, or fraud in connection with this Addendum, (iv) the gross negligence, willful misconduct, or fraud of any Marqeta Service Provider in connection with this Addendum, or (v) Marqeta’s infringement or alleged infringement of the intellectual property rights of any third party in connection with this Addendum. Marqeta’s indemnification obligations will not apply to any Damages that arise from or relate to (1) solely with respect to indemnification obligations under Section (9)(a)(v), the combination of the Services with any products, services, or materials not supplied by Marqeta, where such</w:t>
      </w:r>
    </w:p>
    <w:p>
      <w:pPr>
        <w:sectPr>
          <w:pgSz w:w="11900" w:h="16838" w:orient="portrait"/>
          <w:cols w:equalWidth="0" w:num="1">
            <w:col w:w="11004"/>
          </w:cols>
          <w:pgMar w:left="436" w:top="274" w:right="459" w:bottom="1440" w:gutter="0" w:footer="0" w:header="0"/>
        </w:sectPr>
      </w:pPr>
    </w:p>
    <w:bookmarkStart w:id="427" w:name="page428"/>
    <w:bookmarkEnd w:id="427"/>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combination is not anticipated in Marqeta’s Documentation, (2) any modification to the Services not made by or on behalf of Marqeta, (3) any failure by Client Affiliate to implement any Enhancements to the Services, (4) any use of the Services other than as expressly permitted under this Addendum or the Documentation, or (5) Marqeta’s compliance with any Client Affiliate Instructions or reliance on any data or information received from Client Affiliate or any authorized third party on Client Affiliate’s behalf.</w:t>
      </w:r>
    </w:p>
    <w:p>
      <w:pPr>
        <w:spacing w:after="0" w:line="79" w:lineRule="exact"/>
        <w:rPr>
          <w:sz w:val="20"/>
          <w:szCs w:val="20"/>
          <w:color w:val="auto"/>
        </w:rPr>
      </w:pPr>
    </w:p>
    <w:p>
      <w:pPr>
        <w:ind w:left="4" w:firstLine="436"/>
        <w:spacing w:after="0" w:line="253" w:lineRule="auto"/>
        <w:tabs>
          <w:tab w:leader="none" w:pos="699"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Client Affiliate Indemnification</w:t>
      </w:r>
      <w:r>
        <w:rPr>
          <w:rFonts w:ascii="Arial" w:cs="Arial" w:eastAsia="Arial" w:hAnsi="Arial"/>
          <w:sz w:val="18"/>
          <w:szCs w:val="18"/>
          <w:color w:val="auto"/>
        </w:rPr>
        <w:t>. Client Affiliate will indemnify, defend, and hold harmless Marqeta and its officers, directors, employees, and agents, from and against all Damages as a result of any Claim arising out of, relating to, or alleging: (i) Client Affiliate’s material breach of this Addendum, (ii) the gross negligence, willful misconduct, or fraud of Client Affiliate or any of Client Affiliate’s personnel or Client Affiliate’s customers or retail partners, in connection with this Addendum, (iii) the violation of any Applicable Law or Card Brand Rules by any Client Affiliate’s customers or retail partner in connection with this Addendum, (iv) Client Affiliate’s infringement or alleged infringement of the intellectual property rights of any third party in connection with this Addendum, (v) any fines, fees, penalties, assessments, or other amounts imposed by any Card Brand in connection with this Addendum, (vi) the business or services of Client Affiliate, or, when applicable, any Client Affiliate’s customers, or retail partner. Client Affiliate’s indemnification obligations will not apply to Damages that arise solely from Marqeta’s acts or omissions in connection with its provision of the Services that cause Client Affiliate to be in violation or non-compliance with Applicable Law, Client Affiliate Legal Requirements or the Card Brand Rules.</w:t>
      </w:r>
    </w:p>
    <w:p>
      <w:pPr>
        <w:spacing w:after="0" w:line="86" w:lineRule="exact"/>
        <w:rPr>
          <w:rFonts w:ascii="Arial" w:cs="Arial" w:eastAsia="Arial" w:hAnsi="Arial"/>
          <w:sz w:val="18"/>
          <w:szCs w:val="18"/>
          <w:color w:val="auto"/>
        </w:rPr>
      </w:pPr>
    </w:p>
    <w:p>
      <w:pPr>
        <w:ind w:left="4" w:right="140" w:firstLine="436"/>
        <w:spacing w:after="0" w:line="293" w:lineRule="auto"/>
        <w:tabs>
          <w:tab w:leader="none" w:pos="689" w:val="left"/>
        </w:tabs>
        <w:numPr>
          <w:ilvl w:val="1"/>
          <w:numId w:val="390"/>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The Party seeking indemnification (“</w:t>
      </w:r>
      <w:r>
        <w:rPr>
          <w:rFonts w:ascii="Arial" w:cs="Arial" w:eastAsia="Arial" w:hAnsi="Arial"/>
          <w:sz w:val="16"/>
          <w:szCs w:val="16"/>
          <w:u w:val="single" w:color="auto"/>
          <w:color w:val="auto"/>
        </w:rPr>
        <w:t>Indemnified Party</w:t>
      </w:r>
      <w:r>
        <w:rPr>
          <w:rFonts w:ascii="Arial" w:cs="Arial" w:eastAsia="Arial" w:hAnsi="Arial"/>
          <w:sz w:val="16"/>
          <w:szCs w:val="16"/>
          <w:color w:val="auto"/>
        </w:rPr>
        <w:t>”) will promptly notify the indemnifying Party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of any Claim along with a copy of any papers served. Failure to provide prompt notice of any Claim will not relieve the Indemnifying Party of its indemnification obligations except to the extent such failure materially prejudices the Indemnifying Party in defending the Claim. The Indemnified Party will tender control of the defense and settlement of any such Claim to the Indemnifying Party at the Indemnifying Party’s expense and with the Indemnifying Party’s choice of competent counsel. The Indemnified Party will also cooperate with the Indemnifying Party, at the Indemnifying Party’s expense, in defending or settling such Claim and the Indemnified Party may join in the defense with counsel of its choice at its own expense.</w:t>
      </w:r>
    </w:p>
    <w:p>
      <w:pPr>
        <w:spacing w:after="0" w:line="56" w:lineRule="exact"/>
        <w:rPr>
          <w:rFonts w:ascii="Arial" w:cs="Arial" w:eastAsia="Arial" w:hAnsi="Arial"/>
          <w:sz w:val="16"/>
          <w:szCs w:val="16"/>
          <w:color w:val="auto"/>
        </w:rPr>
      </w:pPr>
    </w:p>
    <w:p>
      <w:pPr>
        <w:ind w:left="4" w:right="20" w:hanging="4"/>
        <w:spacing w:after="0" w:line="271" w:lineRule="auto"/>
        <w:tabs>
          <w:tab w:leader="none" w:pos="274" w:val="left"/>
        </w:tabs>
        <w:numPr>
          <w:ilvl w:val="0"/>
          <w:numId w:val="391"/>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During the Term and any period during which Transition Services are provided, each Party will maintain in full force and effect, at its own cost and expense, (i) insurance coverage sufficient to cover its potential indemnity or reimbursement obligations, and (ii) an appropriate insurance policy or policies providing coverage in the event of its loss of confidential data, including Cardholder Data and Transaction Data the limit of which will be no less than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per occurrence or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aggregate. Each insurance policy will be carried in the name of the Party. A copy of each policy, and any certificates of insurance evidencing the existence of such policy, will be provided to the other Party promptly following such Party’s written or e-mail request. Each insurance policy must be written by insurance carriers that have an A.M. Best rating of “A” or better and will name the other Party as an additional insured. Each Party will promptly provide notice to the other Party in the event of any notice of nonrenewal or cancellation, lapse, or termination of any insurance coverage required under this Addendum.</w:t>
      </w:r>
    </w:p>
    <w:p>
      <w:pPr>
        <w:spacing w:after="0" w:line="70" w:lineRule="exact"/>
        <w:rPr>
          <w:rFonts w:ascii="Arial" w:cs="Arial" w:eastAsia="Arial" w:hAnsi="Arial"/>
          <w:sz w:val="17"/>
          <w:szCs w:val="17"/>
          <w:color w:val="auto"/>
        </w:rPr>
      </w:pPr>
    </w:p>
    <w:p>
      <w:pPr>
        <w:ind w:left="264" w:hanging="264"/>
        <w:spacing w:after="0"/>
        <w:tabs>
          <w:tab w:leader="none" w:pos="264"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Limitation on Liability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60" w:firstLine="436"/>
        <w:spacing w:after="0" w:line="272" w:lineRule="auto"/>
        <w:tabs>
          <w:tab w:leader="none" w:pos="689" w:val="left"/>
        </w:tabs>
        <w:numPr>
          <w:ilvl w:val="1"/>
          <w:numId w:val="391"/>
        </w:numPr>
        <w:rPr>
          <w:rFonts w:ascii="Arial" w:cs="Arial" w:eastAsia="Arial" w:hAnsi="Arial"/>
          <w:sz w:val="17"/>
          <w:szCs w:val="17"/>
          <w:color w:val="auto"/>
        </w:rPr>
      </w:pPr>
      <w:r>
        <w:rPr>
          <w:rFonts w:ascii="Arial" w:cs="Arial" w:eastAsia="Arial" w:hAnsi="Arial"/>
          <w:sz w:val="17"/>
          <w:szCs w:val="17"/>
          <w:color w:val="auto"/>
        </w:rPr>
        <w:t>Except for (i) a Party’s indemnification obligations, (ii) a Party’s breach of its obligations relating to Confidential Information or Client Affiliate’s intentional misuse of Personal Data, (iii) Client Affiliate’s obligations to pay Marqeta the fees under this Addendum (each, an “</w:t>
      </w:r>
      <w:r>
        <w:rPr>
          <w:rFonts w:ascii="Arial" w:cs="Arial" w:eastAsia="Arial" w:hAnsi="Arial"/>
          <w:sz w:val="17"/>
          <w:szCs w:val="17"/>
          <w:u w:val="single" w:color="auto"/>
          <w:color w:val="auto"/>
        </w:rPr>
        <w:t>Excluded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Claim</w:t>
      </w:r>
      <w:r>
        <w:rPr>
          <w:rFonts w:ascii="Arial" w:cs="Arial" w:eastAsia="Arial" w:hAnsi="Arial"/>
          <w:sz w:val="17"/>
          <w:szCs w:val="17"/>
          <w:color w:val="auto"/>
        </w:rPr>
        <w:t>”), in no event will either Party or their respective representatives and suppliers, including any Marqeta Service Provider, be liable to the other Party, whether in contract, tort (including breach of warranty, negligence, or strict liability), or otherwise, for any loss of revenue, loss of profit, loss of business opportunity, loss of cost savings, loss of goodwill, loss of opportunity, cost of substitute facilities or equipment, downtime costs, loss or corruption of data or claims of third parties or any other indirect, incidental, consequential, special, exemplary, or punitive damages regardless of whether such Party knew or should have known of the possibility of such damages.</w:t>
      </w:r>
    </w:p>
    <w:p>
      <w:pPr>
        <w:spacing w:after="0" w:line="69" w:lineRule="exact"/>
        <w:rPr>
          <w:rFonts w:ascii="Arial" w:cs="Arial" w:eastAsia="Arial" w:hAnsi="Arial"/>
          <w:sz w:val="17"/>
          <w:szCs w:val="17"/>
          <w:color w:val="auto"/>
        </w:rPr>
      </w:pPr>
    </w:p>
    <w:p>
      <w:pPr>
        <w:ind w:left="4" w:right="140" w:firstLine="436"/>
        <w:spacing w:after="0" w:line="263" w:lineRule="auto"/>
        <w:tabs>
          <w:tab w:leader="none" w:pos="699" w:val="left"/>
        </w:tabs>
        <w:numPr>
          <w:ilvl w:val="1"/>
          <w:numId w:val="391"/>
        </w:numPr>
        <w:rPr>
          <w:rFonts w:ascii="Arial" w:cs="Arial" w:eastAsia="Arial" w:hAnsi="Arial"/>
          <w:sz w:val="18"/>
          <w:szCs w:val="18"/>
          <w:color w:val="auto"/>
        </w:rPr>
      </w:pPr>
      <w:r>
        <w:rPr>
          <w:rFonts w:ascii="Arial" w:cs="Arial" w:eastAsia="Arial" w:hAnsi="Arial"/>
          <w:sz w:val="18"/>
          <w:szCs w:val="18"/>
          <w:color w:val="auto"/>
        </w:rPr>
        <w:t>Except for an Excluded Claim, or a Party’s payment obligations under this Addendum, a Party’s total cumulative liability to the other Party will not exceed the aggregate fees earned by Marqeta during the twelve (12) months immediately preceding the date on which the issue giving rise to a Party’s liability under this Addendum occurred.</w:t>
      </w:r>
    </w:p>
    <w:p>
      <w:pPr>
        <w:sectPr>
          <w:pgSz w:w="11900" w:h="16838" w:orient="portrait"/>
          <w:cols w:equalWidth="0" w:num="1">
            <w:col w:w="11004"/>
          </w:cols>
          <w:pgMar w:left="436" w:top="274" w:right="459" w:bottom="1440" w:gutter="0" w:footer="0" w:header="0"/>
        </w:sectPr>
      </w:pPr>
    </w:p>
    <w:bookmarkStart w:id="428" w:name="page429"/>
    <w:bookmarkEnd w:id="428"/>
    <w:p>
      <w:pPr>
        <w:ind w:left="4" w:right="60" w:firstLine="436"/>
        <w:spacing w:after="0" w:line="272" w:lineRule="auto"/>
        <w:tabs>
          <w:tab w:leader="none" w:pos="689" w:val="left"/>
        </w:tabs>
        <w:numPr>
          <w:ilvl w:val="1"/>
          <w:numId w:val="3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Addendum, neither Party will be in breach of this Addendum or otherwise responsible or liable for non-performance of its obligations to the extent such non-performance is attributable to (i) a breach by the other Party of its obligations under this Addendum, (ii) the other Party’s failure to cooperate with and perform activities reasonably required on a timely basis, (iii) in the case of Marqeta, on information and Client Affiliate Instructions provided by Client Affiliate in accordance with Section 2(b) above. In the event of the foregoing, Marqeta will be excused from any resulting delays in performing the Services and be entitled to an equitable adjustment in the SLA. Further, Marqeta will not be responsible to Client Affiliate for any claims by Client Affiliate or third parties arising from or relating to the failure of any third-party software, hardware, communications devices, Internet services, e-mail systems, or other systems or functions.</w:t>
      </w:r>
    </w:p>
    <w:p>
      <w:pPr>
        <w:spacing w:after="0" w:line="69" w:lineRule="exact"/>
        <w:rPr>
          <w:rFonts w:ascii="Arial" w:cs="Arial" w:eastAsia="Arial" w:hAnsi="Arial"/>
          <w:sz w:val="17"/>
          <w:szCs w:val="17"/>
          <w:color w:val="auto"/>
        </w:rPr>
      </w:pPr>
    </w:p>
    <w:p>
      <w:pPr>
        <w:ind w:left="704" w:hanging="264"/>
        <w:spacing w:after="0"/>
        <w:tabs>
          <w:tab w:leader="none" w:pos="704" w:val="left"/>
        </w:tabs>
        <w:numPr>
          <w:ilvl w:val="1"/>
          <w:numId w:val="392"/>
        </w:numPr>
        <w:rPr>
          <w:rFonts w:ascii="Arial" w:cs="Arial" w:eastAsia="Arial" w:hAnsi="Arial"/>
          <w:sz w:val="16"/>
          <w:szCs w:val="16"/>
          <w:color w:val="auto"/>
        </w:rPr>
      </w:pPr>
      <w:r>
        <w:rPr>
          <w:rFonts w:ascii="Arial" w:cs="Arial" w:eastAsia="Arial" w:hAnsi="Arial"/>
          <w:sz w:val="16"/>
          <w:szCs w:val="16"/>
          <w:color w:val="auto"/>
        </w:rPr>
        <w:t>No action, regardless of form, arising out of any claimed breach of this Addendum or the Services may be brought by either Party more than</w:t>
      </w:r>
    </w:p>
    <w:p>
      <w:pPr>
        <w:spacing w:after="0" w:line="46" w:lineRule="exact"/>
        <w:rPr>
          <w:rFonts w:ascii="Arial" w:cs="Arial" w:eastAsia="Arial" w:hAnsi="Arial"/>
          <w:sz w:val="16"/>
          <w:szCs w:val="16"/>
          <w:color w:val="auto"/>
        </w:rPr>
      </w:pPr>
    </w:p>
    <w:p>
      <w:pPr>
        <w:ind w:left="444" w:hanging="444"/>
        <w:spacing w:after="0"/>
        <w:tabs>
          <w:tab w:leader="none" w:pos="444"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after discovery of the breach.</w:t>
      </w:r>
    </w:p>
    <w:p>
      <w:pPr>
        <w:spacing w:after="0" w:line="102" w:lineRule="exact"/>
        <w:rPr>
          <w:rFonts w:ascii="Arial" w:cs="Arial" w:eastAsia="Arial" w:hAnsi="Arial"/>
          <w:sz w:val="18"/>
          <w:szCs w:val="18"/>
          <w:b w:val="1"/>
          <w:bCs w:val="1"/>
          <w:color w:val="auto"/>
        </w:rPr>
      </w:pPr>
    </w:p>
    <w:p>
      <w:pPr>
        <w:ind w:left="684" w:hanging="244"/>
        <w:spacing w:after="0"/>
        <w:tabs>
          <w:tab w:leader="none" w:pos="684" w:val="left"/>
        </w:tabs>
        <w:numPr>
          <w:ilvl w:val="1"/>
          <w:numId w:val="393"/>
        </w:numPr>
        <w:rPr>
          <w:rFonts w:ascii="Arial" w:cs="Arial" w:eastAsia="Arial" w:hAnsi="Arial"/>
          <w:sz w:val="16"/>
          <w:szCs w:val="16"/>
          <w:color w:val="auto"/>
        </w:rPr>
      </w:pPr>
      <w:r>
        <w:rPr>
          <w:rFonts w:ascii="Arial" w:cs="Arial" w:eastAsia="Arial" w:hAnsi="Arial"/>
          <w:sz w:val="16"/>
          <w:szCs w:val="16"/>
          <w:color w:val="auto"/>
        </w:rPr>
        <w:t>Each Party has a general duty to mitigate any losses suffered by such Party, including through the enforcement of its agreements with third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103" w:lineRule="exact"/>
        <w:rPr>
          <w:sz w:val="20"/>
          <w:szCs w:val="20"/>
          <w:color w:val="auto"/>
        </w:rPr>
      </w:pPr>
    </w:p>
    <w:p>
      <w:pPr>
        <w:ind w:left="264" w:hanging="264"/>
        <w:spacing w:after="0"/>
        <w:tabs>
          <w:tab w:leader="none" w:pos="264"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260" w:firstLine="436"/>
        <w:spacing w:after="0" w:line="263" w:lineRule="auto"/>
        <w:tabs>
          <w:tab w:leader="none" w:pos="689"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California law shall govern this Addendum without giving effect to conflicts of laws principles. Alameda County, California is the exclusive jurisdiction and venue for all disputes arising out of this Addendum. THE PARTIES WAIVE ANY RIGHT TO A TRIAL BY JURY.</w:t>
      </w:r>
    </w:p>
    <w:p>
      <w:pPr>
        <w:spacing w:after="0" w:line="75" w:lineRule="exact"/>
        <w:rPr>
          <w:rFonts w:ascii="Arial" w:cs="Arial" w:eastAsia="Arial" w:hAnsi="Arial"/>
          <w:sz w:val="18"/>
          <w:szCs w:val="18"/>
          <w:color w:val="auto"/>
        </w:rPr>
      </w:pPr>
    </w:p>
    <w:p>
      <w:pPr>
        <w:ind w:left="4" w:right="180" w:firstLine="436"/>
        <w:spacing w:after="0" w:line="277" w:lineRule="auto"/>
        <w:tabs>
          <w:tab w:leader="none" w:pos="699"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Dispute Resolution Process</w:t>
      </w:r>
      <w:r>
        <w:rPr>
          <w:rFonts w:ascii="Arial" w:cs="Arial" w:eastAsia="Arial" w:hAnsi="Arial"/>
          <w:sz w:val="18"/>
          <w:szCs w:val="18"/>
          <w:color w:val="auto"/>
        </w:rPr>
        <w:t xml:space="preserve">. In the event of a dispute between the Parties under this Addendum, the Parties will first attempt in good faith to resolve the dispute by negotiation between themselves, including at least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firstLine="436"/>
        <w:spacing w:after="0" w:line="263" w:lineRule="auto"/>
        <w:tabs>
          <w:tab w:leader="none" w:pos="689"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any rights or obligations under this Addendum without the other Party’s prior written consent, which may not be unreasonably withheld; provided that either Party without such consent may assign this Addendum to an Affiliate. This Addendum will bind and inure to the benefit of the Parties and their respective successors and permitted assigns.</w:t>
      </w:r>
    </w:p>
    <w:p>
      <w:pPr>
        <w:spacing w:after="0" w:line="75" w:lineRule="exact"/>
        <w:rPr>
          <w:rFonts w:ascii="Arial" w:cs="Arial" w:eastAsia="Arial" w:hAnsi="Arial"/>
          <w:sz w:val="18"/>
          <w:szCs w:val="18"/>
          <w:color w:val="auto"/>
        </w:rPr>
      </w:pPr>
    </w:p>
    <w:p>
      <w:pPr>
        <w:ind w:left="4" w:right="20" w:firstLine="436"/>
        <w:spacing w:after="0" w:line="259" w:lineRule="auto"/>
        <w:tabs>
          <w:tab w:leader="none" w:pos="699"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Except for delays in payment, if the performance of this Addendum or any obligation hereunder is prevented, restricted, or interfered with by any act or condition whatsoever beyond the reasonable control of the affected Party, the Party so affected, upon giving prompt notice to the other Party, will be excused from such performance, except for the making of payments hereunder, to the extent of such prevention, restriction, or interference.</w:t>
      </w:r>
    </w:p>
    <w:p>
      <w:pPr>
        <w:spacing w:after="0" w:line="78" w:lineRule="exact"/>
        <w:rPr>
          <w:rFonts w:ascii="Arial" w:cs="Arial" w:eastAsia="Arial" w:hAnsi="Arial"/>
          <w:sz w:val="18"/>
          <w:szCs w:val="18"/>
          <w:color w:val="auto"/>
        </w:rPr>
      </w:pPr>
    </w:p>
    <w:p>
      <w:pPr>
        <w:ind w:left="4" w:firstLine="436"/>
        <w:spacing w:after="0" w:line="286" w:lineRule="auto"/>
        <w:tabs>
          <w:tab w:leader="none" w:pos="689" w:val="left"/>
        </w:tabs>
        <w:numPr>
          <w:ilvl w:val="1"/>
          <w:numId w:val="394"/>
        </w:numPr>
        <w:rPr>
          <w:rFonts w:ascii="Arial" w:cs="Arial" w:eastAsia="Arial" w:hAnsi="Arial"/>
          <w:sz w:val="17"/>
          <w:szCs w:val="17"/>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No amendment to this Addendum will be valid unless in writing and signed by an authorized representative of each Party. The failure of either Party to insist on performance of any provision of this Addendum will not be construed as a waiver of such provision, and no waiver will be effective or enforceable unless signed by the Party against which such waiver will be enforced.</w:t>
      </w:r>
    </w:p>
    <w:p>
      <w:pPr>
        <w:spacing w:after="0" w:line="57" w:lineRule="exact"/>
        <w:rPr>
          <w:rFonts w:ascii="Arial" w:cs="Arial" w:eastAsia="Arial" w:hAnsi="Arial"/>
          <w:sz w:val="17"/>
          <w:szCs w:val="17"/>
          <w:color w:val="auto"/>
        </w:rPr>
      </w:pPr>
    </w:p>
    <w:p>
      <w:pPr>
        <w:ind w:left="4" w:right="20" w:firstLine="436"/>
        <w:spacing w:after="0" w:line="263" w:lineRule="auto"/>
        <w:tabs>
          <w:tab w:leader="none" w:pos="669"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Addendum conflicts with the law under which this Addendum is to be construed or is held invalid by a court of competent jurisdiction, that provision will be deemed to be restated to reflect, as nearly as possible, the original intentions of the Parties and the remainder of this Addendum will remain in full force and effect.</w:t>
      </w:r>
    </w:p>
    <w:p>
      <w:pPr>
        <w:spacing w:after="0" w:line="75" w:lineRule="exact"/>
        <w:rPr>
          <w:rFonts w:ascii="Arial" w:cs="Arial" w:eastAsia="Arial" w:hAnsi="Arial"/>
          <w:sz w:val="18"/>
          <w:szCs w:val="18"/>
          <w:color w:val="auto"/>
        </w:rPr>
      </w:pPr>
    </w:p>
    <w:p>
      <w:pPr>
        <w:ind w:left="4" w:right="120" w:firstLine="436"/>
        <w:spacing w:after="0" w:line="277" w:lineRule="auto"/>
        <w:tabs>
          <w:tab w:leader="none" w:pos="699"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Rights of Third Parties</w:t>
      </w:r>
      <w:r>
        <w:rPr>
          <w:rFonts w:ascii="Arial" w:cs="Arial" w:eastAsia="Arial" w:hAnsi="Arial"/>
          <w:sz w:val="18"/>
          <w:szCs w:val="18"/>
          <w:color w:val="auto"/>
        </w:rPr>
        <w:t>. This Addendum is between, and may be enforced only by, Client Affiliate and Marqeta and will not create any rights in third parties.</w:t>
      </w:r>
    </w:p>
    <w:p>
      <w:pPr>
        <w:spacing w:after="0" w:line="62" w:lineRule="exact"/>
        <w:rPr>
          <w:rFonts w:ascii="Arial" w:cs="Arial" w:eastAsia="Arial" w:hAnsi="Arial"/>
          <w:sz w:val="18"/>
          <w:szCs w:val="18"/>
          <w:color w:val="auto"/>
        </w:rPr>
      </w:pPr>
    </w:p>
    <w:p>
      <w:pPr>
        <w:ind w:left="4" w:right="620" w:firstLine="436"/>
        <w:spacing w:after="0" w:line="308" w:lineRule="auto"/>
        <w:tabs>
          <w:tab w:leader="none" w:pos="699" w:val="left"/>
        </w:tabs>
        <w:numPr>
          <w:ilvl w:val="1"/>
          <w:numId w:val="394"/>
        </w:numPr>
        <w:rPr>
          <w:rFonts w:ascii="Arial" w:cs="Arial" w:eastAsia="Arial" w:hAnsi="Arial"/>
          <w:sz w:val="17"/>
          <w:szCs w:val="17"/>
          <w:color w:val="auto"/>
        </w:rPr>
      </w:pPr>
      <w:r>
        <w:rPr>
          <w:rFonts w:ascii="Arial" w:cs="Arial" w:eastAsia="Arial" w:hAnsi="Arial"/>
          <w:sz w:val="17"/>
          <w:szCs w:val="17"/>
          <w:u w:val="single" w:color="auto"/>
          <w:color w:val="auto"/>
        </w:rPr>
        <w:t>Cumulative Remedies</w:t>
      </w:r>
      <w:r>
        <w:rPr>
          <w:rFonts w:ascii="Arial" w:cs="Arial" w:eastAsia="Arial" w:hAnsi="Arial"/>
          <w:sz w:val="17"/>
          <w:szCs w:val="17"/>
          <w:color w:val="auto"/>
        </w:rPr>
        <w:t>. Except as otherwise expressly provided in this Addendum, all remedies provided for in this Addendum will be cumulative and in addition to, and not in lieu of, any other remedies available to either Party at law, in equity, or otherwise.</w:t>
      </w:r>
    </w:p>
    <w:p>
      <w:pPr>
        <w:sectPr>
          <w:pgSz w:w="11900" w:h="16838" w:orient="portrait"/>
          <w:cols w:equalWidth="0" w:num="1">
            <w:col w:w="10964"/>
          </w:cols>
          <w:pgMar w:left="436" w:top="274" w:right="499" w:bottom="1440" w:gutter="0" w:footer="0" w:header="0"/>
        </w:sectPr>
      </w:pPr>
    </w:p>
    <w:bookmarkStart w:id="429" w:name="page430"/>
    <w:bookmarkEnd w:id="429"/>
    <w:p>
      <w:pPr>
        <w:ind w:left="-436" w:firstLine="436"/>
        <w:spacing w:after="0" w:line="263" w:lineRule="auto"/>
        <w:tabs>
          <w:tab w:leader="none" w:pos="219"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8"/>
          <w:szCs w:val="18"/>
          <w:color w:val="auto"/>
        </w:rPr>
        <w:t>. All notices under this Addendum shall be in writing, including via email. Each Party shall send notices to the other Party at the address or email address set forth in the table on page 1 or such other address or email address as either Party may specify in writing. Notices to Marqeta must also be addressed to the Legal Department.</w:t>
      </w:r>
    </w:p>
    <w:p>
      <w:pPr>
        <w:spacing w:after="0" w:line="71" w:lineRule="exact"/>
        <w:rPr>
          <w:rFonts w:ascii="Arial" w:cs="Arial" w:eastAsia="Arial" w:hAnsi="Arial"/>
          <w:sz w:val="18"/>
          <w:szCs w:val="18"/>
          <w:color w:val="auto"/>
        </w:rPr>
      </w:pPr>
    </w:p>
    <w:p>
      <w:pPr>
        <w:ind w:left="224" w:hanging="224"/>
        <w:spacing w:after="0"/>
        <w:tabs>
          <w:tab w:leader="none" w:pos="224"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w:t>
      </w:r>
      <w:r>
        <w:rPr>
          <w:rFonts w:ascii="Arial" w:cs="Arial" w:eastAsia="Arial" w:hAnsi="Arial"/>
          <w:sz w:val="18"/>
          <w:szCs w:val="18"/>
          <w:b w:val="1"/>
          <w:bCs w:val="1"/>
          <w:color w:val="auto"/>
        </w:rPr>
        <w:t>[***]</w:t>
      </w:r>
      <w:r>
        <w:rPr>
          <w:rFonts w:ascii="Arial" w:cs="Arial" w:eastAsia="Arial" w:hAnsi="Arial"/>
          <w:sz w:val="18"/>
          <w:szCs w:val="18"/>
          <w:color w:val="auto"/>
        </w:rPr>
        <w:t xml:space="preserve"> Addendum may be executed in counterparts.</w:t>
      </w:r>
    </w:p>
    <w:p>
      <w:pPr>
        <w:spacing w:after="0" w:line="117" w:lineRule="exact"/>
        <w:rPr>
          <w:rFonts w:ascii="Arial" w:cs="Arial" w:eastAsia="Arial" w:hAnsi="Arial"/>
          <w:sz w:val="18"/>
          <w:szCs w:val="18"/>
          <w:color w:val="auto"/>
        </w:rPr>
      </w:pPr>
    </w:p>
    <w:p>
      <w:pPr>
        <w:ind w:left="-436" w:firstLine="436"/>
        <w:spacing w:after="0" w:line="282" w:lineRule="auto"/>
        <w:tabs>
          <w:tab w:leader="none" w:pos="259"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xml:space="preserve">. Nothing in this </w:t>
      </w:r>
      <w:r>
        <w:rPr>
          <w:rFonts w:ascii="Arial" w:cs="Arial" w:eastAsia="Arial" w:hAnsi="Arial"/>
          <w:sz w:val="18"/>
          <w:szCs w:val="18"/>
          <w:b w:val="1"/>
          <w:bCs w:val="1"/>
          <w:color w:val="auto"/>
        </w:rPr>
        <w:t>[***]</w:t>
      </w:r>
      <w:r>
        <w:rPr>
          <w:rFonts w:ascii="Arial" w:cs="Arial" w:eastAsia="Arial" w:hAnsi="Arial"/>
          <w:sz w:val="18"/>
          <w:szCs w:val="18"/>
          <w:color w:val="auto"/>
        </w:rPr>
        <w:t xml:space="preserve"> Addendum is intended to, or will, create a partnership, or joint venture, or agency relationship between the Parties.</w:t>
      </w:r>
    </w:p>
    <w:p>
      <w:pPr>
        <w:spacing w:after="0" w:line="53" w:lineRule="exact"/>
        <w:rPr>
          <w:rFonts w:ascii="Arial" w:cs="Arial" w:eastAsia="Arial" w:hAnsi="Arial"/>
          <w:sz w:val="18"/>
          <w:szCs w:val="18"/>
          <w:color w:val="auto"/>
        </w:rPr>
      </w:pPr>
    </w:p>
    <w:p>
      <w:pPr>
        <w:ind w:left="-436" w:right="20" w:firstLine="436"/>
        <w:spacing w:after="0" w:line="282" w:lineRule="auto"/>
        <w:tabs>
          <w:tab w:leader="none" w:pos="219"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this </w:t>
      </w:r>
      <w:r>
        <w:rPr>
          <w:rFonts w:ascii="Arial" w:cs="Arial" w:eastAsia="Arial" w:hAnsi="Arial"/>
          <w:sz w:val="18"/>
          <w:szCs w:val="18"/>
          <w:b w:val="1"/>
          <w:bCs w:val="1"/>
          <w:color w:val="auto"/>
        </w:rPr>
        <w:t>[***]</w:t>
      </w:r>
      <w:r>
        <w:rPr>
          <w:rFonts w:ascii="Arial" w:cs="Arial" w:eastAsia="Arial" w:hAnsi="Arial"/>
          <w:sz w:val="18"/>
          <w:szCs w:val="18"/>
          <w:color w:val="auto"/>
        </w:rPr>
        <w:t xml:space="preserve"> Addendum that by their nature or terms are intended to survive the expiration or termination of this </w:t>
      </w:r>
      <w:r>
        <w:rPr>
          <w:rFonts w:ascii="Arial" w:cs="Arial" w:eastAsia="Arial" w:hAnsi="Arial"/>
          <w:sz w:val="18"/>
          <w:szCs w:val="18"/>
          <w:b w:val="1"/>
          <w:bCs w:val="1"/>
          <w:color w:val="auto"/>
        </w:rPr>
        <w:t>[***]</w:t>
      </w:r>
      <w:r>
        <w:rPr>
          <w:rFonts w:ascii="Arial" w:cs="Arial" w:eastAsia="Arial" w:hAnsi="Arial"/>
          <w:sz w:val="18"/>
          <w:szCs w:val="18"/>
          <w:color w:val="auto"/>
        </w:rPr>
        <w:t xml:space="preserve"> Addendum shall survive its expiration or termination.</w:t>
      </w:r>
    </w:p>
    <w:p>
      <w:pPr>
        <w:spacing w:after="0" w:line="53" w:lineRule="exact"/>
        <w:rPr>
          <w:rFonts w:ascii="Arial" w:cs="Arial" w:eastAsia="Arial" w:hAnsi="Arial"/>
          <w:sz w:val="18"/>
          <w:szCs w:val="18"/>
          <w:color w:val="auto"/>
        </w:rPr>
      </w:pPr>
    </w:p>
    <w:p>
      <w:pPr>
        <w:ind w:left="-436" w:right="140" w:firstLine="436"/>
        <w:spacing w:after="0" w:line="282" w:lineRule="auto"/>
        <w:tabs>
          <w:tab w:leader="none" w:pos="309"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w:t>
      </w:r>
      <w:r>
        <w:rPr>
          <w:rFonts w:ascii="Arial" w:cs="Arial" w:eastAsia="Arial" w:hAnsi="Arial"/>
          <w:sz w:val="18"/>
          <w:szCs w:val="18"/>
          <w:color w:val="auto"/>
        </w:rPr>
        <w:t xml:space="preserve"> Addendum and the Agreement represent the Parties’ entire agreement and supersedes any and all prior written or oral communications, agreements, or understandings.</w:t>
      </w:r>
    </w:p>
    <w:p>
      <w:pPr>
        <w:sectPr>
          <w:pgSz w:w="11900" w:h="16838" w:orient="portrait"/>
          <w:cols w:equalWidth="0" w:num="1">
            <w:col w:w="10564"/>
          </w:cols>
          <w:pgMar w:left="876" w:top="274" w:right="459" w:bottom="1440" w:gutter="0" w:footer="0" w:header="0"/>
        </w:sectPr>
      </w:pPr>
    </w:p>
    <w:bookmarkStart w:id="430" w:name="page431"/>
    <w:bookmarkEnd w:id="430"/>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 – SUPPLEMENTAL TERMS AND CONDITIONS</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 Program Management Services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Marqeta shall provide Client Affiliate with certain program management services in connection with </w:t>
      </w:r>
      <w:r>
        <w:rPr>
          <w:rFonts w:ascii="Arial" w:cs="Arial" w:eastAsia="Arial" w:hAnsi="Arial"/>
          <w:sz w:val="16"/>
          <w:szCs w:val="16"/>
          <w:b w:val="1"/>
          <w:bCs w:val="1"/>
          <w:color w:val="auto"/>
        </w:rPr>
        <w:t>[***]</w:t>
      </w:r>
      <w:r>
        <w:rPr>
          <w:rFonts w:ascii="Arial" w:cs="Arial" w:eastAsia="Arial" w:hAnsi="Arial"/>
          <w:sz w:val="16"/>
          <w:szCs w:val="16"/>
          <w:color w:val="auto"/>
        </w:rPr>
        <w:t>, which include, but are not limited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420"/>
          </w:cols>
          <w:pgMar w:left="440" w:top="270" w:right="1039" w:bottom="1440" w:gutter="0" w:footer="0" w:header="0"/>
        </w:sectPr>
      </w:pPr>
    </w:p>
    <w:bookmarkStart w:id="431" w:name="page432"/>
    <w:bookmarkEnd w:id="4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 – [***]</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type w:val="continuous"/>
        </w:sectPr>
      </w:pPr>
    </w:p>
    <w:bookmarkStart w:id="432" w:name="page433"/>
    <w:bookmarkEnd w:id="432"/>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D – SERVICE LEVEL AGREEMENT</w:t>
      </w:r>
    </w:p>
    <w:p>
      <w:pPr>
        <w:spacing w:after="0" w:line="256" w:lineRule="exact"/>
        <w:rPr>
          <w:sz w:val="20"/>
          <w:szCs w:val="20"/>
          <w:color w:val="auto"/>
        </w:rPr>
      </w:pPr>
    </w:p>
    <w:p>
      <w:pPr>
        <w:ind w:left="424" w:hanging="424"/>
        <w:spacing w:after="0"/>
        <w:tabs>
          <w:tab w:leader="none" w:pos="42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Capitalized terms that are not defined herein are defined as set forth in the Agreement or Addendum.</w:t>
      </w:r>
    </w:p>
    <w:p>
      <w:pPr>
        <w:spacing w:after="0" w:line="126" w:lineRule="exact"/>
        <w:rPr>
          <w:rFonts w:ascii="Arial" w:cs="Arial" w:eastAsia="Arial" w:hAnsi="Arial"/>
          <w:sz w:val="18"/>
          <w:szCs w:val="18"/>
          <w:color w:val="auto"/>
        </w:rPr>
      </w:pPr>
    </w:p>
    <w:p>
      <w:pPr>
        <w:ind w:left="984" w:right="720" w:hanging="984"/>
        <w:spacing w:after="0" w:line="383" w:lineRule="auto"/>
        <w:tabs>
          <w:tab w:leader="none" w:pos="425"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Performance Standard</w:t>
      </w:r>
      <w:r>
        <w:rPr>
          <w:rFonts w:ascii="Arial" w:cs="Arial" w:eastAsia="Arial" w:hAnsi="Arial"/>
          <w:sz w:val="18"/>
          <w:szCs w:val="18"/>
          <w:color w:val="auto"/>
        </w:rPr>
        <w:t>. The Performance Standard is a</w:t>
      </w:r>
      <w:r>
        <w:rPr>
          <w:rFonts w:ascii="Arial" w:cs="Arial" w:eastAsia="Arial" w:hAnsi="Arial"/>
          <w:sz w:val="18"/>
          <w:szCs w:val="18"/>
          <w:b w:val="1"/>
          <w:bCs w:val="1"/>
          <w:color w:val="auto"/>
        </w:rPr>
        <w:t xml:space="preserve"> [***] </w:t>
      </w:r>
      <w:r>
        <w:rPr>
          <w:rFonts w:ascii="Arial" w:cs="Arial" w:eastAsia="Arial" w:hAnsi="Arial"/>
          <w:sz w:val="18"/>
          <w:szCs w:val="18"/>
          <w:color w:val="auto"/>
        </w:rPr>
        <w:t>Transaction Success Rate of</w:t>
      </w:r>
      <w:r>
        <w:rPr>
          <w:rFonts w:ascii="Arial" w:cs="Arial" w:eastAsia="Arial" w:hAnsi="Arial"/>
          <w:sz w:val="18"/>
          <w:szCs w:val="18"/>
          <w:b w:val="1"/>
          <w:bCs w:val="1"/>
          <w:color w:val="auto"/>
        </w:rPr>
        <w:t xml:space="preserve"> [***] </w:t>
      </w:r>
      <w:r>
        <w:rPr>
          <w:rFonts w:ascii="Arial" w:cs="Arial" w:eastAsia="Arial" w:hAnsi="Arial"/>
          <w:sz w:val="18"/>
          <w:szCs w:val="18"/>
          <w:color w:val="auto"/>
        </w:rPr>
        <w:t>(rounded) or greater in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ind w:left="424" w:right="160" w:hanging="424"/>
        <w:spacing w:after="0" w:line="282" w:lineRule="auto"/>
        <w:tabs>
          <w:tab w:leader="none" w:pos="424"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Performance Standard Credits</w:t>
      </w:r>
      <w:r>
        <w:rPr>
          <w:rFonts w:ascii="Arial" w:cs="Arial" w:eastAsia="Arial" w:hAnsi="Arial"/>
          <w:sz w:val="18"/>
          <w:szCs w:val="18"/>
          <w:color w:val="auto"/>
        </w:rPr>
        <w:t>. In the event that Marqeta does not meet the Performance Standard in a</w:t>
      </w:r>
      <w:r>
        <w:rPr>
          <w:rFonts w:ascii="Arial" w:cs="Arial" w:eastAsia="Arial" w:hAnsi="Arial"/>
          <w:sz w:val="18"/>
          <w:szCs w:val="18"/>
          <w:b w:val="1"/>
          <w:bCs w:val="1"/>
          <w:color w:val="auto"/>
        </w:rPr>
        <w:t xml:space="preserve"> [***] </w:t>
      </w:r>
      <w:r>
        <w:rPr>
          <w:rFonts w:ascii="Arial" w:cs="Arial" w:eastAsia="Arial" w:hAnsi="Arial"/>
          <w:sz w:val="18"/>
          <w:szCs w:val="18"/>
          <w:color w:val="auto"/>
        </w:rPr>
        <w:t>and Client Affiliate experienced</w:t>
      </w:r>
      <w:r>
        <w:rPr>
          <w:rFonts w:ascii="Arial" w:cs="Arial" w:eastAsia="Arial" w:hAnsi="Arial"/>
          <w:sz w:val="18"/>
          <w:szCs w:val="18"/>
          <w:b w:val="1"/>
          <w:bCs w:val="1"/>
          <w:color w:val="auto"/>
        </w:rPr>
        <w:t xml:space="preserve"> [***]</w:t>
      </w:r>
      <w:r>
        <w:rPr>
          <w:rFonts w:ascii="Arial" w:cs="Arial" w:eastAsia="Arial" w:hAnsi="Arial"/>
          <w:sz w:val="18"/>
          <w:szCs w:val="18"/>
          <w:color w:val="auto"/>
        </w:rPr>
        <w:t>, Marqeta will pay Client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54"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line="282" w:lineRule="auto"/>
        <w:tabs>
          <w:tab w:leader="none" w:pos="424"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Service Reporting</w:t>
      </w:r>
      <w:r>
        <w:rPr>
          <w:rFonts w:ascii="Arial" w:cs="Arial" w:eastAsia="Arial" w:hAnsi="Arial"/>
          <w:sz w:val="18"/>
          <w:szCs w:val="18"/>
          <w:color w:val="auto"/>
        </w:rPr>
        <w:t>. In order to receive any Performance Standard Credits, Client Affiliate must report a failure to meet the Performance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Marqeta via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24" w:hanging="424"/>
        <w:spacing w:after="0"/>
        <w:tabs>
          <w:tab w:leader="none" w:pos="424"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API Response Time Performance Target</w:t>
      </w:r>
      <w:r>
        <w:rPr>
          <w:rFonts w:ascii="Arial" w:cs="Arial" w:eastAsia="Arial" w:hAnsi="Arial"/>
          <w:sz w:val="18"/>
          <w:szCs w:val="18"/>
          <w:color w:val="auto"/>
        </w:rPr>
        <w:t>. The API Response Performance Target 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424" w:hanging="424"/>
        <w:spacing w:after="0" w:line="266" w:lineRule="auto"/>
        <w:tabs>
          <w:tab w:leader="none" w:pos="424"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 xml:space="preserve">Planned Outages. </w:t>
      </w:r>
      <w:r>
        <w:rPr>
          <w:rFonts w:ascii="Arial" w:cs="Arial" w:eastAsia="Arial" w:hAnsi="Arial"/>
          <w:sz w:val="18"/>
          <w:szCs w:val="18"/>
          <w:color w:val="auto"/>
        </w:rPr>
        <w:t>Marqeta will notify Client Affiliate of scheduled downtime for maintenance or upgrades at least</w:t>
      </w:r>
      <w:r>
        <w:rPr>
          <w:rFonts w:ascii="Arial" w:cs="Arial" w:eastAsia="Arial" w:hAnsi="Arial"/>
          <w:sz w:val="18"/>
          <w:szCs w:val="18"/>
          <w:b w:val="1"/>
          <w:bCs w:val="1"/>
          <w:color w:val="auto"/>
        </w:rPr>
        <w:t xml:space="preserve"> [***] </w:t>
      </w:r>
      <w:r>
        <w:rPr>
          <w:rFonts w:ascii="Arial" w:cs="Arial" w:eastAsia="Arial" w:hAnsi="Arial"/>
          <w:sz w:val="18"/>
          <w:szCs w:val="18"/>
          <w:color w:val="auto"/>
        </w:rPr>
        <w:t>in advance (“</w:t>
      </w:r>
      <w:r>
        <w:rPr>
          <w:rFonts w:ascii="Arial" w:cs="Arial" w:eastAsia="Arial" w:hAnsi="Arial"/>
          <w:sz w:val="18"/>
          <w:szCs w:val="18"/>
          <w:u w:val="single" w:color="auto"/>
          <w:color w:val="auto"/>
        </w:rPr>
        <w:t>Scheduled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Maintenance</w:t>
      </w:r>
      <w:r>
        <w:rPr>
          <w:rFonts w:ascii="Arial" w:cs="Arial" w:eastAsia="Arial" w:hAnsi="Arial"/>
          <w:sz w:val="18"/>
          <w:szCs w:val="18"/>
          <w:color w:val="auto"/>
        </w:rPr>
        <w:t xml:space="preserve">”). Scheduled Maintenance will not exceed more than </w:t>
      </w:r>
      <w:r>
        <w:rPr>
          <w:rFonts w:ascii="Arial" w:cs="Arial" w:eastAsia="Arial" w:hAnsi="Arial"/>
          <w:sz w:val="18"/>
          <w:szCs w:val="18"/>
          <w:b w:val="1"/>
          <w:bCs w:val="1"/>
          <w:color w:val="auto"/>
        </w:rPr>
        <w:t>[***]</w:t>
      </w:r>
      <w:r>
        <w:rPr>
          <w:rFonts w:ascii="Arial" w:cs="Arial" w:eastAsia="Arial" w:hAnsi="Arial"/>
          <w:sz w:val="18"/>
          <w:szCs w:val="18"/>
          <w:color w:val="auto"/>
        </w:rPr>
        <w:t xml:space="preserve"> per </w:t>
      </w:r>
      <w:r>
        <w:rPr>
          <w:rFonts w:ascii="Arial" w:cs="Arial" w:eastAsia="Arial" w:hAnsi="Arial"/>
          <w:sz w:val="18"/>
          <w:szCs w:val="18"/>
          <w:b w:val="1"/>
          <w:bCs w:val="1"/>
          <w:color w:val="auto"/>
        </w:rPr>
        <w:t>[***]</w:t>
      </w:r>
      <w:r>
        <w:rPr>
          <w:rFonts w:ascii="Arial" w:cs="Arial" w:eastAsia="Arial" w:hAnsi="Arial"/>
          <w:sz w:val="18"/>
          <w:szCs w:val="18"/>
          <w:color w:val="auto"/>
        </w:rPr>
        <w:t>. Measurement of Marqeta’s compliance with the Performance Standard shall exclude any Scheduled Maintenance.</w:t>
      </w:r>
    </w:p>
    <w:p>
      <w:pPr>
        <w:spacing w:after="0" w:line="81" w:lineRule="exact"/>
        <w:rPr>
          <w:rFonts w:ascii="Arial" w:cs="Arial" w:eastAsia="Arial" w:hAnsi="Arial"/>
          <w:sz w:val="18"/>
          <w:szCs w:val="18"/>
          <w:color w:val="auto"/>
        </w:rPr>
      </w:pPr>
    </w:p>
    <w:p>
      <w:pPr>
        <w:ind w:left="424" w:hanging="424"/>
        <w:spacing w:after="0"/>
        <w:tabs>
          <w:tab w:leader="none" w:pos="424"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Technical Support</w:t>
      </w:r>
      <w:r>
        <w:rPr>
          <w:rFonts w:ascii="Arial" w:cs="Arial" w:eastAsia="Arial" w:hAnsi="Arial"/>
          <w:sz w:val="18"/>
          <w:szCs w:val="18"/>
          <w:color w:val="auto"/>
        </w:rPr>
        <w:t>. Technical support incidents will be addressed as follows: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97"/>
        </w:numPr>
        <w:rPr>
          <w:rFonts w:ascii="Arial" w:cs="Arial" w:eastAsia="Arial" w:hAnsi="Arial"/>
          <w:sz w:val="18"/>
          <w:szCs w:val="18"/>
          <w:color w:val="auto"/>
        </w:rPr>
      </w:pPr>
      <w:r>
        <w:rPr>
          <w:rFonts w:ascii="Arial" w:cs="Arial" w:eastAsia="Arial" w:hAnsi="Arial"/>
          <w:sz w:val="18"/>
          <w:szCs w:val="18"/>
          <w:b w:val="1"/>
          <w:bCs w:val="1"/>
          <w:color w:val="auto"/>
        </w:rPr>
        <w:t xml:space="preserve">Technical Support Response Time Performance Target. </w:t>
      </w:r>
      <w:r>
        <w:rPr>
          <w:rFonts w:ascii="Arial" w:cs="Arial" w:eastAsia="Arial" w:hAnsi="Arial"/>
          <w:sz w:val="18"/>
          <w:szCs w:val="18"/>
          <w:color w:val="auto"/>
        </w:rPr>
        <w:t>Client Affiliate will notify Marqeta via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right="40" w:hanging="439"/>
        <w:spacing w:after="0" w:line="281" w:lineRule="auto"/>
        <w:tabs>
          <w:tab w:leader="none" w:pos="1424" w:val="left"/>
        </w:tabs>
        <w:numPr>
          <w:ilvl w:val="2"/>
          <w:numId w:val="397"/>
        </w:numPr>
        <w:rPr>
          <w:rFonts w:ascii="Arial" w:cs="Arial" w:eastAsia="Arial" w:hAnsi="Arial"/>
          <w:sz w:val="17"/>
          <w:szCs w:val="17"/>
          <w:color w:val="auto"/>
        </w:rPr>
      </w:pPr>
      <w:r>
        <w:rPr>
          <w:rFonts w:ascii="Arial" w:cs="Arial" w:eastAsia="Arial" w:hAnsi="Arial"/>
          <w:sz w:val="17"/>
          <w:szCs w:val="17"/>
          <w:b w:val="1"/>
          <w:bCs w:val="1"/>
          <w:color w:val="auto"/>
        </w:rPr>
        <w:t xml:space="preserve">Severity Level 0/1 </w:t>
      </w:r>
      <w:r>
        <w:rPr>
          <w:rFonts w:ascii="Arial" w:cs="Arial" w:eastAsia="Arial" w:hAnsi="Arial"/>
          <w:sz w:val="17"/>
          <w:szCs w:val="17"/>
          <w:color w:val="auto"/>
        </w:rPr>
        <w:t>– Marqeta resources will initially respond within</w:t>
      </w:r>
      <w:r>
        <w:rPr>
          <w:rFonts w:ascii="Arial" w:cs="Arial" w:eastAsia="Arial" w:hAnsi="Arial"/>
          <w:sz w:val="17"/>
          <w:szCs w:val="17"/>
          <w:b w:val="1"/>
          <w:bCs w:val="1"/>
          <w:color w:val="auto"/>
        </w:rPr>
        <w:t xml:space="preserve"> [***] </w:t>
      </w:r>
      <w:r>
        <w:rPr>
          <w:rFonts w:ascii="Arial" w:cs="Arial" w:eastAsia="Arial" w:hAnsi="Arial"/>
          <w:sz w:val="17"/>
          <w:szCs w:val="17"/>
          <w:color w:val="auto"/>
        </w:rPr>
        <w:t>of notice from Client Affiliate of the incident and will</w:t>
      </w:r>
      <w:r>
        <w:rPr>
          <w:rFonts w:ascii="Arial" w:cs="Arial" w:eastAsia="Arial" w:hAnsi="Arial"/>
          <w:sz w:val="17"/>
          <w:szCs w:val="17"/>
          <w:b w:val="1"/>
          <w:bCs w:val="1"/>
          <w:color w:val="auto"/>
        </w:rPr>
        <w:t xml:space="preserve"> </w:t>
      </w:r>
      <w:r>
        <w:rPr>
          <w:rFonts w:ascii="Arial" w:cs="Arial" w:eastAsia="Arial" w:hAnsi="Arial"/>
          <w:sz w:val="17"/>
          <w:szCs w:val="17"/>
          <w:color w:val="auto"/>
        </w:rPr>
        <w:t>ensure continuous support to resolve all Severity Level 0/1 incidents. Marqeta will promptly (1) advise Client Affiliate of the status of remedial efforts being undertaken with respect to such incident; (2) implement a temporary workaround and/or correct the cause of the incident; and (3) report to Client Affiliate on the root cause(s) of such incident.</w:t>
      </w:r>
    </w:p>
    <w:p>
      <w:pPr>
        <w:spacing w:after="0" w:line="70" w:lineRule="exact"/>
        <w:rPr>
          <w:rFonts w:ascii="Arial" w:cs="Arial" w:eastAsia="Arial" w:hAnsi="Arial"/>
          <w:sz w:val="17"/>
          <w:szCs w:val="17"/>
          <w:color w:val="auto"/>
        </w:rPr>
      </w:pPr>
    </w:p>
    <w:p>
      <w:pPr>
        <w:ind w:left="1424" w:right="220" w:hanging="439"/>
        <w:spacing w:after="0" w:line="282" w:lineRule="auto"/>
        <w:tabs>
          <w:tab w:leader="none" w:pos="1424" w:val="left"/>
        </w:tabs>
        <w:numPr>
          <w:ilvl w:val="2"/>
          <w:numId w:val="397"/>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2/3 </w:t>
      </w:r>
      <w:r>
        <w:rPr>
          <w:rFonts w:ascii="Arial" w:cs="Arial" w:eastAsia="Arial" w:hAnsi="Arial"/>
          <w:sz w:val="18"/>
          <w:szCs w:val="18"/>
          <w:color w:val="auto"/>
        </w:rPr>
        <w:t>– Marqeta resources will initially respond within</w:t>
      </w:r>
      <w:r>
        <w:rPr>
          <w:rFonts w:ascii="Arial" w:cs="Arial" w:eastAsia="Arial" w:hAnsi="Arial"/>
          <w:sz w:val="18"/>
          <w:szCs w:val="18"/>
          <w:b w:val="1"/>
          <w:bCs w:val="1"/>
          <w:color w:val="auto"/>
        </w:rPr>
        <w:t xml:space="preserve"> [***] </w:t>
      </w:r>
      <w:r>
        <w:rPr>
          <w:rFonts w:ascii="Arial" w:cs="Arial" w:eastAsia="Arial" w:hAnsi="Arial"/>
          <w:sz w:val="18"/>
          <w:szCs w:val="18"/>
          <w:color w:val="auto"/>
        </w:rPr>
        <w:t>of notice from Client Affiliate of the incident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work to resolve Severity Level 2/3 incidents in order of their priority.</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1"/>
          <w:numId w:val="397"/>
        </w:numPr>
        <w:rPr>
          <w:rFonts w:ascii="Arial" w:cs="Arial" w:eastAsia="Arial" w:hAnsi="Arial"/>
          <w:sz w:val="18"/>
          <w:szCs w:val="18"/>
          <w:color w:val="auto"/>
        </w:rPr>
      </w:pPr>
      <w:r>
        <w:rPr>
          <w:rFonts w:ascii="Arial" w:cs="Arial" w:eastAsia="Arial" w:hAnsi="Arial"/>
          <w:sz w:val="18"/>
          <w:szCs w:val="18"/>
          <w:b w:val="1"/>
          <w:bCs w:val="1"/>
          <w:color w:val="auto"/>
        </w:rPr>
        <w:t>Severity Level Descriptions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97"/>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97"/>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97"/>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97"/>
        </w:numPr>
        <w:rPr>
          <w:rFonts w:ascii="Arial" w:cs="Arial" w:eastAsia="Arial" w:hAnsi="Arial"/>
          <w:sz w:val="18"/>
          <w:szCs w:val="18"/>
          <w:color w:val="auto"/>
        </w:rPr>
      </w:pPr>
      <w:r>
        <w:rPr>
          <w:rFonts w:ascii="Arial" w:cs="Arial" w:eastAsia="Arial" w:hAnsi="Arial"/>
          <w:sz w:val="18"/>
          <w:szCs w:val="18"/>
          <w:b w:val="1"/>
          <w:bCs w:val="1"/>
          <w:color w:val="auto"/>
        </w:rPr>
        <w:t xml:space="preserve">Severity Level 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4" w:hanging="204"/>
        <w:spacing w:after="0"/>
        <w:tabs>
          <w:tab w:leader="none" w:pos="204"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0924"/>
          </w:cols>
          <w:pgMar w:left="436" w:top="270" w:right="539" w:bottom="1440" w:gutter="0" w:footer="0" w:header="0"/>
        </w:sect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9" w:lineRule="exact"/>
        <w:rPr>
          <w:sz w:val="20"/>
          <w:szCs w:val="20"/>
          <w:color w:val="auto"/>
        </w:rPr>
      </w:pPr>
    </w:p>
    <w:p>
      <w:pPr>
        <w:sectPr>
          <w:pgSz w:w="11900" w:h="16838" w:orient="portrait"/>
          <w:cols w:equalWidth="0" w:num="2">
            <w:col w:w="1824" w:space="720"/>
            <w:col w:w="8380"/>
          </w:cols>
          <w:pgMar w:left="436" w:top="270" w:right="539" w:bottom="1440" w:gutter="0" w:footer="0" w:header="0"/>
          <w:type w:val="continuous"/>
        </w:sectPr>
      </w:pPr>
    </w:p>
    <w:p>
      <w:pPr>
        <w:ind w:left="204" w:hanging="204"/>
        <w:spacing w:after="0"/>
        <w:tabs>
          <w:tab w:leader="none" w:pos="204" w:val="left"/>
        </w:tabs>
        <w:numPr>
          <w:ilvl w:val="0"/>
          <w:numId w:val="39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84" w:hanging="284"/>
        <w:spacing w:after="0"/>
        <w:tabs>
          <w:tab w:leader="none" w:pos="284" w:val="left"/>
        </w:tabs>
        <w:numPr>
          <w:ilvl w:val="0"/>
          <w:numId w:val="39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0924"/>
          </w:cols>
          <w:pgMar w:left="436" w:top="270" w:right="539" w:bottom="1440" w:gutter="0" w:footer="0" w:header="0"/>
          <w:type w:val="continuous"/>
        </w:sectPr>
      </w:pPr>
    </w:p>
    <w:bookmarkStart w:id="433" w:name="page434"/>
    <w:bookmarkEnd w:id="433"/>
    <w:p>
      <w:pPr>
        <w:jc w:val="center"/>
        <w:ind w:right="-1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CHANGE ORDER</w:t>
      </w:r>
    </w:p>
    <w:p>
      <w:pPr>
        <w:sectPr>
          <w:pgSz w:w="11900" w:h="16838" w:orient="portrait"/>
          <w:cols w:equalWidth="0" w:num="1">
            <w:col w:w="10844"/>
          </w:cols>
          <w:pgMar w:left="436" w:top="270" w:right="61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Marqeta Inc.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{Client Affiliate Legal Name}</w:t>
      </w:r>
    </w:p>
    <w:p>
      <w:pPr>
        <w:spacing w:after="0" w:line="157" w:lineRule="exact"/>
        <w:rPr>
          <w:sz w:val="20"/>
          <w:szCs w:val="20"/>
          <w:color w:val="auto"/>
        </w:rPr>
      </w:pPr>
    </w:p>
    <w:p>
      <w:pPr>
        <w:sectPr>
          <w:pgSz w:w="11900" w:h="16838" w:orient="portrait"/>
          <w:cols w:equalWidth="0" w:num="2">
            <w:col w:w="5024" w:space="720"/>
            <w:col w:w="5100"/>
          </w:cols>
          <w:pgMar w:left="436" w:top="270" w:right="61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180 Grand Avenue,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6th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Oakland, CA 94612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{Client Affiliate Address}</w:t>
      </w:r>
    </w:p>
    <w:p>
      <w:pPr>
        <w:spacing w:after="0" w:line="569" w:lineRule="exact"/>
        <w:rPr>
          <w:sz w:val="20"/>
          <w:szCs w:val="20"/>
          <w:color w:val="auto"/>
        </w:rPr>
      </w:pPr>
    </w:p>
    <w:p>
      <w:pPr>
        <w:sectPr>
          <w:pgSz w:w="11900" w:h="16838" w:orient="portrait"/>
          <w:cols w:equalWidth="0" w:num="2">
            <w:col w:w="5024" w:space="720"/>
            <w:col w:w="5100"/>
          </w:cols>
          <w:pgMar w:left="436" w:top="270" w:right="619" w:bottom="1440" w:gutter="0" w:footer="0" w:header="0"/>
          <w:type w:val="continuous"/>
        </w:sectPr>
      </w:pPr>
    </w:p>
    <w:p>
      <w:pPr>
        <w:spacing w:after="0" w:line="4" w:lineRule="exact"/>
        <w:rPr>
          <w:sz w:val="20"/>
          <w:szCs w:val="20"/>
          <w:color w:val="auto"/>
        </w:rPr>
      </w:pPr>
    </w:p>
    <w:p>
      <w:pPr>
        <w:ind w:left="4"/>
        <w:spacing w:after="0"/>
        <w:rPr>
          <w:sz w:val="20"/>
          <w:szCs w:val="20"/>
          <w:color w:val="auto"/>
        </w:rPr>
      </w:pPr>
      <w:r>
        <w:rPr>
          <w:rFonts w:ascii="Arial" w:cs="Arial" w:eastAsia="Arial" w:hAnsi="Arial"/>
          <w:sz w:val="17"/>
          <w:szCs w:val="17"/>
          <w:color w:val="auto"/>
        </w:rPr>
        <w:t>[***] Addendum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xml:space="preserve">{As set forth in </w:t>
      </w:r>
      <w:r>
        <w:rPr>
          <w:rFonts w:ascii="Arial" w:cs="Arial" w:eastAsia="Arial" w:hAnsi="Arial"/>
          <w:sz w:val="17"/>
          <w:szCs w:val="17"/>
          <w:b w:val="1"/>
          <w:bCs w:val="1"/>
          <w:color w:val="auto"/>
        </w:rPr>
        <w:t>[***]</w:t>
      </w:r>
      <w:r>
        <w:rPr>
          <w:rFonts w:ascii="Arial" w:cs="Arial" w:eastAsia="Arial" w:hAnsi="Arial"/>
          <w:sz w:val="17"/>
          <w:szCs w:val="17"/>
          <w:color w:val="auto"/>
        </w:rPr>
        <w:t xml:space="preserve"> Addendum}</w:t>
      </w:r>
    </w:p>
    <w:p>
      <w:pPr>
        <w:spacing w:after="0" w:line="133" w:lineRule="exact"/>
        <w:rPr>
          <w:sz w:val="20"/>
          <w:szCs w:val="20"/>
          <w:color w:val="auto"/>
        </w:rPr>
      </w:pPr>
    </w:p>
    <w:p>
      <w:pPr>
        <w:sectPr>
          <w:pgSz w:w="11900" w:h="16838" w:orient="portrait"/>
          <w:cols w:equalWidth="0" w:num="2">
            <w:col w:w="5024" w:space="720"/>
            <w:col w:w="5100"/>
          </w:cols>
          <w:pgMar w:left="436" w:top="270" w:right="61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Change Order 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{“TBD”}</w:t>
      </w:r>
    </w:p>
    <w:p>
      <w:pPr>
        <w:spacing w:after="0" w:line="200" w:lineRule="exact"/>
        <w:rPr>
          <w:sz w:val="20"/>
          <w:szCs w:val="20"/>
          <w:color w:val="auto"/>
        </w:rPr>
      </w:pPr>
    </w:p>
    <w:p>
      <w:pPr>
        <w:sectPr>
          <w:pgSz w:w="11900" w:h="16838" w:orient="portrait"/>
          <w:cols w:equalWidth="0" w:num="2">
            <w:col w:w="5024" w:space="720"/>
            <w:col w:w="5100"/>
          </w:cols>
          <w:pgMar w:left="436" w:top="270" w:right="619" w:bottom="1440" w:gutter="0" w:footer="0" w:header="0"/>
          <w:type w:val="continuous"/>
        </w:sectPr>
      </w:pPr>
    </w:p>
    <w:p>
      <w:pPr>
        <w:spacing w:after="0" w:line="21"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 xml:space="preserve">Client Affiliate wishes to amend or add one or more terms to the </w:t>
      </w:r>
      <w:r>
        <w:rPr>
          <w:rFonts w:ascii="Arial" w:cs="Arial" w:eastAsia="Arial" w:hAnsi="Arial"/>
          <w:sz w:val="18"/>
          <w:szCs w:val="18"/>
          <w:b w:val="1"/>
          <w:bCs w:val="1"/>
          <w:color w:val="auto"/>
        </w:rPr>
        <w:t>[***]</w:t>
      </w:r>
      <w:r>
        <w:rPr>
          <w:rFonts w:ascii="Arial" w:cs="Arial" w:eastAsia="Arial" w:hAnsi="Arial"/>
          <w:sz w:val="18"/>
          <w:szCs w:val="18"/>
          <w:color w:val="auto"/>
        </w:rPr>
        <w:t xml:space="preserve"> Addendum and the Parties are executing this change order (“</w:t>
      </w:r>
      <w:r>
        <w:rPr>
          <w:rFonts w:ascii="Arial" w:cs="Arial" w:eastAsia="Arial" w:hAnsi="Arial"/>
          <w:sz w:val="18"/>
          <w:szCs w:val="18"/>
          <w:u w:val="single" w:color="auto"/>
          <w:color w:val="auto"/>
        </w:rPr>
        <w:t>Change Order</w:t>
      </w:r>
      <w:r>
        <w:rPr>
          <w:rFonts w:ascii="Arial" w:cs="Arial" w:eastAsia="Arial" w:hAnsi="Arial"/>
          <w:sz w:val="18"/>
          <w:szCs w:val="18"/>
          <w:color w:val="auto"/>
        </w:rPr>
        <w:t>”) to document those changes. The Parties agree as follows:</w:t>
      </w:r>
    </w:p>
    <w:p>
      <w:pPr>
        <w:spacing w:after="0" w:line="58" w:lineRule="exact"/>
        <w:rPr>
          <w:sz w:val="20"/>
          <w:szCs w:val="20"/>
          <w:color w:val="auto"/>
        </w:rPr>
      </w:pPr>
    </w:p>
    <w:p>
      <w:pPr>
        <w:ind w:left="4" w:right="120" w:hanging="4"/>
        <w:spacing w:after="0" w:line="277" w:lineRule="auto"/>
        <w:tabs>
          <w:tab w:leader="none" w:pos="184"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Additional Onboarding Services</w:t>
      </w:r>
      <w:r>
        <w:rPr>
          <w:rFonts w:ascii="Arial" w:cs="Arial" w:eastAsia="Arial" w:hAnsi="Arial"/>
          <w:sz w:val="18"/>
          <w:szCs w:val="18"/>
          <w:color w:val="auto"/>
        </w:rPr>
        <w:t>. Marqeta will provide additional Onboarding Services to Client Affiliate as necessary to implement the additional Services.</w:t>
      </w:r>
    </w:p>
    <w:p>
      <w:pPr>
        <w:spacing w:after="0" w:line="62" w:lineRule="exact"/>
        <w:rPr>
          <w:rFonts w:ascii="Arial" w:cs="Arial" w:eastAsia="Arial" w:hAnsi="Arial"/>
          <w:sz w:val="18"/>
          <w:szCs w:val="18"/>
          <w:color w:val="auto"/>
        </w:rPr>
      </w:pPr>
    </w:p>
    <w:p>
      <w:pPr>
        <w:ind w:left="4" w:right="160" w:hanging="4"/>
        <w:spacing w:after="0" w:line="277" w:lineRule="auto"/>
        <w:tabs>
          <w:tab w:leader="none" w:pos="184"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Addendum to Schedule [X]</w:t>
      </w:r>
      <w:r>
        <w:rPr>
          <w:rFonts w:ascii="Arial" w:cs="Arial" w:eastAsia="Arial" w:hAnsi="Arial"/>
          <w:sz w:val="18"/>
          <w:szCs w:val="18"/>
          <w:color w:val="auto"/>
        </w:rPr>
        <w:t xml:space="preserve">. The Parties agree to [update the Master Services Agreement with (describe the update </w:t>
      </w:r>
      <w:r>
        <w:rPr>
          <w:rFonts w:ascii="Arial" w:cs="Arial" w:eastAsia="Arial" w:hAnsi="Arial"/>
          <w:sz w:val="18"/>
          <w:szCs w:val="18"/>
          <w:i w:val="1"/>
          <w:iCs w:val="1"/>
          <w:color w:val="auto"/>
        </w:rPr>
        <w:t>e.g. include additional fees for</w:t>
      </w:r>
      <w:r>
        <w:rPr>
          <w:rFonts w:ascii="Arial" w:cs="Arial" w:eastAsia="Arial" w:hAnsi="Arial"/>
          <w:sz w:val="18"/>
          <w:szCs w:val="18"/>
          <w:color w:val="auto"/>
        </w:rPr>
        <w:t xml:space="preserve"> </w:t>
      </w:r>
      <w:r>
        <w:rPr>
          <w:rFonts w:ascii="Arial" w:cs="Arial" w:eastAsia="Arial" w:hAnsi="Arial"/>
          <w:sz w:val="18"/>
          <w:szCs w:val="18"/>
          <w:i w:val="1"/>
          <w:iCs w:val="1"/>
          <w:color w:val="auto"/>
        </w:rPr>
        <w:t>expedited services)</w:t>
      </w:r>
      <w:r>
        <w:rPr>
          <w:rFonts w:ascii="Arial" w:cs="Arial" w:eastAsia="Arial" w:hAnsi="Arial"/>
          <w:sz w:val="18"/>
          <w:szCs w:val="18"/>
          <w:color w:val="auto"/>
        </w:rPr>
        <w:t>].</w:t>
      </w:r>
    </w:p>
    <w:p>
      <w:pPr>
        <w:sectPr>
          <w:pgSz w:w="11900" w:h="16838" w:orient="portrait"/>
          <w:cols w:equalWidth="0" w:num="1">
            <w:col w:w="10844"/>
          </w:cols>
          <w:pgMar w:left="436" w:top="270" w:right="619" w:bottom="1440" w:gutter="0" w:footer="0" w:header="0"/>
          <w:type w:val="continuous"/>
        </w:sectPr>
      </w:pPr>
    </w:p>
    <w:p>
      <w:pPr>
        <w:spacing w:after="0" w:line="19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Marqeta</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Client Affiliate</w:t>
      </w:r>
    </w:p>
    <w:p>
      <w:pPr>
        <w:spacing w:after="0" w:line="211" w:lineRule="exact"/>
        <w:rPr>
          <w:sz w:val="20"/>
          <w:szCs w:val="20"/>
          <w:color w:val="auto"/>
        </w:rPr>
      </w:pPr>
    </w:p>
    <w:p>
      <w:pPr>
        <w:sectPr>
          <w:pgSz w:w="11900" w:h="16838" w:orient="portrait"/>
          <w:cols w:equalWidth="0" w:num="2">
            <w:col w:w="5024" w:space="720"/>
            <w:col w:w="5100"/>
          </w:cols>
          <w:pgMar w:left="436" w:top="270" w:right="619" w:bottom="1440" w:gutter="0" w:footer="0" w:header="0"/>
          <w:type w:val="continuous"/>
        </w:sectPr>
      </w:pPr>
    </w:p>
    <w:p>
      <w:pPr>
        <w:spacing w:after="0" w:line="68"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___________________________</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Print: __________________________</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Title: __________________________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Print: 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Title: __________________________</w:t>
      </w:r>
    </w:p>
    <w:p>
      <w:pPr>
        <w:sectPr>
          <w:pgSz w:w="11900" w:h="16838" w:orient="portrait"/>
          <w:cols w:equalWidth="0" w:num="2">
            <w:col w:w="5024" w:space="720"/>
            <w:col w:w="5100"/>
          </w:cols>
          <w:pgMar w:left="436" w:top="270" w:right="619" w:bottom="1440" w:gutter="0" w:footer="0" w:header="0"/>
          <w:type w:val="continuous"/>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Registered Public Accounting Firm</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April 1, 2021, in Amendment No. 2 to the Registration Statement (Form S-1 No. 333-256154) and related Prospectus of Marqeta, Inc. for the registration of shares of its Class A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A5D054"/>
    <w:multiLevelType w:val="hybridMultilevel"/>
    <w:lvl w:ilvl="0">
      <w:lvlJc w:val="left"/>
      <w:lvlText w:val="(%1)"/>
      <w:numFmt w:val="decimal"/>
      <w:start w:val="1"/>
    </w:lvl>
  </w:abstractNum>
  <w:abstractNum w:abstractNumId="1">
    <w:nsid w:val="F3F09D8"/>
    <w:multiLevelType w:val="hybridMultilevel"/>
    <w:lvl w:ilvl="0">
      <w:lvlJc w:val="left"/>
      <w:lvlText w:val="1"/>
      <w:numFmt w:val="bullet"/>
      <w:start w:val="1"/>
    </w:lvl>
  </w:abstractNum>
  <w:abstractNum w:abstractNumId="2">
    <w:nsid w:val="4B793735"/>
    <w:multiLevelType w:val="hybridMultilevel"/>
    <w:lvl w:ilvl="0">
      <w:lvlJc w:val="left"/>
      <w:lvlText w:val="•"/>
      <w:numFmt w:val="bullet"/>
      <w:start w:val="1"/>
    </w:lvl>
  </w:abstractNum>
  <w:abstractNum w:abstractNumId="3">
    <w:nsid w:val="4A10B4E8"/>
    <w:multiLevelType w:val="hybridMultilevel"/>
    <w:lvl w:ilvl="0">
      <w:lvlJc w:val="left"/>
      <w:lvlText w:val="2"/>
      <w:numFmt w:val="bullet"/>
      <w:start w:val="1"/>
    </w:lvl>
  </w:abstractNum>
  <w:abstractNum w:abstractNumId="4">
    <w:nsid w:val="43D3BCD4"/>
    <w:multiLevelType w:val="hybridMultilevel"/>
    <w:lvl w:ilvl="0">
      <w:lvlJc w:val="left"/>
      <w:lvlText w:val="•"/>
      <w:numFmt w:val="bullet"/>
      <w:start w:val="1"/>
    </w:lvl>
  </w:abstractNum>
  <w:abstractNum w:abstractNumId="5">
    <w:nsid w:val="4C2A7166"/>
    <w:multiLevelType w:val="hybridMultilevel"/>
    <w:lvl w:ilvl="0">
      <w:lvlJc w:val="left"/>
      <w:lvlText w:val="•"/>
      <w:numFmt w:val="bullet"/>
      <w:start w:val="1"/>
    </w:lvl>
  </w:abstractNum>
  <w:abstractNum w:abstractNumId="6">
    <w:nsid w:val="2E534A82"/>
    <w:multiLevelType w:val="hybridMultilevel"/>
    <w:lvl w:ilvl="0">
      <w:lvlJc w:val="left"/>
      <w:lvlText w:val="•"/>
      <w:numFmt w:val="bullet"/>
      <w:start w:val="1"/>
    </w:lvl>
  </w:abstractNum>
  <w:abstractNum w:abstractNumId="7">
    <w:nsid w:val="26F2D364"/>
    <w:multiLevelType w:val="hybridMultilevel"/>
    <w:lvl w:ilvl="0">
      <w:lvlJc w:val="left"/>
      <w:lvlText w:val="•"/>
      <w:numFmt w:val="bullet"/>
      <w:start w:val="1"/>
    </w:lvl>
  </w:abstractNum>
  <w:abstractNum w:abstractNumId="8">
    <w:nsid w:val="71C1AF98"/>
    <w:multiLevelType w:val="hybridMultilevel"/>
    <w:lvl w:ilvl="0">
      <w:lvlJc w:val="left"/>
      <w:lvlText w:val="•"/>
      <w:numFmt w:val="bullet"/>
      <w:start w:val="1"/>
    </w:lvl>
    <w:lvl w:ilvl="1">
      <w:lvlJc w:val="left"/>
      <w:lvlText w:val="•"/>
      <w:numFmt w:val="bullet"/>
      <w:start w:val="1"/>
    </w:lvl>
  </w:abstractNum>
  <w:abstractNum w:abstractNumId="9">
    <w:nsid w:val="3D00B9D9"/>
    <w:multiLevelType w:val="hybridMultilevel"/>
    <w:lvl w:ilvl="0">
      <w:lvlJc w:val="left"/>
      <w:lvlText w:val="•"/>
      <w:numFmt w:val="bullet"/>
      <w:start w:val="1"/>
    </w:lvl>
  </w:abstractNum>
  <w:abstractNum w:abstractNumId="10">
    <w:nsid w:val="15BCABA8"/>
    <w:multiLevelType w:val="hybridMultilevel"/>
    <w:lvl w:ilvl="0">
      <w:lvlJc w:val="left"/>
      <w:lvlText w:val="(%1)"/>
      <w:numFmt w:val="decimal"/>
      <w:start w:val="1"/>
    </w:lvl>
  </w:abstractNum>
  <w:abstractNum w:abstractNumId="11">
    <w:nsid w:val="4E0B9A87"/>
    <w:multiLevelType w:val="hybridMultilevel"/>
    <w:lvl w:ilvl="0">
      <w:lvlJc w:val="left"/>
      <w:lvlText w:val="(%1)"/>
      <w:numFmt w:val="decimal"/>
      <w:start w:val="3"/>
    </w:lvl>
  </w:abstractNum>
  <w:abstractNum w:abstractNumId="12">
    <w:nsid w:val="434BAE75"/>
    <w:multiLevelType w:val="hybridMultilevel"/>
    <w:lvl w:ilvl="0">
      <w:lvlJc w:val="left"/>
      <w:lvlText w:val="(%1)"/>
      <w:numFmt w:val="decimal"/>
      <w:start w:val="1"/>
    </w:lvl>
  </w:abstractNum>
  <w:abstractNum w:abstractNumId="13">
    <w:nsid w:val="4F38F265"/>
    <w:multiLevelType w:val="hybridMultilevel"/>
    <w:lvl w:ilvl="0">
      <w:lvlJc w:val="left"/>
      <w:lvlText w:val="(%1)"/>
      <w:numFmt w:val="decimal"/>
      <w:start w:val="1"/>
    </w:lvl>
  </w:abstractNum>
  <w:abstractNum w:abstractNumId="14">
    <w:nsid w:val="4C502870"/>
    <w:multiLevelType w:val="hybridMultilevel"/>
    <w:lvl w:ilvl="0">
      <w:lvlJc w:val="left"/>
      <w:lvlText w:val="•"/>
      <w:numFmt w:val="bullet"/>
      <w:start w:val="1"/>
    </w:lvl>
  </w:abstractNum>
  <w:abstractNum w:abstractNumId="15">
    <w:nsid w:val="1DE8725A"/>
    <w:multiLevelType w:val="hybridMultilevel"/>
    <w:lvl w:ilvl="0">
      <w:lvlJc w:val="left"/>
      <w:lvlText w:val="•"/>
      <w:numFmt w:val="bullet"/>
      <w:start w:val="1"/>
    </w:lvl>
  </w:abstractNum>
  <w:abstractNum w:abstractNumId="16">
    <w:nsid w:val="6A37288A"/>
    <w:multiLevelType w:val="hybridMultilevel"/>
    <w:lvl w:ilvl="0">
      <w:lvlJc w:val="left"/>
      <w:lvlText w:val="•"/>
      <w:numFmt w:val="bullet"/>
      <w:start w:val="1"/>
    </w:lvl>
  </w:abstractNum>
  <w:abstractNum w:abstractNumId="17">
    <w:nsid w:val="8F8B73F"/>
    <w:multiLevelType w:val="hybridMultilevel"/>
    <w:lvl w:ilvl="0">
      <w:lvlJc w:val="left"/>
      <w:lvlText w:val="•"/>
      <w:numFmt w:val="bullet"/>
      <w:start w:val="1"/>
    </w:lvl>
  </w:abstractNum>
  <w:abstractNum w:abstractNumId="18">
    <w:nsid w:val="CA6B462"/>
    <w:multiLevelType w:val="hybridMultilevel"/>
    <w:lvl w:ilvl="0">
      <w:lvlJc w:val="left"/>
      <w:lvlText w:val="•"/>
      <w:numFmt w:val="bullet"/>
      <w:start w:val="1"/>
    </w:lvl>
  </w:abstractNum>
  <w:abstractNum w:abstractNumId="19">
    <w:nsid w:val="763CB680"/>
    <w:multiLevelType w:val="hybridMultilevel"/>
    <w:lvl w:ilvl="0">
      <w:lvlJc w:val="left"/>
      <w:lvlText w:val="•"/>
      <w:numFmt w:val="bullet"/>
      <w:start w:val="1"/>
    </w:lvl>
  </w:abstractNum>
  <w:abstractNum w:abstractNumId="20">
    <w:nsid w:val="15B71329"/>
    <w:multiLevelType w:val="hybridMultilevel"/>
    <w:lvl w:ilvl="0">
      <w:lvlJc w:val="left"/>
      <w:lvlText w:val="•"/>
      <w:numFmt w:val="bullet"/>
      <w:start w:val="1"/>
    </w:lvl>
  </w:abstractNum>
  <w:abstractNum w:abstractNumId="21">
    <w:nsid w:val="3DA97044"/>
    <w:multiLevelType w:val="hybridMultilevel"/>
    <w:lvl w:ilvl="0">
      <w:lvlJc w:val="left"/>
      <w:lvlText w:val="•"/>
      <w:numFmt w:val="bullet"/>
      <w:start w:val="1"/>
    </w:lvl>
  </w:abstractNum>
  <w:abstractNum w:abstractNumId="22">
    <w:nsid w:val="1CDCE2DE"/>
    <w:multiLevelType w:val="hybridMultilevel"/>
    <w:lvl w:ilvl="0">
      <w:lvlJc w:val="left"/>
      <w:lvlText w:val="•"/>
      <w:numFmt w:val="bullet"/>
      <w:start w:val="1"/>
    </w:lvl>
  </w:abstractNum>
  <w:abstractNum w:abstractNumId="23">
    <w:nsid w:val="69D3947C"/>
    <w:multiLevelType w:val="hybridMultilevel"/>
    <w:lvl w:ilvl="0">
      <w:lvlJc w:val="left"/>
      <w:lvlText w:val="•"/>
      <w:numFmt w:val="bullet"/>
      <w:start w:val="1"/>
    </w:lvl>
  </w:abstractNum>
  <w:abstractNum w:abstractNumId="24">
    <w:nsid w:val="2539DFA5"/>
    <w:multiLevelType w:val="hybridMultilevel"/>
    <w:lvl w:ilvl="0">
      <w:lvlJc w:val="left"/>
      <w:lvlText w:val="•"/>
      <w:numFmt w:val="bullet"/>
      <w:start w:val="1"/>
    </w:lvl>
  </w:abstractNum>
  <w:abstractNum w:abstractNumId="25">
    <w:nsid w:val="2DB88089"/>
    <w:multiLevelType w:val="hybridMultilevel"/>
    <w:lvl w:ilvl="0">
      <w:lvlJc w:val="left"/>
      <w:lvlText w:val="•"/>
      <w:numFmt w:val="bullet"/>
      <w:start w:val="1"/>
    </w:lvl>
  </w:abstractNum>
  <w:abstractNum w:abstractNumId="26">
    <w:nsid w:val="706B674E"/>
    <w:multiLevelType w:val="hybridMultilevel"/>
    <w:lvl w:ilvl="0">
      <w:lvlJc w:val="left"/>
      <w:lvlText w:val="•"/>
      <w:numFmt w:val="bullet"/>
      <w:start w:val="1"/>
    </w:lvl>
  </w:abstractNum>
  <w:abstractNum w:abstractNumId="27">
    <w:nsid w:val="2C106A57"/>
    <w:multiLevelType w:val="hybridMultilevel"/>
    <w:lvl w:ilvl="0">
      <w:lvlJc w:val="left"/>
      <w:lvlText w:val="•"/>
      <w:numFmt w:val="bullet"/>
      <w:start w:val="1"/>
    </w:lvl>
  </w:abstractNum>
  <w:abstractNum w:abstractNumId="28">
    <w:nsid w:val="684EED59"/>
    <w:multiLevelType w:val="hybridMultilevel"/>
    <w:lvl w:ilvl="0">
      <w:lvlJc w:val="left"/>
      <w:lvlText w:val="(%1)"/>
      <w:numFmt w:val="decimal"/>
      <w:start w:val="1"/>
    </w:lvl>
  </w:abstractNum>
  <w:abstractNum w:abstractNumId="29">
    <w:nsid w:val="545EE5D3"/>
    <w:multiLevelType w:val="hybridMultilevel"/>
    <w:lvl w:ilvl="0">
      <w:lvlJc w:val="left"/>
      <w:lvlText w:val="•"/>
      <w:numFmt w:val="bullet"/>
      <w:start w:val="1"/>
    </w:lvl>
  </w:abstractNum>
  <w:abstractNum w:abstractNumId="30">
    <w:nsid w:val="4A66051"/>
    <w:multiLevelType w:val="hybridMultilevel"/>
    <w:lvl w:ilvl="0">
      <w:lvlJc w:val="left"/>
      <w:lvlText w:val="•"/>
      <w:numFmt w:val="bullet"/>
      <w:start w:val="1"/>
    </w:lvl>
    <w:lvl w:ilvl="1">
      <w:lvlJc w:val="left"/>
      <w:lvlText w:val="•"/>
      <w:numFmt w:val="bullet"/>
      <w:start w:val="1"/>
    </w:lvl>
  </w:abstractNum>
  <w:abstractNum w:abstractNumId="31">
    <w:nsid w:val="20F4BDAD"/>
    <w:multiLevelType w:val="hybridMultilevel"/>
    <w:lvl w:ilvl="0">
      <w:lvlJc w:val="left"/>
      <w:lvlText w:val="(%1)"/>
      <w:numFmt w:val="lowerRoman"/>
      <w:start w:val="4"/>
    </w:lvl>
  </w:abstractNum>
  <w:abstractNum w:abstractNumId="32">
    <w:nsid w:val="639DEFAC"/>
    <w:multiLevelType w:val="hybridMultilevel"/>
    <w:lvl w:ilvl="0">
      <w:lvlJc w:val="left"/>
      <w:lvlText w:val="(%1)"/>
      <w:numFmt w:val="decimal"/>
      <w:start w:val="1"/>
    </w:lvl>
  </w:abstractNum>
  <w:abstractNum w:abstractNumId="33">
    <w:nsid w:val="501F9786"/>
    <w:multiLevelType w:val="hybridMultilevel"/>
    <w:lvl w:ilvl="0">
      <w:lvlJc w:val="left"/>
      <w:lvlText w:val="•"/>
      <w:numFmt w:val="bullet"/>
      <w:start w:val="1"/>
    </w:lvl>
  </w:abstractNum>
  <w:abstractNum w:abstractNumId="34">
    <w:nsid w:val="6B057295"/>
    <w:multiLevelType w:val="hybridMultilevel"/>
    <w:lvl w:ilvl="0">
      <w:lvlJc w:val="left"/>
      <w:lvlText w:val="•"/>
      <w:numFmt w:val="bullet"/>
      <w:start w:val="1"/>
    </w:lvl>
    <w:lvl w:ilvl="1">
      <w:lvlJc w:val="left"/>
      <w:lvlText w:val="•"/>
      <w:numFmt w:val="bullet"/>
      <w:start w:val="1"/>
    </w:lvl>
  </w:abstractNum>
  <w:abstractNum w:abstractNumId="35">
    <w:nsid w:val="2771AC80"/>
    <w:multiLevelType w:val="hybridMultilevel"/>
    <w:lvl w:ilvl="0">
      <w:lvlJc w:val="left"/>
      <w:lvlText w:val="(%1)"/>
      <w:numFmt w:val="decimal"/>
      <w:start w:val="1"/>
    </w:lvl>
  </w:abstractNum>
  <w:abstractNum w:abstractNumId="36">
    <w:nsid w:val="1C4A08EC"/>
    <w:multiLevelType w:val="hybridMultilevel"/>
    <w:lvl w:ilvl="0">
      <w:lvlJc w:val="left"/>
      <w:lvlText w:val="(%1)"/>
      <w:numFmt w:val="decimal"/>
      <w:start w:val="3"/>
    </w:lvl>
  </w:abstractNum>
  <w:abstractNum w:abstractNumId="37">
    <w:nsid w:val="1958BD17"/>
    <w:multiLevelType w:val="hybridMultilevel"/>
    <w:lvl w:ilvl="0">
      <w:lvlJc w:val="left"/>
      <w:lvlText w:val="(%1)"/>
      <w:numFmt w:val="decimal"/>
      <w:start w:val="1"/>
    </w:lvl>
  </w:abstractNum>
  <w:abstractNum w:abstractNumId="38">
    <w:nsid w:val="4E647FE4"/>
    <w:multiLevelType w:val="hybridMultilevel"/>
    <w:lvl w:ilvl="0">
      <w:lvlJc w:val="left"/>
      <w:lvlText w:val="•"/>
      <w:numFmt w:val="bullet"/>
      <w:start w:val="1"/>
    </w:lvl>
  </w:abstractNum>
  <w:abstractNum w:abstractNumId="39">
    <w:nsid w:val="E0BB885"/>
    <w:multiLevelType w:val="hybridMultilevel"/>
    <w:lvl w:ilvl="0">
      <w:lvlJc w:val="left"/>
      <w:lvlText w:val="3"/>
      <w:numFmt w:val="bullet"/>
      <w:start w:val="1"/>
    </w:lvl>
  </w:abstractNum>
  <w:abstractNum w:abstractNumId="40">
    <w:nsid w:val="565976F1"/>
    <w:multiLevelType w:val="hybridMultilevel"/>
    <w:lvl w:ilvl="0">
      <w:lvlJc w:val="left"/>
      <w:lvlText w:val="(%1)"/>
      <w:numFmt w:val="decimal"/>
      <w:start w:val="1"/>
    </w:lvl>
  </w:abstractNum>
  <w:abstractNum w:abstractNumId="41">
    <w:nsid w:val="64212B8C"/>
    <w:multiLevelType w:val="hybridMultilevel"/>
    <w:lvl w:ilvl="0">
      <w:lvlJc w:val="left"/>
      <w:lvlText w:val="•"/>
      <w:numFmt w:val="bullet"/>
      <w:start w:val="1"/>
    </w:lvl>
  </w:abstractNum>
  <w:abstractNum w:abstractNumId="42">
    <w:nsid w:val="5C17530C"/>
    <w:multiLevelType w:val="hybridMultilevel"/>
    <w:lvl w:ilvl="0">
      <w:lvlJc w:val="left"/>
      <w:lvlText w:val="•"/>
      <w:numFmt w:val="bullet"/>
      <w:start w:val="1"/>
    </w:lvl>
  </w:abstractNum>
  <w:abstractNum w:abstractNumId="43">
    <w:nsid w:val="19A52566"/>
    <w:multiLevelType w:val="hybridMultilevel"/>
    <w:lvl w:ilvl="0">
      <w:lvlJc w:val="left"/>
      <w:lvlText w:val="(%1)"/>
      <w:numFmt w:val="decimal"/>
      <w:start w:val="1"/>
    </w:lvl>
  </w:abstractNum>
  <w:abstractNum w:abstractNumId="44">
    <w:nsid w:val="335A1DF1"/>
    <w:multiLevelType w:val="hybridMultilevel"/>
    <w:lvl w:ilvl="0">
      <w:lvlJc w:val="left"/>
      <w:lvlText w:val="•"/>
      <w:numFmt w:val="bullet"/>
      <w:start w:val="1"/>
    </w:lvl>
  </w:abstractNum>
  <w:abstractNum w:abstractNumId="45">
    <w:nsid w:val="28677B7C"/>
    <w:multiLevelType w:val="hybridMultilevel"/>
    <w:lvl w:ilvl="0">
      <w:lvlJc w:val="left"/>
      <w:lvlText w:val="4"/>
      <w:numFmt w:val="bullet"/>
      <w:start w:val="1"/>
    </w:lvl>
  </w:abstractNum>
  <w:abstractNum w:abstractNumId="46">
    <w:nsid w:val="378D97C0"/>
    <w:multiLevelType w:val="hybridMultilevel"/>
    <w:lvl w:ilvl="0">
      <w:lvlJc w:val="left"/>
      <w:lvlText w:val="•"/>
      <w:numFmt w:val="bullet"/>
      <w:start w:val="1"/>
    </w:lvl>
    <w:lvl w:ilvl="1">
      <w:lvlJc w:val="left"/>
      <w:lvlText w:val="¡"/>
      <w:numFmt w:val="bullet"/>
      <w:start w:val="1"/>
    </w:lvl>
  </w:abstractNum>
  <w:abstractNum w:abstractNumId="47">
    <w:nsid w:val="1D91467C"/>
    <w:multiLevelType w:val="hybridMultilevel"/>
    <w:lvl w:ilvl="0">
      <w:lvlJc w:val="left"/>
      <w:lvlText w:val="•"/>
      <w:numFmt w:val="bullet"/>
      <w:start w:val="1"/>
    </w:lvl>
  </w:abstractNum>
  <w:abstractNum w:abstractNumId="48">
    <w:nsid w:val="316032BB"/>
    <w:multiLevelType w:val="hybridMultilevel"/>
    <w:lvl w:ilvl="0">
      <w:lvlJc w:val="left"/>
      <w:lvlText w:val="•"/>
      <w:numFmt w:val="bullet"/>
      <w:start w:val="1"/>
    </w:lvl>
  </w:abstractNum>
  <w:abstractNum w:abstractNumId="49">
    <w:nsid w:val="44344C22"/>
    <w:multiLevelType w:val="hybridMultilevel"/>
    <w:lvl w:ilvl="0">
      <w:lvlJc w:val="left"/>
      <w:lvlText w:val="•"/>
      <w:numFmt w:val="bullet"/>
      <w:start w:val="1"/>
    </w:lvl>
  </w:abstractNum>
  <w:abstractNum w:abstractNumId="50">
    <w:nsid w:val="13CDFCFC"/>
    <w:multiLevelType w:val="hybridMultilevel"/>
    <w:lvl w:ilvl="0">
      <w:lvlJc w:val="left"/>
      <w:lvlText w:val="*"/>
      <w:numFmt w:val="bullet"/>
      <w:start w:val="1"/>
    </w:lvl>
  </w:abstractNum>
  <w:abstractNum w:abstractNumId="51">
    <w:nsid w:val="471745E4"/>
    <w:multiLevelType w:val="hybridMultilevel"/>
    <w:lvl w:ilvl="0">
      <w:lvlJc w:val="left"/>
      <w:lvlText w:val="(%1)"/>
      <w:numFmt w:val="decimal"/>
      <w:start w:val="1"/>
    </w:lvl>
  </w:abstractNum>
  <w:abstractNum w:abstractNumId="52">
    <w:nsid w:val="1DDBC66"/>
    <w:multiLevelType w:val="hybridMultilevel"/>
    <w:lvl w:ilvl="0">
      <w:lvlJc w:val="left"/>
      <w:lvlText w:val="•"/>
      <w:numFmt w:val="bullet"/>
      <w:start w:val="1"/>
    </w:lvl>
  </w:abstractNum>
  <w:abstractNum w:abstractNumId="53">
    <w:nsid w:val="30AADFDA"/>
    <w:multiLevelType w:val="hybridMultilevel"/>
    <w:lvl w:ilvl="0">
      <w:lvlJc w:val="left"/>
      <w:lvlText w:val="•"/>
      <w:numFmt w:val="bullet"/>
      <w:start w:val="1"/>
    </w:lvl>
  </w:abstractNum>
  <w:abstractNum w:abstractNumId="54">
    <w:nsid w:val="30EADA61"/>
    <w:multiLevelType w:val="hybridMultilevel"/>
    <w:lvl w:ilvl="0">
      <w:lvlJc w:val="left"/>
      <w:lvlText w:val="•"/>
      <w:numFmt w:val="bullet"/>
      <w:start w:val="1"/>
    </w:lvl>
  </w:abstractNum>
  <w:abstractNum w:abstractNumId="55">
    <w:nsid w:val="27179C0B"/>
    <w:multiLevelType w:val="hybridMultilevel"/>
    <w:lvl w:ilvl="0">
      <w:lvlJc w:val="left"/>
      <w:lvlText w:val="•"/>
      <w:numFmt w:val="bullet"/>
      <w:start w:val="1"/>
    </w:lvl>
  </w:abstractNum>
  <w:abstractNum w:abstractNumId="56">
    <w:nsid w:val="5E636063"/>
    <w:multiLevelType w:val="hybridMultilevel"/>
    <w:lvl w:ilvl="0">
      <w:lvlJc w:val="left"/>
      <w:lvlText w:val="•"/>
      <w:numFmt w:val="bullet"/>
      <w:start w:val="1"/>
    </w:lvl>
  </w:abstractNum>
  <w:abstractNum w:abstractNumId="57">
    <w:nsid w:val="215641AF"/>
    <w:multiLevelType w:val="hybridMultilevel"/>
    <w:lvl w:ilvl="0">
      <w:lvlJc w:val="left"/>
      <w:lvlText w:val="(%1)"/>
      <w:numFmt w:val="decimal"/>
      <w:start w:val="1"/>
    </w:lvl>
  </w:abstractNum>
  <w:abstractNum w:abstractNumId="58">
    <w:nsid w:val="53280662"/>
    <w:multiLevelType w:val="hybridMultilevel"/>
    <w:lvl w:ilvl="0">
      <w:lvlJc w:val="left"/>
      <w:lvlText w:val="(%1)"/>
      <w:numFmt w:val="decimal"/>
      <w:start w:val="3"/>
    </w:lvl>
  </w:abstractNum>
  <w:abstractNum w:abstractNumId="59">
    <w:nsid w:val="46B24DBC"/>
    <w:multiLevelType w:val="hybridMultilevel"/>
    <w:lvl w:ilvl="0">
      <w:lvlJc w:val="left"/>
      <w:lvlText w:val="•"/>
      <w:numFmt w:val="bullet"/>
      <w:start w:val="1"/>
    </w:lvl>
  </w:abstractNum>
  <w:abstractNum w:abstractNumId="60">
    <w:nsid w:val="75B52783"/>
    <w:multiLevelType w:val="hybridMultilevel"/>
    <w:lvl w:ilvl="0">
      <w:lvlJc w:val="left"/>
      <w:lvlText w:val="(%1)"/>
      <w:numFmt w:val="decimal"/>
      <w:start w:val="1"/>
    </w:lvl>
  </w:abstractNum>
  <w:abstractNum w:abstractNumId="61">
    <w:nsid w:val="57CE66B4"/>
    <w:multiLevelType w:val="hybridMultilevel"/>
    <w:lvl w:ilvl="0">
      <w:lvlJc w:val="left"/>
      <w:lvlText w:val="(%1)"/>
      <w:numFmt w:val="decimal"/>
      <w:start w:val="3"/>
    </w:lvl>
  </w:abstractNum>
  <w:abstractNum w:abstractNumId="62">
    <w:nsid w:val="67A70B69"/>
    <w:multiLevelType w:val="hybridMultilevel"/>
    <w:lvl w:ilvl="0">
      <w:lvlJc w:val="left"/>
      <w:lvlText w:val="(%1)"/>
      <w:numFmt w:val="decimal"/>
      <w:start w:val="1"/>
    </w:lvl>
  </w:abstractNum>
  <w:abstractNum w:abstractNumId="63">
    <w:nsid w:val="5953172F"/>
    <w:multiLevelType w:val="hybridMultilevel"/>
    <w:lvl w:ilvl="0">
      <w:lvlJc w:val="left"/>
      <w:lvlText w:val="•"/>
      <w:numFmt w:val="bullet"/>
      <w:start w:val="1"/>
    </w:lvl>
  </w:abstractNum>
  <w:abstractNum w:abstractNumId="64">
    <w:nsid w:val="27EDFE3A"/>
    <w:multiLevelType w:val="hybridMultilevel"/>
    <w:lvl w:ilvl="0">
      <w:lvlJc w:val="left"/>
      <w:lvlText w:val="(%1)"/>
      <w:numFmt w:val="decimal"/>
      <w:start w:val="1"/>
    </w:lvl>
  </w:abstractNum>
  <w:abstractNum w:abstractNumId="65">
    <w:nsid w:val="52AC7DFF"/>
    <w:multiLevelType w:val="hybridMultilevel"/>
    <w:lvl w:ilvl="0">
      <w:lvlJc w:val="left"/>
      <w:lvlText w:val="(%1)"/>
      <w:numFmt w:val="decimal"/>
      <w:start w:val="1"/>
    </w:lvl>
  </w:abstractNum>
  <w:abstractNum w:abstractNumId="66">
    <w:nsid w:val="C4C3AF"/>
    <w:multiLevelType w:val="hybridMultilevel"/>
    <w:lvl w:ilvl="0">
      <w:lvlJc w:val="left"/>
      <w:lvlText w:val="•"/>
      <w:numFmt w:val="bullet"/>
      <w:start w:val="1"/>
    </w:lvl>
  </w:abstractNum>
  <w:abstractNum w:abstractNumId="67">
    <w:nsid w:val="44380727"/>
    <w:multiLevelType w:val="hybridMultilevel"/>
    <w:lvl w:ilvl="0">
      <w:lvlJc w:val="left"/>
      <w:lvlText w:val="•"/>
      <w:numFmt w:val="bullet"/>
      <w:start w:val="1"/>
    </w:lvl>
  </w:abstractNum>
  <w:abstractNum w:abstractNumId="68">
    <w:nsid w:val="6C053B16"/>
    <w:multiLevelType w:val="hybridMultilevel"/>
    <w:lvl w:ilvl="0">
      <w:lvlJc w:val="left"/>
      <w:lvlText w:val="•"/>
      <w:numFmt w:val="bullet"/>
      <w:start w:val="1"/>
    </w:lvl>
  </w:abstractNum>
  <w:abstractNum w:abstractNumId="69">
    <w:nsid w:val="4F294393"/>
    <w:multiLevelType w:val="hybridMultilevel"/>
    <w:lvl w:ilvl="0">
      <w:lvlJc w:val="left"/>
      <w:lvlText w:val="•"/>
      <w:numFmt w:val="bullet"/>
      <w:start w:val="1"/>
    </w:lvl>
  </w:abstractNum>
  <w:abstractNum w:abstractNumId="70">
    <w:nsid w:val="5243BFAC"/>
    <w:multiLevelType w:val="hybridMultilevel"/>
    <w:lvl w:ilvl="0">
      <w:lvlJc w:val="left"/>
      <w:lvlText w:val="•"/>
      <w:numFmt w:val="bullet"/>
      <w:start w:val="1"/>
    </w:lvl>
  </w:abstractNum>
  <w:abstractNum w:abstractNumId="71">
    <w:nsid w:val="425EB207"/>
    <w:multiLevelType w:val="hybridMultilevel"/>
    <w:lvl w:ilvl="0">
      <w:lvlJc w:val="left"/>
      <w:lvlText w:val="*"/>
      <w:numFmt w:val="bullet"/>
      <w:start w:val="1"/>
    </w:lvl>
  </w:abstractNum>
  <w:abstractNum w:abstractNumId="72">
    <w:nsid w:val="334A6F1F"/>
    <w:multiLevelType w:val="hybridMultilevel"/>
    <w:lvl w:ilvl="0">
      <w:lvlJc w:val="left"/>
      <w:lvlText w:val="(%1)"/>
      <w:numFmt w:val="decimal"/>
      <w:start w:val="1"/>
    </w:lvl>
  </w:abstractNum>
  <w:abstractNum w:abstractNumId="73">
    <w:nsid w:val="2E5B12B8"/>
    <w:multiLevelType w:val="hybridMultilevel"/>
    <w:lvl w:ilvl="0">
      <w:lvlJc w:val="left"/>
      <w:lvlText w:val="•"/>
      <w:numFmt w:val="bullet"/>
      <w:start w:val="1"/>
    </w:lvl>
  </w:abstractNum>
  <w:abstractNum w:abstractNumId="74">
    <w:nsid w:val="5C03D76D"/>
    <w:multiLevelType w:val="hybridMultilevel"/>
    <w:lvl w:ilvl="0">
      <w:lvlJc w:val="left"/>
      <w:lvlText w:val="•"/>
      <w:numFmt w:val="bullet"/>
      <w:start w:val="1"/>
    </w:lvl>
  </w:abstractNum>
  <w:abstractNum w:abstractNumId="75">
    <w:nsid w:val="66A48D11"/>
    <w:multiLevelType w:val="hybridMultilevel"/>
    <w:lvl w:ilvl="0">
      <w:lvlJc w:val="left"/>
      <w:lvlText w:val="•"/>
      <w:numFmt w:val="bullet"/>
      <w:start w:val="1"/>
    </w:lvl>
  </w:abstractNum>
  <w:abstractNum w:abstractNumId="76">
    <w:nsid w:val="56C28E34"/>
    <w:multiLevelType w:val="hybridMultilevel"/>
    <w:lvl w:ilvl="0">
      <w:lvlJc w:val="left"/>
      <w:lvlText w:val="•"/>
      <w:numFmt w:val="bullet"/>
      <w:start w:val="1"/>
    </w:lvl>
  </w:abstractNum>
  <w:abstractNum w:abstractNumId="77">
    <w:nsid w:val="13916F2D"/>
    <w:multiLevelType w:val="hybridMultilevel"/>
    <w:lvl w:ilvl="0">
      <w:lvlJc w:val="left"/>
      <w:lvlText w:val="•"/>
      <w:numFmt w:val="bullet"/>
      <w:start w:val="1"/>
    </w:lvl>
  </w:abstractNum>
  <w:abstractNum w:abstractNumId="78">
    <w:nsid w:val="435D38D"/>
    <w:multiLevelType w:val="hybridMultilevel"/>
    <w:lvl w:ilvl="0">
      <w:lvlJc w:val="left"/>
      <w:lvlText w:val="•"/>
      <w:numFmt w:val="bullet"/>
      <w:start w:val="1"/>
    </w:lvl>
  </w:abstractNum>
  <w:abstractNum w:abstractNumId="79">
    <w:nsid w:val="822C0EF"/>
    <w:multiLevelType w:val="hybridMultilevel"/>
    <w:lvl w:ilvl="0">
      <w:lvlJc w:val="left"/>
      <w:lvlText w:val="•"/>
      <w:numFmt w:val="bullet"/>
      <w:start w:val="1"/>
    </w:lvl>
  </w:abstractNum>
  <w:abstractNum w:abstractNumId="80">
    <w:nsid w:val="57C5BB4F"/>
    <w:multiLevelType w:val="hybridMultilevel"/>
    <w:lvl w:ilvl="0">
      <w:lvlJc w:val="left"/>
      <w:lvlText w:val="•"/>
      <w:numFmt w:val="bullet"/>
      <w:start w:val="1"/>
    </w:lvl>
  </w:abstractNum>
  <w:abstractNum w:abstractNumId="81">
    <w:nsid w:val="1803D089"/>
    <w:multiLevelType w:val="hybridMultilevel"/>
    <w:lvl w:ilvl="0">
      <w:lvlJc w:val="left"/>
      <w:lvlText w:val="•"/>
      <w:numFmt w:val="bullet"/>
      <w:start w:val="1"/>
    </w:lvl>
  </w:abstractNum>
  <w:abstractNum w:abstractNumId="82">
    <w:nsid w:val="4F3A06D4"/>
    <w:multiLevelType w:val="hybridMultilevel"/>
    <w:lvl w:ilvl="0">
      <w:lvlJc w:val="left"/>
      <w:lvlText w:val="•"/>
      <w:numFmt w:val="bullet"/>
      <w:start w:val="1"/>
    </w:lvl>
  </w:abstractNum>
  <w:abstractNum w:abstractNumId="83">
    <w:nsid w:val="59A377B6"/>
    <w:multiLevelType w:val="hybridMultilevel"/>
    <w:lvl w:ilvl="0">
      <w:lvlJc w:val="left"/>
      <w:lvlText w:val="•"/>
      <w:numFmt w:val="bullet"/>
      <w:start w:val="1"/>
    </w:lvl>
  </w:abstractNum>
  <w:abstractNum w:abstractNumId="84">
    <w:nsid w:val="48AEB063"/>
    <w:multiLevelType w:val="hybridMultilevel"/>
    <w:lvl w:ilvl="0">
      <w:lvlJc w:val="left"/>
      <w:lvlText w:val="•"/>
      <w:numFmt w:val="bullet"/>
      <w:start w:val="1"/>
    </w:lvl>
  </w:abstractNum>
  <w:abstractNum w:abstractNumId="85">
    <w:nsid w:val="24E135"/>
    <w:multiLevelType w:val="hybridMultilevel"/>
    <w:lvl w:ilvl="0">
      <w:lvlJc w:val="left"/>
      <w:lvlText w:val="•"/>
      <w:numFmt w:val="bullet"/>
      <w:start w:val="1"/>
    </w:lvl>
  </w:abstractNum>
  <w:abstractNum w:abstractNumId="86">
    <w:nsid w:val="BB13C1"/>
    <w:multiLevelType w:val="hybridMultilevel"/>
    <w:lvl w:ilvl="0">
      <w:lvlJc w:val="left"/>
      <w:lvlText w:val="•"/>
      <w:numFmt w:val="bullet"/>
      <w:start w:val="1"/>
    </w:lvl>
  </w:abstractNum>
  <w:abstractNum w:abstractNumId="87">
    <w:nsid w:val="271210C7"/>
    <w:multiLevelType w:val="hybridMultilevel"/>
    <w:lvl w:ilvl="0">
      <w:lvlJc w:val="left"/>
      <w:lvlText w:val="•"/>
      <w:numFmt w:val="bullet"/>
      <w:start w:val="1"/>
    </w:lvl>
  </w:abstractNum>
  <w:abstractNum w:abstractNumId="88">
    <w:nsid w:val="217B22E4"/>
    <w:multiLevelType w:val="hybridMultilevel"/>
    <w:lvl w:ilvl="0">
      <w:lvlJc w:val="left"/>
      <w:lvlText w:val="•"/>
      <w:numFmt w:val="bullet"/>
      <w:start w:val="1"/>
    </w:lvl>
  </w:abstractNum>
  <w:abstractNum w:abstractNumId="89">
    <w:nsid w:val="53E31A24"/>
    <w:multiLevelType w:val="hybridMultilevel"/>
    <w:lvl w:ilvl="0">
      <w:lvlJc w:val="left"/>
      <w:lvlText w:val="•"/>
      <w:numFmt w:val="bullet"/>
      <w:start w:val="1"/>
    </w:lvl>
  </w:abstractNum>
  <w:abstractNum w:abstractNumId="90">
    <w:nsid w:val="6DC45E83"/>
    <w:multiLevelType w:val="hybridMultilevel"/>
    <w:lvl w:ilvl="0">
      <w:lvlJc w:val="left"/>
      <w:lvlText w:val="(%1)"/>
      <w:numFmt w:val="lowerLetter"/>
      <w:start w:val="1"/>
    </w:lvl>
  </w:abstractNum>
  <w:abstractNum w:abstractNumId="91">
    <w:nsid w:val="17304A67"/>
    <w:multiLevelType w:val="hybridMultilevel"/>
    <w:lvl w:ilvl="0">
      <w:lvlJc w:val="left"/>
      <w:lvlText w:val="•"/>
      <w:numFmt w:val="bullet"/>
      <w:start w:val="1"/>
    </w:lvl>
  </w:abstractNum>
  <w:abstractNum w:abstractNumId="92">
    <w:nsid w:val="2BB180D8"/>
    <w:multiLevelType w:val="hybridMultilevel"/>
    <w:lvl w:ilvl="0">
      <w:lvlJc w:val="left"/>
      <w:lvlText w:val="%1."/>
      <w:numFmt w:val="decimal"/>
      <w:start w:val="6"/>
    </w:lvl>
  </w:abstractNum>
  <w:abstractNum w:abstractNumId="93">
    <w:nsid w:val="556B69ED"/>
    <w:multiLevelType w:val="hybridMultilevel"/>
    <w:lvl w:ilvl="0">
      <w:lvlJc w:val="left"/>
      <w:lvlText w:val="(%1)"/>
      <w:numFmt w:val="upperLetter"/>
      <w:start w:val="1"/>
    </w:lvl>
  </w:abstractNum>
  <w:abstractNum w:abstractNumId="94">
    <w:nsid w:val="70836196"/>
    <w:multiLevelType w:val="hybridMultilevel"/>
    <w:lvl w:ilvl="0">
      <w:lvlJc w:val="left"/>
      <w:lvlText w:val="*"/>
      <w:numFmt w:val="bullet"/>
      <w:start w:val="1"/>
    </w:lvl>
  </w:abstractNum>
  <w:abstractNum w:abstractNumId="95">
    <w:nsid w:val="539F7F12"/>
    <w:multiLevelType w:val="hybridMultilevel"/>
    <w:lvl w:ilvl="0">
      <w:lvlJc w:val="left"/>
      <w:lvlText w:val="•"/>
      <w:numFmt w:val="bullet"/>
      <w:start w:val="1"/>
    </w:lvl>
  </w:abstractNum>
  <w:abstractNum w:abstractNumId="96">
    <w:nsid w:val="2817E7EC"/>
    <w:multiLevelType w:val="hybridMultilevel"/>
    <w:lvl w:ilvl="0">
      <w:lvlJc w:val="left"/>
      <w:lvlText w:val="•"/>
      <w:numFmt w:val="bullet"/>
      <w:start w:val="1"/>
    </w:lvl>
  </w:abstractNum>
  <w:abstractNum w:abstractNumId="97">
    <w:nsid w:val="71482545"/>
    <w:multiLevelType w:val="hybridMultilevel"/>
    <w:lvl w:ilvl="0">
      <w:lvlJc w:val="left"/>
      <w:lvlText w:val="*"/>
      <w:numFmt w:val="bullet"/>
      <w:start w:val="1"/>
    </w:lvl>
  </w:abstractNum>
  <w:abstractNum w:abstractNumId="98">
    <w:nsid w:val="17D78639"/>
    <w:multiLevelType w:val="hybridMultilevel"/>
    <w:lvl w:ilvl="0">
      <w:lvlJc w:val="left"/>
      <w:lvlText w:val="*"/>
      <w:numFmt w:val="bullet"/>
      <w:start w:val="1"/>
    </w:lvl>
  </w:abstractNum>
  <w:abstractNum w:abstractNumId="99">
    <w:nsid w:val="141D2302"/>
    <w:multiLevelType w:val="hybridMultilevel"/>
    <w:lvl w:ilvl="0">
      <w:lvlJc w:val="left"/>
      <w:lvlText w:val="•"/>
      <w:numFmt w:val="bullet"/>
      <w:start w:val="1"/>
    </w:lvl>
  </w:abstractNum>
  <w:abstractNum w:abstractNumId="100">
    <w:nsid w:val="407168D8"/>
    <w:multiLevelType w:val="hybridMultilevel"/>
    <w:lvl w:ilvl="0">
      <w:lvlJc w:val="left"/>
      <w:lvlText w:val="$"/>
      <w:numFmt w:val="bullet"/>
      <w:start w:val="1"/>
    </w:lvl>
  </w:abstractNum>
  <w:abstractNum w:abstractNumId="101">
    <w:nsid w:val="6A1B45E5"/>
    <w:multiLevelType w:val="hybridMultilevel"/>
    <w:lvl w:ilvl="0">
      <w:lvlJc w:val="left"/>
      <w:lvlText w:val="•"/>
      <w:numFmt w:val="bullet"/>
      <w:start w:val="1"/>
    </w:lvl>
  </w:abstractNum>
  <w:abstractNum w:abstractNumId="102">
    <w:nsid w:val="567BD50A"/>
    <w:multiLevelType w:val="hybridMultilevel"/>
    <w:lvl w:ilvl="0">
      <w:lvlJc w:val="left"/>
      <w:lvlText w:val="(%1)"/>
      <w:numFmt w:val="lowerLetter"/>
      <w:start w:val="1"/>
    </w:lvl>
  </w:abstractNum>
  <w:abstractNum w:abstractNumId="103">
    <w:nsid w:val="73BBD7F8"/>
    <w:multiLevelType w:val="hybridMultilevel"/>
    <w:lvl w:ilvl="0">
      <w:lvlJc w:val="left"/>
      <w:lvlText w:val="*"/>
      <w:numFmt w:val="bullet"/>
      <w:start w:val="1"/>
    </w:lvl>
  </w:abstractNum>
  <w:abstractNum w:abstractNumId="104">
    <w:nsid w:val="1876589D"/>
    <w:multiLevelType w:val="hybridMultilevel"/>
    <w:lvl w:ilvl="0">
      <w:lvlJc w:val="left"/>
      <w:lvlText w:val="#"/>
      <w:numFmt w:val="bullet"/>
      <w:start w:val="1"/>
    </w:lvl>
  </w:abstractNum>
  <w:abstractNum w:abstractNumId="105">
    <w:nsid w:val="327FAC77"/>
    <w:multiLevelType w:val="hybridMultilevel"/>
    <w:lvl w:ilvl="0">
      <w:lvlJc w:val="left"/>
      <w:lvlText w:val="†"/>
      <w:numFmt w:val="bullet"/>
      <w:start w:val="1"/>
    </w:lvl>
  </w:abstractNum>
  <w:abstractNum w:abstractNumId="106">
    <w:nsid w:val="5A606509"/>
    <w:multiLevelType w:val="hybridMultilevel"/>
    <w:lvl w:ilvl="0">
      <w:lvlJc w:val="left"/>
      <w:lvlText w:val="(%1)"/>
      <w:numFmt w:val="lowerLetter"/>
      <w:start w:val="2"/>
    </w:lvl>
  </w:abstractNum>
  <w:abstractNum w:abstractNumId="107">
    <w:nsid w:val="6F38E6D1"/>
    <w:multiLevelType w:val="hybridMultilevel"/>
    <w:lvl w:ilvl="0">
      <w:lvlJc w:val="left"/>
      <w:lvlText w:val="(%1)"/>
      <w:numFmt w:val="decimal"/>
      <w:start w:val="1"/>
    </w:lvl>
  </w:abstractNum>
  <w:abstractNum w:abstractNumId="108">
    <w:nsid w:val="46111BA5"/>
    <w:multiLevelType w:val="hybridMultilevel"/>
    <w:lvl w:ilvl="0">
      <w:lvlJc w:val="left"/>
      <w:lvlText w:val="%1."/>
      <w:numFmt w:val="decimal"/>
      <w:start w:val="1"/>
    </w:lvl>
    <w:lvl w:ilvl="1">
      <w:lvlJc w:val="left"/>
      <w:lvlText w:val="(%2)"/>
      <w:numFmt w:val="lowerLetter"/>
      <w:start w:val="1"/>
    </w:lvl>
  </w:abstractNum>
  <w:abstractNum w:abstractNumId="109">
    <w:nsid w:val="5E963896"/>
    <w:multiLevelType w:val="hybridMultilevel"/>
    <w:lvl w:ilvl="0">
      <w:lvlJc w:val="left"/>
      <w:lvlText w:val="%1."/>
      <w:numFmt w:val="decimal"/>
      <w:start w:val="1"/>
    </w:lvl>
    <w:lvl w:ilvl="1">
      <w:lvlJc w:val="left"/>
      <w:lvlText w:val="(%2)"/>
      <w:numFmt w:val="lowerLetter"/>
      <w:start w:val="1"/>
    </w:lvl>
  </w:abstractNum>
  <w:abstractNum w:abstractNumId="110">
    <w:nsid w:val="775BA7C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11">
    <w:nsid w:val="1DD6D6F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112">
    <w:nsid w:val="769A091F"/>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113">
    <w:nsid w:val="4695AE9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14">
    <w:nsid w:val="777A4EAA"/>
    <w:multiLevelType w:val="hybridMultilevel"/>
    <w:lvl w:ilvl="0">
      <w:lvlJc w:val="left"/>
      <w:lvlText w:val="(%1)"/>
      <w:numFmt w:val="lowerLetter"/>
      <w:start w:val="61"/>
    </w:lvl>
    <w:lvl w:ilvl="1">
      <w:lvlJc w:val="left"/>
      <w:lvlText w:val="%2."/>
      <w:numFmt w:val="decimal"/>
      <w:start w:val="2"/>
    </w:lvl>
    <w:lvl w:ilvl="2">
      <w:lvlJc w:val="left"/>
      <w:lvlText w:val="(%3)"/>
      <w:numFmt w:val="lowerLetter"/>
      <w:start w:val="5"/>
    </w:lvl>
    <w:lvl w:ilvl="3">
      <w:lvlJc w:val="left"/>
      <w:lvlText w:val="%4"/>
      <w:numFmt w:val="lowerRoman"/>
      <w:start w:val="1"/>
    </w:lvl>
  </w:abstractNum>
  <w:abstractNum w:abstractNumId="115">
    <w:nsid w:val="3F48B98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16">
    <w:nsid w:val="46BA8F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7">
    <w:nsid w:val="7835626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18">
    <w:nsid w:val="665ACA4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19">
    <w:nsid w:val="6835B2AE"/>
    <w:multiLevelType w:val="hybridMultilevel"/>
    <w:lvl w:ilvl="0">
      <w:lvlJc w:val="left"/>
      <w:lvlText w:val="%1"/>
      <w:numFmt w:val="decimal"/>
      <w:start w:val="1"/>
    </w:lvl>
    <w:lvl w:ilvl="1">
      <w:lvlJc w:val="left"/>
      <w:lvlText w:val="(%2)"/>
      <w:numFmt w:val="lowerLetter"/>
      <w:start w:val="3"/>
    </w:lvl>
  </w:abstractNum>
  <w:abstractNum w:abstractNumId="120">
    <w:nsid w:val="4C187C90"/>
    <w:multiLevelType w:val="hybridMultilevel"/>
    <w:lvl w:ilvl="0">
      <w:lvlJc w:val="left"/>
      <w:lvlText w:val="%1."/>
      <w:numFmt w:val="decimal"/>
      <w:start w:val="6"/>
    </w:lvl>
    <w:lvl w:ilvl="1">
      <w:lvlJc w:val="left"/>
      <w:lvlText w:val="(%2)"/>
      <w:numFmt w:val="lowerLetter"/>
      <w:start w:val="1"/>
    </w:lvl>
  </w:abstractNum>
  <w:abstractNum w:abstractNumId="121">
    <w:nsid w:val="541F28CD"/>
    <w:multiLevelType w:val="hybridMultilevel"/>
    <w:lvl w:ilvl="0">
      <w:lvlJc w:val="left"/>
      <w:lvlText w:val="(%1)"/>
      <w:numFmt w:val="lowerLetter"/>
      <w:start w:val="5"/>
    </w:lvl>
    <w:lvl w:ilvl="1">
      <w:lvlJc w:val="left"/>
      <w:lvlText w:val="(%2)"/>
      <w:numFmt w:val="lowerRoman"/>
      <w:start w:val="1"/>
    </w:lvl>
  </w:abstractNum>
  <w:abstractNum w:abstractNumId="122">
    <w:nsid w:val="7F65FD16"/>
    <w:multiLevelType w:val="hybridMultilevel"/>
    <w:lvl w:ilvl="0">
      <w:lvlJc w:val="left"/>
      <w:lvlText w:val="%1."/>
      <w:numFmt w:val="decimal"/>
      <w:start w:val="7"/>
    </w:lvl>
    <w:lvl w:ilvl="1">
      <w:lvlJc w:val="left"/>
      <w:lvlText w:val="(%2)"/>
      <w:numFmt w:val="lowerLetter"/>
      <w:start w:val="1"/>
    </w:lvl>
  </w:abstractNum>
  <w:abstractNum w:abstractNumId="123">
    <w:nsid w:val="77C9FD68"/>
    <w:multiLevelType w:val="hybridMultilevel"/>
    <w:lvl w:ilvl="0">
      <w:lvlJc w:val="left"/>
      <w:lvlText w:val="%1"/>
      <w:numFmt w:val="decimal"/>
      <w:start w:val="1"/>
    </w:lvl>
    <w:lvl w:ilvl="1">
      <w:lvlJc w:val="left"/>
      <w:lvlText w:val="(%2)"/>
      <w:numFmt w:val="lowerLetter"/>
      <w:start w:val="2"/>
    </w:lvl>
  </w:abstractNum>
  <w:abstractNum w:abstractNumId="124">
    <w:nsid w:val="298A92BA"/>
    <w:multiLevelType w:val="hybridMultilevel"/>
    <w:lvl w:ilvl="0">
      <w:lvlJc w:val="left"/>
      <w:lvlText w:val="%1."/>
      <w:numFmt w:val="decimal"/>
      <w:start w:val="10"/>
    </w:lvl>
    <w:lvl w:ilvl="1">
      <w:lvlJc w:val="left"/>
      <w:lvlText w:val="%2"/>
      <w:numFmt w:val="lowerLetter"/>
      <w:start w:val="1"/>
    </w:lvl>
  </w:abstractNum>
  <w:abstractNum w:abstractNumId="125">
    <w:nsid w:val="6FE95EAC"/>
    <w:multiLevelType w:val="hybridMultilevel"/>
    <w:lvl w:ilvl="0">
      <w:lvlJc w:val="left"/>
      <w:lvlText w:val="%1"/>
      <w:numFmt w:val="lowerLetter"/>
      <w:start w:val="1"/>
    </w:lvl>
    <w:lvl w:ilvl="1">
      <w:lvlJc w:val="left"/>
      <w:lvlText w:val="%2."/>
      <w:numFmt w:val="decimal"/>
      <w:start w:val="13"/>
    </w:lvl>
  </w:abstractNum>
  <w:abstractNum w:abstractNumId="126">
    <w:nsid w:val="4B697C7A"/>
    <w:multiLevelType w:val="hybridMultilevel"/>
    <w:lvl w:ilvl="0">
      <w:lvlJc w:val="left"/>
      <w:lvlText w:val="(%1)"/>
      <w:numFmt w:val="lowerLetter"/>
      <w:start w:val="1"/>
    </w:lvl>
    <w:lvl w:ilvl="1">
      <w:lvlJc w:val="left"/>
      <w:lvlText w:val="%2"/>
      <w:numFmt w:val="decimal"/>
      <w:start w:val="1"/>
    </w:lvl>
  </w:abstractNum>
  <w:abstractNum w:abstractNumId="127">
    <w:nsid w:val="51A27AA6"/>
    <w:multiLevelType w:val="hybridMultilevel"/>
    <w:lvl w:ilvl="0">
      <w:lvlJc w:val="left"/>
      <w:lvlText w:val="%1"/>
      <w:numFmt w:val="decimal"/>
      <w:start w:val="180"/>
    </w:lvl>
  </w:abstractNum>
  <w:abstractNum w:abstractNumId="128">
    <w:nsid w:val="613183F2"/>
    <w:multiLevelType w:val="hybridMultilevel"/>
    <w:lvl w:ilvl="0">
      <w:lvlJc w:val="left"/>
      <w:lvlText w:val="%1."/>
      <w:numFmt w:val="decimal"/>
      <w:start w:val="18"/>
    </w:lvl>
  </w:abstractNum>
  <w:abstractNum w:abstractNumId="129">
    <w:nsid w:val="634102B4"/>
    <w:multiLevelType w:val="hybridMultilevel"/>
    <w:lvl w:ilvl="0">
      <w:lvlJc w:val="left"/>
      <w:lvlText w:val="%1."/>
      <w:numFmt w:val="decimal"/>
      <w:start w:val="19"/>
    </w:lvl>
  </w:abstractNum>
  <w:abstractNum w:abstractNumId="130">
    <w:nsid w:val="65BF9DA8"/>
    <w:multiLevelType w:val="hybridMultilevel"/>
    <w:lvl w:ilvl="0">
      <w:lvlJc w:val="left"/>
      <w:lvlText w:val="*"/>
      <w:numFmt w:val="bullet"/>
      <w:start w:val="1"/>
    </w:lvl>
  </w:abstractNum>
  <w:abstractNum w:abstractNumId="131">
    <w:nsid w:val="21A2ECCA"/>
    <w:multiLevelType w:val="hybridMultilevel"/>
    <w:lvl w:ilvl="0">
      <w:lvlJc w:val="left"/>
      <w:lvlText w:val="**"/>
      <w:numFmt w:val="bullet"/>
      <w:start w:val="1"/>
    </w:lvl>
  </w:abstractNum>
  <w:abstractNum w:abstractNumId="132">
    <w:nsid w:val="4D5C4899"/>
    <w:multiLevelType w:val="hybridMultilevel"/>
    <w:lvl w:ilvl="0">
      <w:lvlJc w:val="left"/>
      <w:lvlText w:val="***"/>
      <w:numFmt w:val="bullet"/>
      <w:start w:val="1"/>
    </w:lvl>
  </w:abstractNum>
  <w:abstractNum w:abstractNumId="133">
    <w:nsid w:val="3C3B72B2"/>
    <w:multiLevelType w:val="hybridMultilevel"/>
    <w:lvl w:ilvl="0">
      <w:lvlJc w:val="left"/>
      <w:lvlText w:val="****"/>
      <w:numFmt w:val="bullet"/>
      <w:start w:val="1"/>
    </w:lvl>
  </w:abstractNum>
  <w:abstractNum w:abstractNumId="134">
    <w:nsid w:val="155EC4C2"/>
    <w:multiLevelType w:val="hybridMultilevel"/>
    <w:lvl w:ilvl="0">
      <w:lvlJc w:val="left"/>
      <w:lvlText w:val="*****"/>
      <w:numFmt w:val="bullet"/>
      <w:start w:val="1"/>
    </w:lvl>
  </w:abstractNum>
  <w:abstractNum w:abstractNumId="135">
    <w:nsid w:val="65D2A137"/>
    <w:multiLevelType w:val="hybridMultilevel"/>
    <w:lvl w:ilvl="0">
      <w:lvlJc w:val="left"/>
      <w:lvlText w:val="%1."/>
      <w:numFmt w:val="decimal"/>
      <w:start w:val="1"/>
    </w:lvl>
  </w:abstractNum>
  <w:abstractNum w:abstractNumId="136">
    <w:nsid w:val="6EBB1F2A"/>
    <w:multiLevelType w:val="hybridMultilevel"/>
    <w:lvl w:ilvl="0">
      <w:lvlJc w:val="left"/>
      <w:lvlText w:val="%1."/>
      <w:numFmt w:val="decimal"/>
      <w:start w:val="2"/>
    </w:lvl>
  </w:abstractNum>
  <w:abstractNum w:abstractNumId="137">
    <w:nsid w:val="6FBF29CB"/>
    <w:multiLevelType w:val="hybridMultilevel"/>
    <w:lvl w:ilvl="0">
      <w:lvlJc w:val="left"/>
      <w:lvlText w:val="%1."/>
      <w:numFmt w:val="decimal"/>
      <w:start w:val="1"/>
    </w:lvl>
  </w:abstractNum>
  <w:abstractNum w:abstractNumId="138">
    <w:nsid w:val="550B8808"/>
    <w:multiLevelType w:val="hybridMultilevel"/>
    <w:lvl w:ilvl="0">
      <w:lvlJc w:val="left"/>
      <w:lvlText w:val="%1."/>
      <w:numFmt w:val="decimal"/>
      <w:start w:val="2"/>
    </w:lvl>
  </w:abstractNum>
  <w:abstractNum w:abstractNumId="139">
    <w:nsid w:val="34CC3ACF"/>
    <w:multiLevelType w:val="hybridMultilevel"/>
    <w:lvl w:ilvl="0">
      <w:lvlJc w:val="left"/>
      <w:lvlText w:val="%1."/>
      <w:numFmt w:val="decimal"/>
      <w:start w:val="5"/>
    </w:lvl>
  </w:abstractNum>
  <w:abstractNum w:abstractNumId="140">
    <w:nsid w:val="4E556261"/>
    <w:multiLevelType w:val="hybridMultilevel"/>
    <w:lvl w:ilvl="0">
      <w:lvlJc w:val="left"/>
      <w:lvlText w:val="(%1)"/>
      <w:numFmt w:val="lowerRoman"/>
      <w:start w:val="2"/>
    </w:lvl>
  </w:abstractNum>
  <w:abstractNum w:abstractNumId="141">
    <w:nsid w:val="4C672FC9"/>
    <w:multiLevelType w:val="hybridMultilevel"/>
    <w:lvl w:ilvl="0">
      <w:lvlJc w:val="left"/>
      <w:lvlText w:val="(%1)"/>
      <w:numFmt w:val="lowerLetter"/>
      <w:start w:val="1"/>
    </w:lvl>
    <w:lvl w:ilvl="1">
      <w:lvlJc w:val="left"/>
      <w:lvlText w:val="(%2)"/>
      <w:numFmt w:val="lowerRoman"/>
      <w:start w:val="1"/>
    </w:lvl>
  </w:abstractNum>
  <w:abstractNum w:abstractNumId="142">
    <w:nsid w:val="52A311C3"/>
    <w:multiLevelType w:val="hybridMultilevel"/>
    <w:lvl w:ilvl="0">
      <w:lvlJc w:val="left"/>
      <w:lvlText w:val="(%1)"/>
      <w:numFmt w:val="lowerLetter"/>
      <w:start w:val="3"/>
    </w:lvl>
  </w:abstractNum>
  <w:abstractNum w:abstractNumId="143">
    <w:nsid w:val="44EF6B80"/>
    <w:multiLevelType w:val="hybridMultilevel"/>
    <w:lvl w:ilvl="0">
      <w:lvlJc w:val="left"/>
      <w:lvlText w:val="%1"/>
      <w:numFmt w:val="lowerLetter"/>
      <w:start w:val="1"/>
    </w:lvl>
    <w:lvl w:ilvl="1">
      <w:lvlJc w:val="left"/>
      <w:lvlText w:val="(%2)"/>
      <w:numFmt w:val="lowerLetter"/>
      <w:start w:val="4"/>
    </w:lvl>
  </w:abstractNum>
  <w:abstractNum w:abstractNumId="144">
    <w:nsid w:val="12FCDE5E"/>
    <w:multiLevelType w:val="hybridMultilevel"/>
    <w:lvl w:ilvl="0">
      <w:lvlJc w:val="left"/>
      <w:lvlText w:val="(%1)"/>
      <w:numFmt w:val="lowerLetter"/>
      <w:start w:val="22"/>
    </w:lvl>
    <w:lvl w:ilvl="1">
      <w:lvlJc w:val="left"/>
      <w:lvlText w:val="%2"/>
      <w:numFmt w:val="lowerLetter"/>
      <w:start w:val="1"/>
    </w:lvl>
  </w:abstractNum>
  <w:abstractNum w:abstractNumId="145">
    <w:nsid w:val="4A1D606E"/>
    <w:multiLevelType w:val="hybridMultilevel"/>
    <w:lvl w:ilvl="0">
      <w:lvlJc w:val="left"/>
      <w:lvlText w:val="(%1)"/>
      <w:numFmt w:val="lowerLetter"/>
      <w:start w:val="1"/>
    </w:lvl>
  </w:abstractNum>
  <w:abstractNum w:abstractNumId="146">
    <w:nsid w:val="4382503"/>
    <w:multiLevelType w:val="hybridMultilevel"/>
    <w:lvl w:ilvl="0">
      <w:lvlJc w:val="left"/>
      <w:lvlText w:val="%1"/>
      <w:numFmt w:val="lowerLetter"/>
      <w:start w:val="1"/>
    </w:lvl>
    <w:lvl w:ilvl="1">
      <w:lvlJc w:val="left"/>
      <w:lvlText w:val="(%2)"/>
      <w:numFmt w:val="lowerLetter"/>
      <w:start w:val="2"/>
    </w:lvl>
  </w:abstractNum>
  <w:abstractNum w:abstractNumId="147">
    <w:nsid w:val="59B76E28"/>
    <w:multiLevelType w:val="hybridMultilevel"/>
    <w:lvl w:ilvl="0">
      <w:lvlJc w:val="left"/>
      <w:lvlText w:val="(%1)"/>
      <w:numFmt w:val="lowerLetter"/>
      <w:start w:val="9"/>
    </w:lvl>
    <w:lvl w:ilvl="1">
      <w:lvlJc w:val="left"/>
      <w:lvlText w:val="(%2)"/>
      <w:numFmt w:val="lowerLetter"/>
      <w:start w:val="3"/>
    </w:lvl>
  </w:abstractNum>
  <w:abstractNum w:abstractNumId="148">
    <w:nsid w:val="4252C2DA"/>
    <w:multiLevelType w:val="hybridMultilevel"/>
    <w:lvl w:ilvl="0">
      <w:lvlJc w:val="left"/>
      <w:lvlText w:val="(%1)"/>
      <w:numFmt w:val="lowerLetter"/>
      <w:start w:val="35"/>
    </w:lvl>
    <w:lvl w:ilvl="1">
      <w:lvlJc w:val="left"/>
      <w:lvlText w:val="(%2)"/>
      <w:numFmt w:val="lowerLetter"/>
      <w:start w:val="4"/>
    </w:lvl>
  </w:abstractNum>
  <w:abstractNum w:abstractNumId="149">
    <w:nsid w:val="6A92EF4C"/>
    <w:multiLevelType w:val="hybridMultilevel"/>
    <w:lvl w:ilvl="0">
      <w:lvlJc w:val="left"/>
      <w:lvlText w:val="(%1)"/>
      <w:numFmt w:val="lowerLetter"/>
      <w:start w:val="1"/>
    </w:lvl>
  </w:abstractNum>
  <w:abstractNum w:abstractNumId="150">
    <w:nsid w:val="41ED20D7"/>
    <w:multiLevelType w:val="hybridMultilevel"/>
    <w:lvl w:ilvl="0">
      <w:lvlJc w:val="left"/>
      <w:lvlText w:val="(%1)"/>
      <w:numFmt w:val="lowerLetter"/>
      <w:start w:val="2"/>
    </w:lvl>
    <w:lvl w:ilvl="1">
      <w:lvlJc w:val="left"/>
      <w:lvlText w:val="(%2)"/>
      <w:numFmt w:val="lowerLetter"/>
      <w:start w:val="9"/>
    </w:lvl>
  </w:abstractNum>
  <w:abstractNum w:abstractNumId="151">
    <w:nsid w:val="E6B3F6A"/>
    <w:multiLevelType w:val="hybridMultilevel"/>
    <w:lvl w:ilvl="0">
      <w:lvlJc w:val="left"/>
      <w:lvlText w:val="(%1)"/>
      <w:numFmt w:val="lowerRoman"/>
      <w:start w:val="2"/>
    </w:lvl>
  </w:abstractNum>
  <w:abstractNum w:abstractNumId="152">
    <w:nsid w:val="3EB21819"/>
    <w:multiLevelType w:val="hybridMultilevel"/>
    <w:lvl w:ilvl="0">
      <w:lvlJc w:val="left"/>
      <w:lvlText w:val="(%1)"/>
      <w:numFmt w:val="lowerLetter"/>
      <w:start w:val="6"/>
    </w:lvl>
  </w:abstractNum>
  <w:abstractNum w:abstractNumId="153">
    <w:nsid w:val="41531DED"/>
    <w:multiLevelType w:val="hybridMultilevel"/>
    <w:lvl w:ilvl="0">
      <w:lvlJc w:val="left"/>
      <w:lvlText w:val="(%1)"/>
      <w:numFmt w:val="lowerLetter"/>
      <w:start w:val="1"/>
    </w:lvl>
  </w:abstractNum>
  <w:abstractNum w:abstractNumId="154">
    <w:nsid w:val="6353CD2"/>
    <w:multiLevelType w:val="hybridMultilevel"/>
    <w:lvl w:ilvl="0">
      <w:lvlJc w:val="left"/>
      <w:lvlText w:val="(%1)"/>
      <w:numFmt w:val="lowerLetter"/>
      <w:start w:val="2"/>
    </w:lvl>
  </w:abstractNum>
  <w:abstractNum w:abstractNumId="155">
    <w:nsid w:val="683CAAD3"/>
    <w:multiLevelType w:val="hybridMultilevel"/>
    <w:lvl w:ilvl="0">
      <w:lvlJc w:val="left"/>
      <w:lvlText w:val="%1"/>
      <w:numFmt w:val="lowerLetter"/>
      <w:start w:val="1"/>
    </w:lvl>
    <w:lvl w:ilvl="1">
      <w:lvlJc w:val="left"/>
      <w:lvlText w:val="(%2)"/>
      <w:numFmt w:val="lowerLetter"/>
      <w:start w:val="1"/>
    </w:lvl>
  </w:abstractNum>
  <w:abstractNum w:abstractNumId="156">
    <w:nsid w:val="313C7C99"/>
    <w:multiLevelType w:val="hybridMultilevel"/>
    <w:lvl w:ilvl="0">
      <w:lvlJc w:val="left"/>
      <w:lvlText w:val="(%1)"/>
      <w:numFmt w:val="lowerLetter"/>
      <w:start w:val="35"/>
    </w:lvl>
    <w:lvl w:ilvl="1">
      <w:lvlJc w:val="left"/>
      <w:lvlText w:val="(%2)"/>
      <w:numFmt w:val="lowerLetter"/>
      <w:start w:val="3"/>
    </w:lvl>
  </w:abstractNum>
  <w:abstractNum w:abstractNumId="157">
    <w:nsid w:val="519EB94C"/>
    <w:multiLevelType w:val="hybridMultilevel"/>
    <w:lvl w:ilvl="0">
      <w:lvlJc w:val="left"/>
      <w:lvlText w:val="(%1)"/>
      <w:numFmt w:val="lowerLetter"/>
      <w:start w:val="4"/>
    </w:lvl>
  </w:abstractNum>
  <w:abstractNum w:abstractNumId="158">
    <w:nsid w:val="39DF2579"/>
    <w:multiLevelType w:val="hybridMultilevel"/>
    <w:lvl w:ilvl="0">
      <w:lvlJc w:val="left"/>
      <w:lvlText w:val="(%1)"/>
      <w:numFmt w:val="lowerLetter"/>
      <w:start w:val="1"/>
    </w:lvl>
  </w:abstractNum>
  <w:abstractNum w:abstractNumId="159">
    <w:nsid w:val="126E008B"/>
    <w:multiLevelType w:val="hybridMultilevel"/>
    <w:lvl w:ilvl="0">
      <w:lvlJc w:val="left"/>
      <w:lvlText w:val="(%1)"/>
      <w:numFmt w:val="lowerLetter"/>
      <w:start w:val="4"/>
    </w:lvl>
  </w:abstractNum>
  <w:abstractNum w:abstractNumId="160">
    <w:nsid w:val="34DFBC00"/>
    <w:multiLevelType w:val="hybridMultilevel"/>
    <w:lvl w:ilvl="0">
      <w:lvlJc w:val="left"/>
      <w:lvlText w:val="(%1)"/>
      <w:numFmt w:val="lowerLetter"/>
      <w:start w:val="1"/>
    </w:lvl>
  </w:abstractNum>
  <w:abstractNum w:abstractNumId="161">
    <w:nsid w:val="1F9EC322"/>
    <w:multiLevelType w:val="hybridMultilevel"/>
    <w:lvl w:ilvl="0">
      <w:lvlJc w:val="left"/>
      <w:lvlText w:val="(%1)"/>
      <w:numFmt w:val="lowerLetter"/>
      <w:start w:val="1"/>
    </w:lvl>
  </w:abstractNum>
  <w:abstractNum w:abstractNumId="162">
    <w:nsid w:val="3410ED56"/>
    <w:multiLevelType w:val="hybridMultilevel"/>
    <w:lvl w:ilvl="0">
      <w:lvlJc w:val="left"/>
      <w:lvlText w:val="(%1)"/>
      <w:numFmt w:val="lowerLetter"/>
      <w:start w:val="1"/>
    </w:lvl>
  </w:abstractNum>
  <w:abstractNum w:abstractNumId="163">
    <w:nsid w:val="23C049A"/>
    <w:multiLevelType w:val="hybridMultilevel"/>
    <w:lvl w:ilvl="0">
      <w:lvlJc w:val="left"/>
      <w:lvlText w:val="(%1)"/>
      <w:numFmt w:val="lowerLetter"/>
      <w:start w:val="2"/>
    </w:lvl>
  </w:abstractNum>
  <w:abstractNum w:abstractNumId="164">
    <w:nsid w:val="5BDA35D4"/>
    <w:multiLevelType w:val="hybridMultilevel"/>
    <w:lvl w:ilvl="0">
      <w:lvlJc w:val="left"/>
      <w:lvlText w:val="(%1)"/>
      <w:numFmt w:val="lowerLetter"/>
      <w:start w:val="1"/>
    </w:lvl>
  </w:abstractNum>
  <w:abstractNum w:abstractNumId="165">
    <w:nsid w:val="496FB218"/>
    <w:multiLevelType w:val="hybridMultilevel"/>
    <w:lvl w:ilvl="0">
      <w:lvlJc w:val="left"/>
      <w:lvlText w:val="(%1)"/>
      <w:numFmt w:val="lowerLetter"/>
      <w:start w:val="1"/>
    </w:lvl>
  </w:abstractNum>
  <w:abstractNum w:abstractNumId="166">
    <w:nsid w:val="680EA5D1"/>
    <w:multiLevelType w:val="hybridMultilevel"/>
    <w:lvl w:ilvl="0">
      <w:lvlJc w:val="left"/>
      <w:lvlText w:val="(%1)"/>
      <w:numFmt w:val="lowerLetter"/>
      <w:start w:val="1"/>
    </w:lvl>
    <w:lvl w:ilvl="1">
      <w:lvlJc w:val="left"/>
      <w:lvlText w:val="(%2)"/>
      <w:numFmt w:val="lowerRoman"/>
      <w:start w:val="1"/>
    </w:lvl>
  </w:abstractNum>
  <w:abstractNum w:abstractNumId="167">
    <w:nsid w:val="4A9554FE"/>
    <w:multiLevelType w:val="hybridMultilevel"/>
    <w:lvl w:ilvl="0">
      <w:lvlJc w:val="left"/>
      <w:lvlText w:val="(%1)"/>
      <w:numFmt w:val="lowerLetter"/>
      <w:start w:val="1"/>
    </w:lvl>
  </w:abstractNum>
  <w:abstractNum w:abstractNumId="168">
    <w:nsid w:val="392EDBE4"/>
    <w:multiLevelType w:val="hybridMultilevel"/>
    <w:lvl w:ilvl="0">
      <w:lvlJc w:val="left"/>
      <w:lvlText w:val="(%1)"/>
      <w:numFmt w:val="lowerLetter"/>
      <w:start w:val="2"/>
    </w:lvl>
  </w:abstractNum>
  <w:abstractNum w:abstractNumId="169">
    <w:nsid w:val="3D1A2D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0">
    <w:nsid w:val="7F618FCD"/>
    <w:multiLevelType w:val="hybridMultilevel"/>
    <w:lvl w:ilvl="0">
      <w:lvlJc w:val="left"/>
      <w:lvlText w:val="%1)"/>
      <w:numFmt w:val="lowerLetter"/>
      <w:start w:val="2"/>
    </w:lvl>
  </w:abstractNum>
  <w:abstractNum w:abstractNumId="171">
    <w:nsid w:val="7843E45"/>
    <w:multiLevelType w:val="hybridMultilevel"/>
    <w:lvl w:ilvl="0">
      <w:lvlJc w:val="left"/>
      <w:lvlText w:val="%1."/>
      <w:numFmt w:val="decimal"/>
      <w:start w:val="3"/>
    </w:lvl>
  </w:abstractNum>
  <w:abstractNum w:abstractNumId="172">
    <w:nsid w:val="9815DA3"/>
    <w:multiLevelType w:val="hybridMultilevel"/>
    <w:lvl w:ilvl="0">
      <w:lvlJc w:val="left"/>
      <w:lvlText w:val="%1."/>
      <w:numFmt w:val="decimal"/>
      <w:start w:val="4"/>
    </w:lvl>
  </w:abstractNum>
  <w:abstractNum w:abstractNumId="173">
    <w:nsid w:val="5204A191"/>
    <w:multiLevelType w:val="hybridMultilevel"/>
    <w:lvl w:ilvl="0">
      <w:lvlJc w:val="left"/>
      <w:lvlText w:val="%1)"/>
      <w:numFmt w:val="lowerLetter"/>
      <w:start w:val="1"/>
    </w:lvl>
    <w:lvl w:ilvl="1">
      <w:lvlJc w:val="left"/>
      <w:lvlText w:val="%2."/>
      <w:numFmt w:val="lowerRoman"/>
      <w:start w:val="1"/>
    </w:lvl>
  </w:abstractNum>
  <w:abstractNum w:abstractNumId="174">
    <w:nsid w:val="4C73A9C6"/>
    <w:multiLevelType w:val="hybridMultilevel"/>
    <w:lvl w:ilvl="0">
      <w:lvlJc w:val="left"/>
      <w:lvlText w:val="%1)"/>
      <w:numFmt w:val="lowerLetter"/>
      <w:start w:val="1"/>
    </w:lvl>
  </w:abstractNum>
  <w:abstractNum w:abstractNumId="175">
    <w:nsid w:val="1C7E3C01"/>
    <w:multiLevelType w:val="hybridMultilevel"/>
    <w:lvl w:ilvl="0">
      <w:lvlJc w:val="left"/>
      <w:lvlText w:val="%1"/>
      <w:numFmt w:val="decimal"/>
      <w:start w:val="1"/>
    </w:lvl>
    <w:lvl w:ilvl="1">
      <w:lvlJc w:val="left"/>
      <w:lvlText w:val="%2)"/>
      <w:numFmt w:val="lowerLetter"/>
      <w:start w:val="3"/>
    </w:lvl>
  </w:abstractNum>
  <w:abstractNum w:abstractNumId="176">
    <w:nsid w:val="1C2201FF"/>
    <w:multiLevelType w:val="hybridMultilevel"/>
    <w:lvl w:ilvl="0">
      <w:lvlJc w:val="left"/>
      <w:lvlText w:val="%1."/>
      <w:numFmt w:val="decimal"/>
      <w:start w:val="7"/>
    </w:lvl>
    <w:lvl w:ilvl="1">
      <w:lvlJc w:val="left"/>
      <w:lvlText w:val="%2"/>
      <w:numFmt w:val="lowerLetter"/>
      <w:start w:val="1"/>
    </w:lvl>
  </w:abstractNum>
  <w:abstractNum w:abstractNumId="177">
    <w:nsid w:val="50ABCEC9"/>
    <w:multiLevelType w:val="hybridMultilevel"/>
    <w:lvl w:ilvl="0">
      <w:lvlJc w:val="left"/>
      <w:lvlText w:val="%1."/>
      <w:numFmt w:val="decimal"/>
      <w:start w:val="10"/>
    </w:lvl>
  </w:abstractNum>
  <w:abstractNum w:abstractNumId="178">
    <w:nsid w:val="7635AA2A"/>
    <w:multiLevelType w:val="hybridMultilevel"/>
    <w:lvl w:ilvl="0">
      <w:lvlJc w:val="left"/>
      <w:lvlText w:val="%1."/>
      <w:numFmt w:val="decimal"/>
      <w:start w:val="1"/>
    </w:lvl>
  </w:abstractNum>
  <w:abstractNum w:abstractNumId="179">
    <w:nsid w:val="5E74C4D9"/>
    <w:multiLevelType w:val="hybridMultilevel"/>
    <w:lvl w:ilvl="0">
      <w:lvlJc w:val="left"/>
      <w:lvlText w:val="%1."/>
      <w:numFmt w:val="decimal"/>
      <w:start w:val="2"/>
    </w:lvl>
    <w:lvl w:ilvl="1">
      <w:lvlJc w:val="left"/>
      <w:lvlText w:val="(%2)"/>
      <w:numFmt w:val="lowerLetter"/>
      <w:start w:val="1"/>
    </w:lvl>
  </w:abstractNum>
  <w:abstractNum w:abstractNumId="180">
    <w:nsid w:val="3B3EBE15"/>
    <w:multiLevelType w:val="hybridMultilevel"/>
    <w:lvl w:ilvl="0">
      <w:lvlJc w:val="left"/>
      <w:lvlText w:val="%1"/>
      <w:numFmt w:val="decimal"/>
      <w:start w:val="1"/>
    </w:lvl>
    <w:lvl w:ilvl="1">
      <w:lvlJc w:val="left"/>
      <w:lvlText w:val="(%2)"/>
      <w:numFmt w:val="lowerLetter"/>
      <w:start w:val="2"/>
    </w:lvl>
  </w:abstractNum>
  <w:abstractNum w:abstractNumId="181">
    <w:nsid w:val="3822CB01"/>
    <w:multiLevelType w:val="hybridMultilevel"/>
    <w:lvl w:ilvl="0">
      <w:lvlJc w:val="left"/>
      <w:lvlText w:val="%1."/>
      <w:numFmt w:val="decimal"/>
      <w:start w:val="3"/>
    </w:lvl>
    <w:lvl w:ilvl="1">
      <w:lvlJc w:val="left"/>
      <w:lvlText w:val="%2"/>
      <w:numFmt w:val="lowerLetter"/>
      <w:start w:val="1"/>
    </w:lvl>
  </w:abstractNum>
  <w:abstractNum w:abstractNumId="182">
    <w:nsid w:val="6CE00443"/>
    <w:multiLevelType w:val="hybridMultilevel"/>
    <w:lvl w:ilvl="0">
      <w:lvlJc w:val="left"/>
      <w:lvlText w:val="(%1)"/>
      <w:numFmt w:val="lowerLetter"/>
      <w:start w:val="1"/>
    </w:lvl>
  </w:abstractNum>
  <w:abstractNum w:abstractNumId="183">
    <w:nsid w:val="79F0D62F"/>
    <w:multiLevelType w:val="hybridMultilevel"/>
    <w:lvl w:ilvl="0">
      <w:lvlJc w:val="left"/>
      <w:lvlText w:val="%1."/>
      <w:numFmt w:val="decimal"/>
      <w:start w:val="4"/>
    </w:lvl>
  </w:abstractNum>
  <w:abstractNum w:abstractNumId="184">
    <w:nsid w:val="7975E8EE"/>
    <w:multiLevelType w:val="hybridMultilevel"/>
    <w:lvl w:ilvl="0">
      <w:lvlJc w:val="left"/>
      <w:lvlText w:val="%1."/>
      <w:numFmt w:val="decimal"/>
      <w:start w:val="6"/>
    </w:lvl>
  </w:abstractNum>
  <w:abstractNum w:abstractNumId="185">
    <w:nsid w:val="73154115"/>
    <w:multiLevelType w:val="hybridMultilevel"/>
    <w:lvl w:ilvl="0">
      <w:lvlJc w:val="left"/>
      <w:lvlText w:val="(%1)"/>
      <w:numFmt w:val="lowerRoman"/>
      <w:start w:val="3"/>
    </w:lvl>
  </w:abstractNum>
  <w:abstractNum w:abstractNumId="186">
    <w:nsid w:val="622D8102"/>
    <w:multiLevelType w:val="hybridMultilevel"/>
    <w:lvl w:ilvl="0">
      <w:lvlJc w:val="left"/>
      <w:lvlText w:val="%1."/>
      <w:numFmt w:val="decimal"/>
      <w:start w:val="11"/>
    </w:lvl>
  </w:abstractNum>
  <w:abstractNum w:abstractNumId="187">
    <w:nsid w:val="2AB26587"/>
    <w:multiLevelType w:val="hybridMultilevel"/>
    <w:lvl w:ilvl="0">
      <w:lvlJc w:val="left"/>
      <w:lvlText w:val="%1."/>
      <w:numFmt w:val="decimal"/>
      <w:start w:val="1"/>
    </w:lvl>
  </w:abstractNum>
  <w:abstractNum w:abstractNumId="188">
    <w:nsid w:val="44B3FA61"/>
    <w:multiLevelType w:val="hybridMultilevel"/>
    <w:lvl w:ilvl="0">
      <w:lvlJc w:val="left"/>
      <w:lvlText w:val="%1."/>
      <w:numFmt w:val="decimal"/>
      <w:start w:val="2"/>
    </w:lvl>
    <w:lvl w:ilvl="1">
      <w:lvlJc w:val="left"/>
      <w:lvlText w:val="(%2)"/>
      <w:numFmt w:val="lowerLetter"/>
      <w:start w:val="1"/>
    </w:lvl>
  </w:abstractNum>
  <w:abstractNum w:abstractNumId="189">
    <w:nsid w:val="1C0CA67C"/>
    <w:multiLevelType w:val="hybridMultilevel"/>
    <w:lvl w:ilvl="0">
      <w:lvlJc w:val="left"/>
      <w:lvlText w:val="(%1)"/>
      <w:numFmt w:val="lowerLetter"/>
      <w:start w:val="2"/>
    </w:lvl>
  </w:abstractNum>
  <w:abstractNum w:abstractNumId="190">
    <w:nsid w:val="3D206613"/>
    <w:multiLevelType w:val="hybridMultilevel"/>
    <w:lvl w:ilvl="0">
      <w:lvlJc w:val="left"/>
      <w:lvlText w:val="%1."/>
      <w:numFmt w:val="decimal"/>
      <w:start w:val="3"/>
    </w:lvl>
    <w:lvl w:ilvl="1">
      <w:lvlJc w:val="left"/>
      <w:lvlText w:val="(%2)"/>
      <w:numFmt w:val="lowerLetter"/>
      <w:start w:val="1"/>
    </w:lvl>
  </w:abstractNum>
  <w:abstractNum w:abstractNumId="191">
    <w:nsid w:val="7993B662"/>
    <w:multiLevelType w:val="hybridMultilevel"/>
    <w:lvl w:ilvl="0">
      <w:lvlJc w:val="left"/>
      <w:lvlText w:val="%1."/>
      <w:numFmt w:val="decimal"/>
      <w:start w:val="9"/>
    </w:lvl>
  </w:abstractNum>
  <w:abstractNum w:abstractNumId="192">
    <w:nsid w:val="3BAB699E"/>
    <w:multiLevelType w:val="hybridMultilevel"/>
    <w:lvl w:ilvl="0">
      <w:lvlJc w:val="left"/>
      <w:lvlText w:val="%1."/>
      <w:numFmt w:val="decimal"/>
      <w:start w:val="10"/>
    </w:lvl>
  </w:abstractNum>
  <w:abstractNum w:abstractNumId="193">
    <w:nsid w:val="71315369"/>
    <w:multiLevelType w:val="hybridMultilevel"/>
    <w:lvl w:ilvl="0">
      <w:lvlJc w:val="left"/>
      <w:lvlText w:val="%1."/>
      <w:numFmt w:val="decimal"/>
      <w:start w:val="1"/>
    </w:lvl>
  </w:abstractNum>
  <w:abstractNum w:abstractNumId="194">
    <w:nsid w:val="7BCFBAFC"/>
    <w:multiLevelType w:val="hybridMultilevel"/>
    <w:lvl w:ilvl="0">
      <w:lvlJc w:val="left"/>
      <w:lvlText w:val="%1."/>
      <w:numFmt w:val="decimal"/>
      <w:start w:val="2"/>
    </w:lvl>
    <w:lvl w:ilvl="1">
      <w:lvlJc w:val="left"/>
      <w:lvlText w:val="(%2)"/>
      <w:numFmt w:val="lowerLetter"/>
      <w:start w:val="1"/>
    </w:lvl>
  </w:abstractNum>
  <w:abstractNum w:abstractNumId="195">
    <w:nsid w:val="17859F72"/>
    <w:multiLevelType w:val="hybridMultilevel"/>
    <w:lvl w:ilvl="0">
      <w:lvlJc w:val="left"/>
      <w:lvlText w:val="(%1)"/>
      <w:numFmt w:val="lowerLetter"/>
      <w:start w:val="2"/>
    </w:lvl>
  </w:abstractNum>
  <w:abstractNum w:abstractNumId="196">
    <w:nsid w:val="3AA10581"/>
    <w:multiLevelType w:val="hybridMultilevel"/>
    <w:lvl w:ilvl="0">
      <w:lvlJc w:val="left"/>
      <w:lvlText w:val="%1."/>
      <w:numFmt w:val="decimal"/>
      <w:start w:val="3"/>
    </w:lvl>
    <w:lvl w:ilvl="1">
      <w:lvlJc w:val="left"/>
      <w:lvlText w:val="(%2)"/>
      <w:numFmt w:val="lowerLetter"/>
      <w:start w:val="1"/>
    </w:lvl>
  </w:abstractNum>
  <w:abstractNum w:abstractNumId="197">
    <w:nsid w:val="63DE60CD"/>
    <w:multiLevelType w:val="hybridMultilevel"/>
    <w:lvl w:ilvl="0">
      <w:lvlJc w:val="left"/>
      <w:lvlText w:val="%1."/>
      <w:numFmt w:val="decimal"/>
      <w:start w:val="4"/>
    </w:lvl>
  </w:abstractNum>
  <w:abstractNum w:abstractNumId="198">
    <w:nsid w:val="621AF471"/>
    <w:multiLevelType w:val="hybridMultilevel"/>
    <w:lvl w:ilvl="0">
      <w:lvlJc w:val="left"/>
      <w:lvlText w:val="%1."/>
      <w:numFmt w:val="decimal"/>
      <w:start w:val="10"/>
    </w:lvl>
  </w:abstractNum>
  <w:abstractNum w:abstractNumId="199">
    <w:nsid w:val="73CFE165"/>
    <w:multiLevelType w:val="hybridMultilevel"/>
    <w:lvl w:ilvl="0">
      <w:lvlJc w:val="left"/>
      <w:lvlText w:val="%1."/>
      <w:numFmt w:val="decimal"/>
      <w:start w:val="1"/>
    </w:lvl>
  </w:abstractNum>
  <w:abstractNum w:abstractNumId="200">
    <w:nsid w:val="20F88EA6"/>
    <w:multiLevelType w:val="hybridMultilevel"/>
    <w:lvl w:ilvl="0">
      <w:lvlJc w:val="left"/>
      <w:lvlText w:val="%1."/>
      <w:numFmt w:val="decimal"/>
      <w:start w:val="3"/>
    </w:lvl>
  </w:abstractNum>
  <w:abstractNum w:abstractNumId="201">
    <w:nsid w:val="617C843E"/>
    <w:multiLevelType w:val="hybridMultilevel"/>
    <w:lvl w:ilvl="0">
      <w:lvlJc w:val="left"/>
      <w:lvlText w:val="%1."/>
      <w:numFmt w:val="decimal"/>
      <w:start w:val="5"/>
    </w:lvl>
  </w:abstractNum>
  <w:abstractNum w:abstractNumId="202">
    <w:nsid w:val="7B541FAB"/>
    <w:multiLevelType w:val="hybridMultilevel"/>
    <w:lvl w:ilvl="0">
      <w:lvlJc w:val="left"/>
      <w:lvlText w:val="%1."/>
      <w:numFmt w:val="decimal"/>
      <w:start w:val="11"/>
    </w:lvl>
  </w:abstractNum>
  <w:abstractNum w:abstractNumId="203">
    <w:nsid w:val="2A79EC49"/>
    <w:multiLevelType w:val="hybridMultilevel"/>
    <w:lvl w:ilvl="0">
      <w:lvlJc w:val="left"/>
      <w:lvlText w:val="%1."/>
      <w:numFmt w:val="decimal"/>
      <w:start w:val="1"/>
    </w:lvl>
  </w:abstractNum>
  <w:abstractNum w:abstractNumId="204">
    <w:nsid w:val="338125CF"/>
    <w:multiLevelType w:val="hybridMultilevel"/>
    <w:lvl w:ilvl="0">
      <w:lvlJc w:val="left"/>
      <w:lvlText w:val="%1."/>
      <w:numFmt w:val="decimal"/>
      <w:start w:val="3"/>
    </w:lvl>
  </w:abstractNum>
  <w:abstractNum w:abstractNumId="205">
    <w:nsid w:val="47C7C971"/>
    <w:multiLevelType w:val="hybridMultilevel"/>
    <w:lvl w:ilvl="0">
      <w:lvlJc w:val="left"/>
      <w:lvlText w:val="%1."/>
      <w:numFmt w:val="decimal"/>
      <w:start w:val="4"/>
    </w:lvl>
  </w:abstractNum>
  <w:abstractNum w:abstractNumId="206">
    <w:nsid w:val="46F8284B"/>
    <w:multiLevelType w:val="hybridMultilevel"/>
    <w:lvl w:ilvl="0">
      <w:lvlJc w:val="left"/>
      <w:lvlText w:val="%1."/>
      <w:numFmt w:val="decimal"/>
      <w:start w:val="9"/>
    </w:lvl>
  </w:abstractNum>
  <w:abstractNum w:abstractNumId="207">
    <w:nsid w:val="4FA327CE"/>
    <w:multiLevelType w:val="hybridMultilevel"/>
    <w:lvl w:ilvl="0">
      <w:lvlJc w:val="left"/>
      <w:lvlText w:val="%1."/>
      <w:numFmt w:val="decimal"/>
      <w:start w:val="11"/>
    </w:lvl>
  </w:abstractNum>
  <w:abstractNum w:abstractNumId="208">
    <w:nsid w:val="1873983A"/>
    <w:multiLevelType w:val="hybridMultilevel"/>
    <w:lvl w:ilvl="0">
      <w:lvlJc w:val="left"/>
      <w:lvlText w:val="%1."/>
      <w:numFmt w:val="decimal"/>
      <w:start w:val="1"/>
    </w:lvl>
  </w:abstractNum>
  <w:abstractNum w:abstractNumId="209">
    <w:nsid w:val="3D2DD275"/>
    <w:multiLevelType w:val="hybridMultilevel"/>
    <w:lvl w:ilvl="0">
      <w:lvlJc w:val="left"/>
      <w:lvlText w:val="%1."/>
      <w:numFmt w:val="decimal"/>
      <w:start w:val="2"/>
    </w:lvl>
    <w:lvl w:ilvl="1">
      <w:lvlJc w:val="left"/>
      <w:lvlText w:val="(%2)"/>
      <w:numFmt w:val="lowerLetter"/>
      <w:start w:val="1"/>
    </w:lvl>
  </w:abstractNum>
  <w:abstractNum w:abstractNumId="210">
    <w:nsid w:val="2E17ECA7"/>
    <w:multiLevelType w:val="hybridMultilevel"/>
    <w:lvl w:ilvl="0">
      <w:lvlJc w:val="left"/>
      <w:lvlText w:val="(%1)"/>
      <w:numFmt w:val="lowerLetter"/>
      <w:start w:val="2"/>
    </w:lvl>
  </w:abstractNum>
  <w:abstractNum w:abstractNumId="211">
    <w:nsid w:val="53B2564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12">
    <w:nsid w:val="75509D7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abstractNum>
  <w:abstractNum w:abstractNumId="213">
    <w:nsid w:val="1AF7F0EA"/>
    <w:multiLevelType w:val="hybridMultilevel"/>
    <w:lvl w:ilvl="0">
      <w:lvlJc w:val="left"/>
      <w:lvlText w:val="%1."/>
      <w:numFmt w:val="decimal"/>
      <w:start w:val="4"/>
    </w:lvl>
  </w:abstractNum>
  <w:abstractNum w:abstractNumId="214">
    <w:nsid w:val="4DA32C7E"/>
    <w:multiLevelType w:val="hybridMultilevel"/>
    <w:lvl w:ilvl="0">
      <w:lvlJc w:val="left"/>
      <w:lvlText w:val="%1."/>
      <w:numFmt w:val="decimal"/>
      <w:start w:val="7"/>
    </w:lvl>
  </w:abstractNum>
  <w:abstractNum w:abstractNumId="215">
    <w:nsid w:val="6EC68664"/>
    <w:multiLevelType w:val="hybridMultilevel"/>
    <w:lvl w:ilvl="0">
      <w:lvlJc w:val="left"/>
      <w:lvlText w:val="%1."/>
      <w:numFmt w:val="decimal"/>
      <w:start w:val="9"/>
    </w:lvl>
  </w:abstractNum>
  <w:abstractNum w:abstractNumId="216">
    <w:nsid w:val="E0D31FF"/>
    <w:multiLevelType w:val="hybridMultilevel"/>
    <w:lvl w:ilvl="0">
      <w:lvlJc w:val="left"/>
      <w:lvlText w:val="%1."/>
      <w:numFmt w:val="decimal"/>
      <w:start w:val="1"/>
    </w:lvl>
  </w:abstractNum>
  <w:abstractNum w:abstractNumId="217">
    <w:nsid w:val="2FD0AD81"/>
    <w:multiLevelType w:val="hybridMultilevel"/>
    <w:lvl w:ilvl="0">
      <w:lvlJc w:val="left"/>
      <w:lvlText w:val="%1."/>
      <w:numFmt w:val="decimal"/>
      <w:start w:val="3"/>
    </w:lvl>
  </w:abstractNum>
  <w:abstractNum w:abstractNumId="218">
    <w:nsid w:val="1978EBEB"/>
    <w:multiLevelType w:val="hybridMultilevel"/>
    <w:lvl w:ilvl="0">
      <w:lvlJc w:val="left"/>
      <w:lvlText w:val="%1."/>
      <w:numFmt w:val="decimal"/>
      <w:start w:val="4"/>
    </w:lvl>
  </w:abstractNum>
  <w:abstractNum w:abstractNumId="219">
    <w:nsid w:val="52C12C61"/>
    <w:multiLevelType w:val="hybridMultilevel"/>
    <w:lvl w:ilvl="0">
      <w:lvlJc w:val="left"/>
      <w:lvlText w:val="%1."/>
      <w:numFmt w:val="decimal"/>
      <w:start w:val="7"/>
    </w:lvl>
  </w:abstractNum>
  <w:abstractNum w:abstractNumId="220">
    <w:nsid w:val="4BDD53FD"/>
    <w:multiLevelType w:val="hybridMultilevel"/>
    <w:lvl w:ilvl="0">
      <w:lvlJc w:val="left"/>
      <w:lvlText w:val="%1."/>
      <w:numFmt w:val="decimal"/>
      <w:start w:val="10"/>
    </w:lvl>
  </w:abstractNum>
  <w:abstractNum w:abstractNumId="221">
    <w:nsid w:val="569951FE"/>
    <w:multiLevelType w:val="hybridMultilevel"/>
    <w:lvl w:ilvl="0">
      <w:lvlJc w:val="left"/>
      <w:lvlText w:val="%1."/>
      <w:numFmt w:val="decimal"/>
      <w:start w:val="1"/>
    </w:lvl>
  </w:abstractNum>
  <w:abstractNum w:abstractNumId="222">
    <w:nsid w:val="4C54E2C3"/>
    <w:multiLevelType w:val="hybridMultilevel"/>
    <w:lvl w:ilvl="0">
      <w:lvlJc w:val="left"/>
      <w:lvlText w:val="%1."/>
      <w:numFmt w:val="decimal"/>
      <w:start w:val="2"/>
    </w:lvl>
    <w:lvl w:ilvl="1">
      <w:lvlJc w:val="left"/>
      <w:lvlText w:val="(%2)"/>
      <w:numFmt w:val="lowerLetter"/>
      <w:start w:val="1"/>
    </w:lvl>
  </w:abstractNum>
  <w:abstractNum w:abstractNumId="223">
    <w:nsid w:val="788BD9B"/>
    <w:multiLevelType w:val="hybridMultilevel"/>
    <w:lvl w:ilvl="0">
      <w:lvlJc w:val="left"/>
      <w:lvlText w:val="(%1)"/>
      <w:numFmt w:val="lowerLetter"/>
      <w:start w:val="2"/>
    </w:lvl>
  </w:abstractNum>
  <w:abstractNum w:abstractNumId="224">
    <w:nsid w:val="47CAA567"/>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225">
    <w:nsid w:val="48249DBF"/>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4"/>
    </w:lvl>
  </w:abstractNum>
  <w:abstractNum w:abstractNumId="226">
    <w:nsid w:val="1F0E5D0D"/>
    <w:multiLevelType w:val="hybridMultilevel"/>
    <w:lvl w:ilvl="0">
      <w:lvlJc w:val="left"/>
      <w:lvlText w:val="%1."/>
      <w:numFmt w:val="decimal"/>
      <w:start w:val="10"/>
    </w:lvl>
  </w:abstractNum>
  <w:abstractNum w:abstractNumId="227">
    <w:nsid w:val="26BAAE9"/>
    <w:multiLevelType w:val="hybridMultilevel"/>
    <w:lvl w:ilvl="0">
      <w:lvlJc w:val="left"/>
      <w:lvlText w:val="%1."/>
      <w:numFmt w:val="decimal"/>
      <w:start w:val="1"/>
    </w:lvl>
  </w:abstractNum>
  <w:abstractNum w:abstractNumId="228">
    <w:nsid w:val="2C02FE8C"/>
    <w:multiLevelType w:val="hybridMultilevel"/>
    <w:lvl w:ilvl="0">
      <w:lvlJc w:val="left"/>
      <w:lvlText w:val="%1."/>
      <w:numFmt w:val="decimal"/>
      <w:start w:val="3"/>
    </w:lvl>
  </w:abstractNum>
  <w:abstractNum w:abstractNumId="229">
    <w:nsid w:val="129517E"/>
    <w:multiLevelType w:val="hybridMultilevel"/>
    <w:lvl w:ilvl="0">
      <w:lvlJc w:val="left"/>
      <w:lvlText w:val="%1."/>
      <w:numFmt w:val="decimal"/>
      <w:start w:val="4"/>
    </w:lvl>
  </w:abstractNum>
  <w:abstractNum w:abstractNumId="230">
    <w:nsid w:val="763B8C4E"/>
    <w:multiLevelType w:val="hybridMultilevel"/>
    <w:lvl w:ilvl="0">
      <w:lvlJc w:val="left"/>
      <w:lvlText w:val="%1."/>
      <w:numFmt w:val="decimal"/>
      <w:start w:val="11"/>
    </w:lvl>
  </w:abstractNum>
  <w:abstractNum w:abstractNumId="231">
    <w:nsid w:val="4CFB8D32"/>
    <w:multiLevelType w:val="hybridMultilevel"/>
    <w:lvl w:ilvl="0">
      <w:lvlJc w:val="left"/>
      <w:lvlText w:val="%1."/>
      <w:numFmt w:val="decimal"/>
      <w:start w:val="1"/>
    </w:lvl>
  </w:abstractNum>
  <w:abstractNum w:abstractNumId="232">
    <w:nsid w:val="62A5D5BD"/>
    <w:multiLevelType w:val="hybridMultilevel"/>
    <w:lvl w:ilvl="0">
      <w:lvlJc w:val="left"/>
      <w:lvlText w:val="%1."/>
      <w:numFmt w:val="decimal"/>
      <w:start w:val="2"/>
    </w:lvl>
    <w:lvl w:ilvl="1">
      <w:lvlJc w:val="left"/>
      <w:lvlText w:val="(%2)"/>
      <w:numFmt w:val="lowerLetter"/>
      <w:start w:val="1"/>
    </w:lvl>
  </w:abstractNum>
  <w:abstractNum w:abstractNumId="233">
    <w:nsid w:val="718FABF9"/>
    <w:multiLevelType w:val="hybridMultilevel"/>
    <w:lvl w:ilvl="0">
      <w:lvlJc w:val="left"/>
      <w:lvlText w:val="(%1)"/>
      <w:numFmt w:val="lowerLetter"/>
      <w:start w:val="2"/>
    </w:lvl>
  </w:abstractNum>
  <w:abstractNum w:abstractNumId="234">
    <w:nsid w:val="7775797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35">
    <w:nsid w:val="1626FB8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abstractNum>
  <w:abstractNum w:abstractNumId="236">
    <w:nsid w:val="3957756A"/>
    <w:multiLevelType w:val="hybridMultilevel"/>
    <w:lvl w:ilvl="0">
      <w:lvlJc w:val="left"/>
      <w:lvlText w:val="%1."/>
      <w:numFmt w:val="decimal"/>
      <w:start w:val="4"/>
    </w:lvl>
  </w:abstractNum>
  <w:abstractNum w:abstractNumId="237">
    <w:nsid w:val="3E6DA1C7"/>
    <w:multiLevelType w:val="hybridMultilevel"/>
    <w:lvl w:ilvl="0">
      <w:lvlJc w:val="left"/>
      <w:lvlText w:val="%1."/>
      <w:numFmt w:val="decimal"/>
      <w:start w:val="7"/>
    </w:lvl>
  </w:abstractNum>
  <w:abstractNum w:abstractNumId="238">
    <w:nsid w:val="65CA235B"/>
    <w:multiLevelType w:val="hybridMultilevel"/>
    <w:lvl w:ilvl="0">
      <w:lvlJc w:val="left"/>
      <w:lvlText w:val="%1."/>
      <w:numFmt w:val="decimal"/>
      <w:start w:val="10"/>
    </w:lvl>
  </w:abstractNum>
  <w:abstractNum w:abstractNumId="239">
    <w:nsid w:val="51CB0DA4"/>
    <w:multiLevelType w:val="hybridMultilevel"/>
    <w:lvl w:ilvl="0">
      <w:lvlJc w:val="left"/>
      <w:lvlText w:val="%1."/>
      <w:numFmt w:val="decimal"/>
      <w:start w:val="1"/>
    </w:lvl>
  </w:abstractNum>
  <w:abstractNum w:abstractNumId="240">
    <w:nsid w:val="7B9B743C"/>
    <w:multiLevelType w:val="hybridMultilevel"/>
    <w:lvl w:ilvl="0">
      <w:lvlJc w:val="left"/>
      <w:lvlText w:val="%1."/>
      <w:numFmt w:val="decimal"/>
      <w:start w:val="3"/>
    </w:lvl>
  </w:abstractNum>
  <w:abstractNum w:abstractNumId="241">
    <w:nsid w:val="13E21002"/>
    <w:multiLevelType w:val="hybridMultilevel"/>
    <w:lvl w:ilvl="0">
      <w:lvlJc w:val="left"/>
      <w:lvlText w:val="%1."/>
      <w:numFmt w:val="decimal"/>
      <w:start w:val="4"/>
    </w:lvl>
  </w:abstractNum>
  <w:abstractNum w:abstractNumId="242">
    <w:nsid w:val="257D63F4"/>
    <w:multiLevelType w:val="hybridMultilevel"/>
    <w:lvl w:ilvl="0">
      <w:lvlJc w:val="left"/>
      <w:lvlText w:val="%1."/>
      <w:numFmt w:val="decimal"/>
      <w:start w:val="11"/>
    </w:lvl>
  </w:abstractNum>
  <w:abstractNum w:abstractNumId="243">
    <w:nsid w:val="70EC11B2"/>
    <w:multiLevelType w:val="hybridMultilevel"/>
    <w:lvl w:ilvl="0">
      <w:lvlJc w:val="left"/>
      <w:lvlText w:val="1"/>
      <w:numFmt w:val="bullet"/>
      <w:start w:val="1"/>
    </w:lvl>
  </w:abstractNum>
  <w:abstractNum w:abstractNumId="244">
    <w:nsid w:val="2EDA00ED"/>
    <w:multiLevelType w:val="hybridMultilevel"/>
    <w:lvl w:ilvl="0">
      <w:lvlJc w:val="left"/>
      <w:lvlText w:val="2"/>
      <w:numFmt w:val="bullet"/>
      <w:start w:val="1"/>
    </w:lvl>
  </w:abstractNum>
  <w:abstractNum w:abstractNumId="245">
    <w:nsid w:val="73209072"/>
    <w:multiLevelType w:val="hybridMultilevel"/>
    <w:lvl w:ilvl="0">
      <w:lvlJc w:val="left"/>
      <w:lvlText w:val="3"/>
      <w:numFmt w:val="bullet"/>
      <w:start w:val="1"/>
    </w:lvl>
  </w:abstractNum>
  <w:abstractNum w:abstractNumId="246">
    <w:nsid w:val="5FB29816"/>
    <w:multiLevelType w:val="hybridMultilevel"/>
    <w:lvl w:ilvl="0">
      <w:lvlJc w:val="left"/>
      <w:lvlText w:val="4"/>
      <w:numFmt w:val="bullet"/>
      <w:start w:val="1"/>
    </w:lvl>
  </w:abstractNum>
  <w:abstractNum w:abstractNumId="247">
    <w:nsid w:val="3CE732EC"/>
    <w:multiLevelType w:val="hybridMultilevel"/>
    <w:lvl w:ilvl="0">
      <w:lvlJc w:val="left"/>
      <w:lvlText w:val="5"/>
      <w:numFmt w:val="bullet"/>
      <w:start w:val="1"/>
    </w:lvl>
  </w:abstractNum>
  <w:abstractNum w:abstractNumId="248">
    <w:nsid w:val="22F13DF3"/>
    <w:multiLevelType w:val="hybridMultilevel"/>
    <w:lvl w:ilvl="0">
      <w:lvlJc w:val="left"/>
      <w:lvlText w:val="%1."/>
      <w:numFmt w:val="decimal"/>
      <w:start w:val="1"/>
    </w:lvl>
  </w:abstractNum>
  <w:abstractNum w:abstractNumId="249">
    <w:nsid w:val="792B8401"/>
    <w:multiLevelType w:val="hybridMultilevel"/>
    <w:lvl w:ilvl="0">
      <w:lvlJc w:val="left"/>
      <w:lvlText w:val="%1."/>
      <w:numFmt w:val="decimal"/>
      <w:start w:val="3"/>
    </w:lvl>
  </w:abstractNum>
  <w:abstractNum w:abstractNumId="250">
    <w:nsid w:val="FA85F4D"/>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51">
    <w:nsid w:val="6ECE91F0"/>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252">
    <w:nsid w:val="4FC4D600"/>
    <w:multiLevelType w:val="hybridMultilevel"/>
    <w:lvl w:ilvl="0">
      <w:lvlJc w:val="left"/>
      <w:lvlText w:val="%1."/>
      <w:numFmt w:val="decimal"/>
      <w:start w:val="5"/>
    </w:lvl>
  </w:abstractNum>
  <w:abstractNum w:abstractNumId="253">
    <w:nsid w:val="5BFD4210"/>
    <w:multiLevelType w:val="hybridMultilevel"/>
    <w:lvl w:ilvl="0">
      <w:lvlJc w:val="left"/>
      <w:lvlText w:val="%1."/>
      <w:numFmt w:val="decimal"/>
      <w:start w:val="8"/>
    </w:lvl>
  </w:abstractNum>
  <w:abstractNum w:abstractNumId="254">
    <w:nsid w:val="76574F8B"/>
    <w:multiLevelType w:val="hybridMultilevel"/>
    <w:lvl w:ilvl="0">
      <w:lvlJc w:val="left"/>
      <w:lvlText w:val="%1."/>
      <w:numFmt w:val="decimal"/>
      <w:start w:val="9"/>
    </w:lvl>
  </w:abstractNum>
  <w:abstractNum w:abstractNumId="255">
    <w:nsid w:val="178F7B67"/>
    <w:multiLevelType w:val="hybridMultilevel"/>
    <w:lvl w:ilvl="0">
      <w:lvlJc w:val="left"/>
      <w:lvlText w:val="%1."/>
      <w:numFmt w:val="decimal"/>
      <w:start w:val="11"/>
    </w:lvl>
  </w:abstractNum>
  <w:abstractNum w:abstractNumId="256">
    <w:nsid w:val="2421DFCF"/>
    <w:multiLevelType w:val="hybridMultilevel"/>
    <w:lvl w:ilvl="0">
      <w:lvlJc w:val="left"/>
      <w:lvlText w:val="%1."/>
      <w:numFmt w:val="decimal"/>
      <w:start w:val="12"/>
    </w:lvl>
  </w:abstractNum>
  <w:abstractNum w:abstractNumId="257">
    <w:nsid w:val="1565AC99"/>
    <w:multiLevelType w:val="hybridMultilevel"/>
    <w:lvl w:ilvl="0">
      <w:lvlJc w:val="left"/>
      <w:lvlText w:val="%1."/>
      <w:numFmt w:val="decimal"/>
      <w:start w:val="13"/>
    </w:lvl>
  </w:abstractNum>
  <w:abstractNum w:abstractNumId="258">
    <w:nsid w:val="19FB2650"/>
    <w:multiLevelType w:val="hybridMultilevel"/>
    <w:lvl w:ilvl="0">
      <w:lvlJc w:val="left"/>
      <w:lvlText w:val="%1."/>
      <w:numFmt w:val="decimal"/>
      <w:start w:val="19"/>
    </w:lvl>
  </w:abstractNum>
  <w:abstractNum w:abstractNumId="259">
    <w:nsid w:val="5024DE5B"/>
    <w:multiLevelType w:val="hybridMultilevel"/>
    <w:lvl w:ilvl="0">
      <w:lvlJc w:val="left"/>
      <w:lvlText w:val="%1."/>
      <w:numFmt w:val="decimal"/>
      <w:start w:val="24"/>
    </w:lvl>
  </w:abstractNum>
  <w:abstractNum w:abstractNumId="260">
    <w:nsid w:val="168EFE17"/>
    <w:multiLevelType w:val="hybridMultilevel"/>
    <w:lvl w:ilvl="0">
      <w:lvlJc w:val="left"/>
      <w:lvlText w:val="%1."/>
      <w:numFmt w:val="upperLetter"/>
      <w:start w:val="1"/>
    </w:lvl>
  </w:abstractNum>
  <w:abstractNum w:abstractNumId="261">
    <w:nsid w:val="1036B29F"/>
    <w:multiLevelType w:val="hybridMultilevel"/>
    <w:lvl w:ilvl="0">
      <w:lvlJc w:val="left"/>
      <w:lvlText w:val="%1."/>
      <w:numFmt w:val="decimal"/>
      <w:start w:val="1"/>
    </w:lvl>
    <w:lvl w:ilvl="1">
      <w:lvlJc w:val="left"/>
      <w:lvlText w:val="%2."/>
      <w:numFmt w:val="lowerLetter"/>
      <w:start w:val="1"/>
    </w:lvl>
  </w:abstractNum>
  <w:abstractNum w:abstractNumId="262">
    <w:nsid w:val="1D206B8E"/>
    <w:multiLevelType w:val="hybridMultilevel"/>
    <w:lvl w:ilvl="0">
      <w:lvlJc w:val="left"/>
      <w:lvlText w:val="%1."/>
      <w:numFmt w:val="decimal"/>
      <w:start w:val="1"/>
    </w:lvl>
  </w:abstractNum>
  <w:abstractNum w:abstractNumId="263">
    <w:nsid w:val="7934D3D4"/>
    <w:multiLevelType w:val="hybridMultilevel"/>
    <w:lvl w:ilvl="0">
      <w:lvlJc w:val="left"/>
      <w:lvlText w:val="%1."/>
      <w:numFmt w:val="lowerLetter"/>
      <w:start w:val="1"/>
    </w:lvl>
    <w:lvl w:ilvl="1">
      <w:lvlJc w:val="left"/>
      <w:lvlText w:val="%2."/>
      <w:numFmt w:val="lowerRoman"/>
      <w:start w:val="1"/>
    </w:lvl>
  </w:abstractNum>
  <w:abstractNum w:abstractNumId="264">
    <w:nsid w:val="1C65E98"/>
    <w:multiLevelType w:val="hybridMultilevel"/>
    <w:lvl w:ilvl="0">
      <w:lvlJc w:val="left"/>
      <w:lvlText w:val="%1."/>
      <w:numFmt w:val="decimal"/>
      <w:start w:val="2"/>
    </w:lvl>
  </w:abstractNum>
  <w:abstractNum w:abstractNumId="265">
    <w:nsid w:val="1495E50A"/>
    <w:multiLevelType w:val="hybridMultilevel"/>
    <w:lvl w:ilvl="0">
      <w:lvlJc w:val="left"/>
      <w:lvlText w:val="%1."/>
      <w:numFmt w:val="lowerLetter"/>
      <w:start w:val="1"/>
    </w:lvl>
  </w:abstractNum>
  <w:abstractNum w:abstractNumId="266">
    <w:nsid w:val="F5BCF61"/>
    <w:multiLevelType w:val="hybridMultilevel"/>
    <w:lvl w:ilvl="0">
      <w:lvlJc w:val="left"/>
      <w:lvlText w:val="%1."/>
      <w:numFmt w:val="lowerLetter"/>
      <w:start w:val="2"/>
    </w:lvl>
  </w:abstractNum>
  <w:abstractNum w:abstractNumId="267">
    <w:nsid w:val="3B1DD40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68">
    <w:nsid w:val="530386D1"/>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269">
    <w:nsid w:val="7525F2BC"/>
    <w:multiLevelType w:val="hybridMultilevel"/>
    <w:lvl w:ilvl="0">
      <w:lvlJc w:val="left"/>
      <w:lvlText w:val="%1."/>
      <w:numFmt w:val="lowerLetter"/>
      <w:start w:val="7"/>
    </w:lvl>
  </w:abstractNum>
  <w:abstractNum w:abstractNumId="270">
    <w:nsid w:val="CE8E1A7"/>
    <w:multiLevelType w:val="hybridMultilevel"/>
    <w:lvl w:ilvl="0">
      <w:lvlJc w:val="left"/>
      <w:lvlText w:val="%1."/>
      <w:numFmt w:val="decimal"/>
      <w:start w:val="4"/>
    </w:lvl>
  </w:abstractNum>
  <w:abstractNum w:abstractNumId="271">
    <w:nsid w:val="4E9EFB0D"/>
    <w:multiLevelType w:val="hybridMultilevel"/>
    <w:lvl w:ilvl="0">
      <w:lvlJc w:val="left"/>
      <w:lvlText w:val="%1."/>
      <w:numFmt w:val="decimal"/>
      <w:start w:val="1"/>
    </w:lvl>
  </w:abstractNum>
  <w:abstractNum w:abstractNumId="272">
    <w:nsid w:val="90802BE"/>
    <w:multiLevelType w:val="hybridMultilevel"/>
    <w:lvl w:ilvl="0">
      <w:lvlJc w:val="left"/>
      <w:lvlText w:val="%1."/>
      <w:numFmt w:val="lowerLetter"/>
      <w:start w:val="1"/>
    </w:lvl>
  </w:abstractNum>
  <w:abstractNum w:abstractNumId="273">
    <w:nsid w:val="3266459B"/>
    <w:multiLevelType w:val="hybridMultilevel"/>
    <w:lvl w:ilvl="0">
      <w:lvlJc w:val="left"/>
      <w:lvlText w:val="%1."/>
      <w:numFmt w:val="decimal"/>
      <w:start w:val="2"/>
    </w:lvl>
  </w:abstractNum>
  <w:abstractNum w:abstractNumId="274">
    <w:nsid w:val="3F8B0CBF"/>
    <w:multiLevelType w:val="hybridMultilevel"/>
    <w:lvl w:ilvl="0">
      <w:lvlJc w:val="left"/>
      <w:lvlText w:val="%1."/>
      <w:numFmt w:val="lowerLetter"/>
      <w:start w:val="1"/>
    </w:lvl>
  </w:abstractNum>
  <w:abstractNum w:abstractNumId="275">
    <w:nsid w:val="37E203AB"/>
    <w:multiLevelType w:val="hybridMultilevel"/>
    <w:lvl w:ilvl="0">
      <w:lvlJc w:val="left"/>
      <w:lvlText w:val="%1."/>
      <w:numFmt w:val="lowerLetter"/>
      <w:start w:val="2"/>
    </w:lvl>
  </w:abstractNum>
  <w:abstractNum w:abstractNumId="276">
    <w:nsid w:val="2586D60E"/>
    <w:multiLevelType w:val="hybridMultilevel"/>
    <w:lvl w:ilvl="0">
      <w:lvlJc w:val="left"/>
      <w:lvlText w:val="%1."/>
      <w:numFmt w:val="decimal"/>
      <w:start w:val="3"/>
    </w:lvl>
  </w:abstractNum>
  <w:abstractNum w:abstractNumId="277">
    <w:nsid w:val="1F3DA4D5"/>
    <w:multiLevelType w:val="hybridMultilevel"/>
    <w:lvl w:ilvl="0">
      <w:lvlJc w:val="left"/>
      <w:lvlText w:val="%1."/>
      <w:numFmt w:val="lowerLetter"/>
      <w:start w:val="1"/>
    </w:lvl>
  </w:abstractNum>
  <w:abstractNum w:abstractNumId="278">
    <w:nsid w:val="74C93698"/>
    <w:multiLevelType w:val="hybridMultilevel"/>
    <w:lvl w:ilvl="0">
      <w:lvlJc w:val="left"/>
      <w:lvlText w:val="%1."/>
      <w:numFmt w:val="lowerLetter"/>
      <w:start w:val="2"/>
    </w:lvl>
  </w:abstractNum>
  <w:abstractNum w:abstractNumId="279">
    <w:nsid w:val="48781401"/>
    <w:multiLevelType w:val="hybridMultilevel"/>
    <w:lvl w:ilvl="0">
      <w:lvlJc w:val="left"/>
      <w:lvlText w:val="%1."/>
      <w:numFmt w:val="decimal"/>
      <w:start w:val="4"/>
    </w:lvl>
  </w:abstractNum>
  <w:abstractNum w:abstractNumId="280">
    <w:nsid w:val="186928D6"/>
    <w:multiLevelType w:val="hybridMultilevel"/>
    <w:lvl w:ilvl="0">
      <w:lvlJc w:val="left"/>
      <w:lvlText w:val="%1."/>
      <w:numFmt w:val="lowerLetter"/>
      <w:start w:val="1"/>
    </w:lvl>
    <w:lvl w:ilvl="1">
      <w:lvlJc w:val="left"/>
      <w:lvlText w:val="%2."/>
      <w:numFmt w:val="lowerRoman"/>
      <w:start w:val="1"/>
    </w:lvl>
  </w:abstractNum>
  <w:abstractNum w:abstractNumId="281">
    <w:nsid w:val="47195E5"/>
    <w:multiLevelType w:val="hybridMultilevel"/>
    <w:lvl w:ilvl="0">
      <w:lvlJc w:val="left"/>
      <w:lvlText w:val="%1."/>
      <w:numFmt w:val="decimal"/>
      <w:start w:val="6"/>
    </w:lvl>
  </w:abstractNum>
  <w:abstractNum w:abstractNumId="282">
    <w:nsid w:val="3746A5F2"/>
    <w:multiLevelType w:val="hybridMultilevel"/>
    <w:lvl w:ilvl="0">
      <w:lvlJc w:val="left"/>
      <w:lvlText w:val="%1."/>
      <w:numFmt w:val="lowerLetter"/>
      <w:start w:val="1"/>
    </w:lvl>
  </w:abstractNum>
  <w:abstractNum w:abstractNumId="283">
    <w:nsid w:val="682DFED6"/>
    <w:multiLevelType w:val="hybridMultilevel"/>
    <w:lvl w:ilvl="0">
      <w:lvlJc w:val="left"/>
      <w:lvlText w:val="%1."/>
      <w:numFmt w:val="decimal"/>
      <w:start w:val="7"/>
    </w:lvl>
  </w:abstractNum>
  <w:abstractNum w:abstractNumId="284">
    <w:nsid w:val="606ED7F6"/>
    <w:multiLevelType w:val="hybridMultilevel"/>
    <w:lvl w:ilvl="0">
      <w:lvlJc w:val="left"/>
      <w:lvlText w:val="%1."/>
      <w:numFmt w:val="lowerLetter"/>
      <w:start w:val="1"/>
    </w:lvl>
  </w:abstractNum>
  <w:abstractNum w:abstractNumId="285">
    <w:nsid w:val="2D9DF57D"/>
    <w:multiLevelType w:val="hybridMultilevel"/>
    <w:lvl w:ilvl="0">
      <w:lvlJc w:val="left"/>
      <w:lvlText w:val="%1."/>
      <w:numFmt w:val="lowerLetter"/>
      <w:start w:val="3"/>
    </w:lvl>
  </w:abstractNum>
  <w:abstractNum w:abstractNumId="286">
    <w:nsid w:val="7FBD7A3E"/>
    <w:multiLevelType w:val="hybridMultilevel"/>
    <w:lvl w:ilvl="0">
      <w:lvlJc w:val="left"/>
      <w:lvlText w:val="%1."/>
      <w:numFmt w:val="decimal"/>
      <w:start w:val="8"/>
    </w:lvl>
  </w:abstractNum>
  <w:abstractNum w:abstractNumId="287">
    <w:nsid w:val="490B7C5"/>
    <w:multiLevelType w:val="hybridMultilevel"/>
    <w:lvl w:ilvl="0">
      <w:lvlJc w:val="left"/>
      <w:lvlText w:val="%1."/>
      <w:numFmt w:val="lowerLetter"/>
      <w:start w:val="1"/>
    </w:lvl>
    <w:lvl w:ilvl="1">
      <w:lvlJc w:val="left"/>
      <w:lvlText w:val="%2."/>
      <w:numFmt w:val="lowerRoman"/>
      <w:start w:val="1"/>
    </w:lvl>
  </w:abstractNum>
  <w:abstractNum w:abstractNumId="288">
    <w:nsid w:val="4303A216"/>
    <w:multiLevelType w:val="hybridMultilevel"/>
    <w:lvl w:ilvl="0">
      <w:lvlJc w:val="left"/>
      <w:lvlText w:val="%1"/>
      <w:numFmt w:val="lowerLetter"/>
      <w:start w:val="1"/>
    </w:lvl>
    <w:lvl w:ilvl="1">
      <w:lvlJc w:val="left"/>
      <w:lvlText w:val="%2."/>
      <w:numFmt w:val="lowerRoman"/>
      <w:start w:val="5"/>
    </w:lvl>
  </w:abstractNum>
  <w:abstractNum w:abstractNumId="289">
    <w:nsid w:val="19B8A08E"/>
    <w:multiLevelType w:val="hybridMultilevel"/>
    <w:lvl w:ilvl="0">
      <w:lvlJc w:val="left"/>
      <w:lvlText w:val="%1."/>
      <w:numFmt w:val="lowerLetter"/>
      <w:start w:val="2"/>
    </w:lvl>
    <w:lvl w:ilvl="1">
      <w:lvlJc w:val="left"/>
      <w:lvlText w:val="%2."/>
      <w:numFmt w:val="lowerRoman"/>
      <w:start w:val="1"/>
    </w:lvl>
  </w:abstractNum>
  <w:abstractNum w:abstractNumId="290">
    <w:nsid w:val="54B59621"/>
    <w:multiLevelType w:val="hybridMultilevel"/>
    <w:lvl w:ilvl="0">
      <w:lvlJc w:val="left"/>
      <w:lvlText w:val="%1."/>
      <w:numFmt w:val="decimal"/>
      <w:start w:val="9"/>
    </w:lvl>
    <w:lvl w:ilvl="1">
      <w:lvlJc w:val="left"/>
      <w:lvlText w:val="%2."/>
      <w:numFmt w:val="lowerRoman"/>
      <w:start w:val="1"/>
    </w:lvl>
  </w:abstractNum>
  <w:abstractNum w:abstractNumId="291">
    <w:nsid w:val="5992A02E"/>
    <w:multiLevelType w:val="hybridMultilevel"/>
    <w:lvl w:ilvl="0">
      <w:lvlJc w:val="left"/>
      <w:lvlText w:val="%1."/>
      <w:numFmt w:val="lowerRoman"/>
      <w:start w:val="2"/>
    </w:lvl>
  </w:abstractNum>
  <w:abstractNum w:abstractNumId="292">
    <w:nsid w:val="29EF532D"/>
    <w:multiLevelType w:val="hybridMultilevel"/>
    <w:lvl w:ilvl="0">
      <w:lvlJc w:val="left"/>
      <w:lvlText w:val="%1."/>
      <w:numFmt w:val="decimal"/>
      <w:start w:val="10"/>
    </w:lvl>
  </w:abstractNum>
  <w:abstractNum w:abstractNumId="293">
    <w:nsid w:val="71D601AF"/>
    <w:multiLevelType w:val="hybridMultilevel"/>
    <w:lvl w:ilvl="0">
      <w:lvlJc w:val="left"/>
      <w:lvlText w:val="%1."/>
      <w:numFmt w:val="lowerLetter"/>
      <w:start w:val="1"/>
    </w:lvl>
    <w:lvl w:ilvl="1">
      <w:lvlJc w:val="left"/>
      <w:lvlText w:val="(%2)"/>
      <w:numFmt w:val="lowerRoman"/>
      <w:start w:val="2"/>
    </w:lvl>
  </w:abstractNum>
  <w:abstractNum w:abstractNumId="294">
    <w:nsid w:val="52C77402"/>
    <w:multiLevelType w:val="hybridMultilevel"/>
    <w:lvl w:ilvl="0">
      <w:lvlJc w:val="left"/>
      <w:lvlText w:val="%1."/>
      <w:numFmt w:val="decimal"/>
      <w:start w:val="11"/>
    </w:lvl>
  </w:abstractNum>
  <w:abstractNum w:abstractNumId="295">
    <w:nsid w:val="2BB5B1C6"/>
    <w:multiLevelType w:val="hybridMultilevel"/>
    <w:lvl w:ilvl="0">
      <w:lvlJc w:val="left"/>
      <w:lvlText w:val="%1."/>
      <w:numFmt w:val="lowerLetter"/>
      <w:start w:val="1"/>
    </w:lvl>
  </w:abstractNum>
  <w:abstractNum w:abstractNumId="296">
    <w:nsid w:val="66BE6B9"/>
    <w:multiLevelType w:val="hybridMultilevel"/>
    <w:lvl w:ilvl="0">
      <w:lvlJc w:val="left"/>
      <w:lvlText w:val="%1."/>
      <w:numFmt w:val="decimal"/>
      <w:start w:val="12"/>
    </w:lvl>
  </w:abstractNum>
  <w:abstractNum w:abstractNumId="297">
    <w:nsid w:val="62234363"/>
    <w:multiLevelType w:val="hybridMultilevel"/>
    <w:lvl w:ilvl="0">
      <w:lvlJc w:val="left"/>
      <w:lvlText w:val="%1."/>
      <w:numFmt w:val="lowerLetter"/>
      <w:start w:val="1"/>
    </w:lvl>
  </w:abstractNum>
  <w:abstractNum w:abstractNumId="298">
    <w:nsid w:val="66D385C9"/>
    <w:multiLevelType w:val="hybridMultilevel"/>
    <w:lvl w:ilvl="0">
      <w:lvlJc w:val="left"/>
      <w:lvlText w:val="%1."/>
      <w:numFmt w:val="lowerLetter"/>
      <w:start w:val="2"/>
    </w:lvl>
    <w:lvl w:ilvl="1">
      <w:lvlJc w:val="left"/>
      <w:lvlText w:val="%2."/>
      <w:numFmt w:val="lowerRoman"/>
      <w:start w:val="1"/>
    </w:lvl>
  </w:abstractNum>
  <w:abstractNum w:abstractNumId="299">
    <w:nsid w:val="596F6D8A"/>
    <w:multiLevelType w:val="hybridMultilevel"/>
    <w:lvl w:ilvl="0">
      <w:lvlJc w:val="left"/>
      <w:lvlText w:val="%1."/>
      <w:numFmt w:val="lowerLetter"/>
      <w:start w:val="7"/>
    </w:lvl>
  </w:abstractNum>
  <w:abstractNum w:abstractNumId="300">
    <w:nsid w:val="5749361F"/>
    <w:multiLevelType w:val="hybridMultilevel"/>
    <w:lvl w:ilvl="0">
      <w:lvlJc w:val="left"/>
      <w:lvlText w:val="%1."/>
      <w:numFmt w:val="decimal"/>
      <w:start w:val="13"/>
    </w:lvl>
  </w:abstractNum>
  <w:abstractNum w:abstractNumId="301">
    <w:nsid w:val="73BC6770"/>
    <w:multiLevelType w:val="hybridMultilevel"/>
    <w:lvl w:ilvl="0">
      <w:lvlJc w:val="left"/>
      <w:lvlText w:val="%1."/>
      <w:numFmt w:val="lowerLetter"/>
      <w:start w:val="1"/>
    </w:lvl>
  </w:abstractNum>
  <w:abstractNum w:abstractNumId="302">
    <w:nsid w:val="280E6897"/>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303">
    <w:nsid w:val="605138DE"/>
    <w:multiLevelType w:val="hybridMultilevel"/>
    <w:lvl w:ilvl="0">
      <w:lvlJc w:val="left"/>
      <w:lvlText w:val="%1"/>
      <w:numFmt w:val="lowerRoman"/>
      <w:start w:val="1"/>
    </w:lvl>
    <w:lvl w:ilvl="1">
      <w:lvlJc w:val="left"/>
      <w:lvlText w:val="(%2)"/>
      <w:numFmt w:val="lowerLetter"/>
      <w:start w:val="1"/>
    </w:lvl>
  </w:abstractNum>
  <w:abstractNum w:abstractNumId="304">
    <w:nsid w:val="2622AD0C"/>
    <w:multiLevelType w:val="hybridMultilevel"/>
    <w:lvl w:ilvl="0">
      <w:lvlJc w:val="left"/>
      <w:lvlText w:val="%1."/>
      <w:numFmt w:val="lowerRoman"/>
      <w:start w:val="1"/>
    </w:lvl>
    <w:lvl w:ilvl="1">
      <w:lvlJc w:val="left"/>
      <w:lvlText w:val="%2"/>
      <w:numFmt w:val="lowerLetter"/>
      <w:start w:val="1"/>
    </w:lvl>
  </w:abstractNum>
  <w:abstractNum w:abstractNumId="305">
    <w:nsid w:val="6799755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06">
    <w:nsid w:val="18333C8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07">
    <w:nsid w:val="4BA9831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08">
    <w:nsid w:val="6D71A2B"/>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309">
    <w:nsid w:val="CFC7321"/>
    <w:multiLevelType w:val="hybridMultilevel"/>
    <w:lvl w:ilvl="0">
      <w:lvlJc w:val="left"/>
      <w:lvlText w:val="(%1)"/>
      <w:numFmt w:val="lowerLetter"/>
      <w:start w:val="4"/>
    </w:lvl>
  </w:abstractNum>
  <w:abstractNum w:abstractNumId="310">
    <w:nsid w:val="1421971B"/>
    <w:multiLevelType w:val="hybridMultilevel"/>
    <w:lvl w:ilvl="0">
      <w:lvlJc w:val="left"/>
      <w:lvlText w:val="(%1)"/>
      <w:numFmt w:val="lowerLetter"/>
      <w:start w:val="15"/>
    </w:lvl>
  </w:abstractNum>
  <w:abstractNum w:abstractNumId="311">
    <w:nsid w:val="1F404301"/>
    <w:multiLevelType w:val="hybridMultilevel"/>
    <w:lvl w:ilvl="0">
      <w:lvlJc w:val="left"/>
      <w:lvlText w:val="[***]"/>
      <w:numFmt w:val="bullet"/>
      <w:start w:val="1"/>
    </w:lvl>
  </w:abstractNum>
  <w:abstractNum w:abstractNumId="312">
    <w:nsid w:val="116E0907"/>
    <w:multiLevelType w:val="hybridMultilevel"/>
    <w:lvl w:ilvl="0">
      <w:lvlJc w:val="left"/>
      <w:lvlText w:val="[***]"/>
      <w:numFmt w:val="bullet"/>
      <w:start w:val="1"/>
    </w:lvl>
  </w:abstractNum>
  <w:abstractNum w:abstractNumId="313">
    <w:nsid w:val="4B683D0D"/>
    <w:multiLevelType w:val="hybridMultilevel"/>
    <w:lvl w:ilvl="0">
      <w:lvlJc w:val="left"/>
      <w:lvlText w:val="%1"/>
      <w:numFmt w:val="lowerLetter"/>
      <w:start w:val="1"/>
    </w:lvl>
    <w:lvl w:ilvl="1">
      <w:lvlJc w:val="left"/>
      <w:lvlText w:val="(%2)"/>
      <w:numFmt w:val="lowerLetter"/>
      <w:start w:val="1"/>
    </w:lvl>
  </w:abstractNum>
  <w:abstractNum w:abstractNumId="314">
    <w:nsid w:val="76E41D8"/>
    <w:multiLevelType w:val="hybridMultilevel"/>
    <w:lvl w:ilvl="0">
      <w:lvlJc w:val="left"/>
      <w:lvlText w:val="%1."/>
      <w:numFmt w:val="lowerLetter"/>
      <w:start w:val="1"/>
    </w:lvl>
    <w:lvl w:ilvl="1">
      <w:lvlJc w:val="left"/>
      <w:lvlText w:val="(%2)"/>
      <w:numFmt w:val="lowerLetter"/>
      <w:start w:val="8"/>
    </w:lvl>
  </w:abstractNum>
  <w:abstractNum w:abstractNumId="315">
    <w:nsid w:val="71DCE0FD"/>
    <w:multiLevelType w:val="hybridMultilevel"/>
    <w:lvl w:ilvl="0">
      <w:lvlJc w:val="left"/>
      <w:lvlText w:val="%1"/>
      <w:numFmt w:val="lowerLetter"/>
      <w:start w:val="1"/>
    </w:lvl>
    <w:lvl w:ilvl="1">
      <w:lvlJc w:val="left"/>
      <w:lvlText w:val="(%2)"/>
      <w:numFmt w:val="lowerLetter"/>
      <w:start w:val="10"/>
    </w:lvl>
  </w:abstractNum>
  <w:abstractNum w:abstractNumId="316">
    <w:nsid w:val="7906328B"/>
    <w:multiLevelType w:val="hybridMultilevel"/>
    <w:lvl w:ilvl="0">
      <w:lvlJc w:val="left"/>
      <w:lvlText w:val="%1."/>
      <w:numFmt w:val="lowerLetter"/>
      <w:start w:val="8"/>
    </w:lvl>
    <w:lvl w:ilvl="1">
      <w:lvlJc w:val="left"/>
      <w:lvlText w:val="%2"/>
      <w:numFmt w:val="lowerLetter"/>
      <w:start w:val="1"/>
    </w:lvl>
  </w:abstractNum>
  <w:abstractNum w:abstractNumId="317">
    <w:nsid w:val="72BBC16"/>
    <w:multiLevelType w:val="hybridMultilevel"/>
    <w:lvl w:ilvl="0">
      <w:lvlJc w:val="left"/>
      <w:lvlText w:val="%1."/>
      <w:numFmt w:val="decimal"/>
      <w:start w:val="1"/>
    </w:lvl>
  </w:abstractNum>
  <w:abstractNum w:abstractNumId="318">
    <w:nsid w:val="766D98C2"/>
    <w:multiLevelType w:val="hybridMultilevel"/>
    <w:lvl w:ilvl="0">
      <w:lvlJc w:val="left"/>
      <w:lvlText w:val="%1."/>
      <w:numFmt w:val="decimal"/>
      <w:start w:val="2"/>
    </w:lvl>
  </w:abstractNum>
  <w:abstractNum w:abstractNumId="319">
    <w:nsid w:val="3C09D4A1"/>
    <w:multiLevelType w:val="hybridMultilevel"/>
    <w:lvl w:ilvl="0">
      <w:lvlJc w:val="left"/>
      <w:lvlText w:val="(%1)"/>
      <w:numFmt w:val="lowerLetter"/>
      <w:start w:val="12"/>
    </w:lvl>
  </w:abstractNum>
  <w:abstractNum w:abstractNumId="320">
    <w:nsid w:val="20E45CA4"/>
    <w:multiLevelType w:val="hybridMultilevel"/>
    <w:lvl w:ilvl="0">
      <w:lvlJc w:val="left"/>
      <w:lvlText w:val="(%1)"/>
      <w:numFmt w:val="lowerLetter"/>
      <w:start w:val="13"/>
    </w:lvl>
  </w:abstractNum>
  <w:abstractNum w:abstractNumId="321">
    <w:nsid w:val="4B232EE3"/>
    <w:multiLevelType w:val="hybridMultilevel"/>
    <w:lvl w:ilvl="0">
      <w:lvlJc w:val="left"/>
      <w:lvlText w:val="%1."/>
      <w:numFmt w:val="decimal"/>
      <w:start w:val="3"/>
    </w:lvl>
  </w:abstractNum>
  <w:abstractNum w:abstractNumId="322">
    <w:nsid w:val="159C74CF"/>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323">
    <w:nsid w:val="4AD3AFD2"/>
    <w:multiLevelType w:val="hybridMultilevel"/>
    <w:lvl w:ilvl="0">
      <w:lvlJc w:val="left"/>
      <w:lvlText w:val="(%1)"/>
      <w:numFmt w:val="lowerRoman"/>
      <w:start w:val="4"/>
    </w:lvl>
    <w:lvl w:ilvl="1">
      <w:lvlJc w:val="left"/>
      <w:lvlText w:val="(%2)"/>
      <w:numFmt w:val="lowerRoman"/>
      <w:start w:val="3"/>
    </w:lvl>
    <w:lvl w:ilvl="2">
      <w:lvlJc w:val="left"/>
      <w:lvlText w:val="%3"/>
      <w:numFmt w:val="upperLetter"/>
      <w:start w:val="1"/>
    </w:lvl>
  </w:abstractNum>
  <w:abstractNum w:abstractNumId="324">
    <w:nsid w:val="3CF93092"/>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abstractNum>
  <w:abstractNum w:abstractNumId="325">
    <w:nsid w:val="6863E8D2"/>
    <w:multiLevelType w:val="hybridMultilevel"/>
    <w:lvl w:ilvl="0">
      <w:lvlJc w:val="left"/>
      <w:lvlText w:val="%1."/>
      <w:numFmt w:val="decimal"/>
      <w:start w:val="4"/>
    </w:lvl>
  </w:abstractNum>
  <w:abstractNum w:abstractNumId="326">
    <w:nsid w:val="76896198"/>
    <w:multiLevelType w:val="hybridMultilevel"/>
    <w:lvl w:ilvl="0">
      <w:lvlJc w:val="left"/>
      <w:lvlText w:val="(%1)"/>
      <w:numFmt w:val="lowerRoman"/>
      <w:start w:val="2"/>
    </w:lvl>
  </w:abstractNum>
  <w:abstractNum w:abstractNumId="327">
    <w:nsid w:val="4365174B"/>
    <w:multiLevelType w:val="hybridMultilevel"/>
    <w:lvl w:ilvl="0">
      <w:lvlJc w:val="left"/>
      <w:lvlText w:val="(%1)"/>
      <w:numFmt w:val="lowerLetter"/>
      <w:start w:val="4"/>
    </w:lvl>
  </w:abstractNum>
  <w:abstractNum w:abstractNumId="328">
    <w:nsid w:val="4A872C35"/>
    <w:multiLevelType w:val="hybridMultilevel"/>
    <w:lvl w:ilvl="0">
      <w:lvlJc w:val="left"/>
      <w:lvlText w:val="%1."/>
      <w:numFmt w:val="decimal"/>
      <w:start w:val="6"/>
    </w:lvl>
  </w:abstractNum>
  <w:abstractNum w:abstractNumId="329">
    <w:nsid w:val="5D5CE7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0">
    <w:nsid w:val="1CD484D5"/>
    <w:multiLevelType w:val="hybridMultilevel"/>
    <w:lvl w:ilvl="0">
      <w:lvlJc w:val="left"/>
      <w:lvlText w:val="%1."/>
      <w:numFmt w:val="decimal"/>
      <w:start w:val="2"/>
    </w:lvl>
  </w:abstractNum>
  <w:abstractNum w:abstractNumId="331">
    <w:nsid w:val="21D06255"/>
    <w:multiLevelType w:val="hybridMultilevel"/>
    <w:lvl w:ilvl="0">
      <w:lvlJc w:val="left"/>
      <w:lvlText w:val="%1."/>
      <w:numFmt w:val="decimal"/>
      <w:start w:val="1"/>
    </w:lvl>
  </w:abstractNum>
  <w:abstractNum w:abstractNumId="332">
    <w:nsid w:val="51194ED1"/>
    <w:multiLevelType w:val="hybridMultilevel"/>
    <w:lvl w:ilvl="0">
      <w:lvlJc w:val="left"/>
      <w:lvlText w:val="%1."/>
      <w:numFmt w:val="decimal"/>
      <w:start w:val="2"/>
    </w:lvl>
  </w:abstractNum>
  <w:abstractNum w:abstractNumId="333">
    <w:nsid w:val="44E2ED6C"/>
    <w:multiLevelType w:val="hybridMultilevel"/>
    <w:lvl w:ilvl="0">
      <w:lvlJc w:val="left"/>
      <w:lvlText w:val="%1."/>
      <w:numFmt w:val="decimal"/>
      <w:start w:val="4"/>
    </w:lvl>
  </w:abstractNum>
  <w:abstractNum w:abstractNumId="334">
    <w:nsid w:val="2219B33"/>
    <w:multiLevelType w:val="hybridMultilevel"/>
    <w:lvl w:ilvl="0">
      <w:lvlJc w:val="left"/>
      <w:lvlText w:val="%1."/>
      <w:numFmt w:val="decimal"/>
      <w:start w:val="1"/>
    </w:lvl>
  </w:abstractNum>
  <w:abstractNum w:abstractNumId="335">
    <w:nsid w:val="773BFBDD"/>
    <w:multiLevelType w:val="hybridMultilevel"/>
    <w:lvl w:ilvl="0">
      <w:lvlJc w:val="left"/>
      <w:lvlText w:val="%1."/>
      <w:numFmt w:val="decimal"/>
      <w:start w:val="3"/>
    </w:lvl>
  </w:abstractNum>
  <w:abstractNum w:abstractNumId="336">
    <w:nsid w:val="2C7C62C2"/>
    <w:multiLevelType w:val="hybridMultilevel"/>
    <w:lvl w:ilvl="0">
      <w:lvlJc w:val="left"/>
      <w:lvlText w:val="%1."/>
      <w:numFmt w:val="decimal"/>
      <w:start w:val="6"/>
    </w:lvl>
  </w:abstractNum>
  <w:abstractNum w:abstractNumId="337">
    <w:nsid w:val="1A54D7BC"/>
    <w:multiLevelType w:val="hybridMultilevel"/>
    <w:lvl w:ilvl="0">
      <w:lvlJc w:val="left"/>
      <w:lvlText w:val="%1."/>
      <w:numFmt w:val="decimal"/>
      <w:start w:val="8"/>
    </w:lvl>
  </w:abstractNum>
  <w:abstractNum w:abstractNumId="338">
    <w:nsid w:val="42E57EF7"/>
    <w:multiLevelType w:val="hybridMultilevel"/>
    <w:lvl w:ilvl="0">
      <w:lvlJc w:val="left"/>
      <w:lvlText w:val="%1."/>
      <w:numFmt w:val="decimal"/>
      <w:start w:val="10"/>
    </w:lvl>
  </w:abstractNum>
  <w:abstractNum w:abstractNumId="339">
    <w:nsid w:val="33537CED"/>
    <w:multiLevelType w:val="hybridMultilevel"/>
    <w:lvl w:ilvl="0">
      <w:lvlJc w:val="left"/>
      <w:lvlText w:val="%1."/>
      <w:numFmt w:val="decimal"/>
      <w:start w:val="1"/>
    </w:lvl>
    <w:lvl w:ilvl="1">
      <w:lvlJc w:val="left"/>
      <w:lvlText w:val="%2."/>
      <w:numFmt w:val="lowerLetter"/>
      <w:start w:val="1"/>
    </w:lvl>
  </w:abstractNum>
  <w:abstractNum w:abstractNumId="340">
    <w:nsid w:val="27514ADE"/>
    <w:multiLevelType w:val="hybridMultilevel"/>
    <w:lvl w:ilvl="0">
      <w:lvlJc w:val="left"/>
      <w:lvlText w:val="%1."/>
      <w:numFmt w:val="decimal"/>
      <w:start w:val="1"/>
    </w:lvl>
  </w:abstractNum>
  <w:abstractNum w:abstractNumId="341">
    <w:nsid w:val="57071613"/>
    <w:multiLevelType w:val="hybridMultilevel"/>
    <w:lvl w:ilvl="0">
      <w:lvlJc w:val="left"/>
      <w:lvlText w:val="%1."/>
      <w:numFmt w:val="decimal"/>
      <w:start w:val="1"/>
    </w:lvl>
  </w:abstractNum>
  <w:abstractNum w:abstractNumId="342">
    <w:nsid w:val="5293BFEF"/>
    <w:multiLevelType w:val="hybridMultilevel"/>
    <w:lvl w:ilvl="0">
      <w:lvlJc w:val="left"/>
      <w:lvlText w:val="%1."/>
      <w:numFmt w:val="decimal"/>
      <w:start w:val="2"/>
    </w:lvl>
  </w:abstractNum>
  <w:abstractNum w:abstractNumId="343">
    <w:nsid w:val="38BF53E5"/>
    <w:multiLevelType w:val="hybridMultilevel"/>
    <w:lvl w:ilvl="0">
      <w:lvlJc w:val="left"/>
      <w:lvlText w:val="%1."/>
      <w:numFmt w:val="decimal"/>
      <w:start w:val="1"/>
    </w:lvl>
    <w:lvl w:ilvl="1">
      <w:lvlJc w:val="left"/>
      <w:lvlText w:val="(%2)"/>
      <w:numFmt w:val="lowerLetter"/>
      <w:start w:val="1"/>
    </w:lvl>
  </w:abstractNum>
  <w:abstractNum w:abstractNumId="344">
    <w:nsid w:val="226F5320"/>
    <w:multiLevelType w:val="hybridMultilevel"/>
    <w:lvl w:ilvl="0">
      <w:lvlJc w:val="left"/>
      <w:lvlText w:val="%1."/>
      <w:numFmt w:val="decimal"/>
      <w:start w:val="3"/>
    </w:lvl>
  </w:abstractNum>
  <w:abstractNum w:abstractNumId="345">
    <w:nsid w:val="5A0201C7"/>
    <w:multiLevelType w:val="hybridMultilevel"/>
    <w:lvl w:ilvl="0">
      <w:lvlJc w:val="left"/>
      <w:lvlText w:val="%1."/>
      <w:numFmt w:val="decimal"/>
      <w:start w:val="4"/>
    </w:lvl>
  </w:abstractNum>
  <w:abstractNum w:abstractNumId="346">
    <w:nsid w:val="2A9C34E2"/>
    <w:multiLevelType w:val="hybridMultilevel"/>
    <w:lvl w:ilvl="0">
      <w:lvlJc w:val="left"/>
      <w:lvlText w:val="(%1)"/>
      <w:numFmt w:val="lowerLetter"/>
      <w:start w:val="1"/>
    </w:lvl>
  </w:abstractNum>
  <w:abstractNum w:abstractNumId="347">
    <w:nsid w:val="1B7585AB"/>
    <w:multiLevelType w:val="hybridMultilevel"/>
    <w:lvl w:ilvl="0">
      <w:lvlJc w:val="left"/>
      <w:lvlText w:val="%1."/>
      <w:numFmt w:val="lowerRoman"/>
      <w:start w:val="1"/>
    </w:lvl>
  </w:abstractNum>
  <w:abstractNum w:abstractNumId="348">
    <w:nsid w:val="612DBDDD"/>
    <w:multiLevelType w:val="hybridMultilevel"/>
    <w:lvl w:ilvl="0">
      <w:lvlJc w:val="left"/>
      <w:lvlText w:val="(%1)"/>
      <w:numFmt w:val="lowerLetter"/>
      <w:start w:val="2"/>
    </w:lvl>
  </w:abstractNum>
  <w:abstractNum w:abstractNumId="349">
    <w:nsid w:val="2109CDA4"/>
    <w:multiLevelType w:val="hybridMultilevel"/>
    <w:lvl w:ilvl="0">
      <w:lvlJc w:val="left"/>
      <w:lvlText w:val="%1."/>
      <w:numFmt w:val="decimal"/>
      <w:start w:val="7"/>
    </w:lvl>
  </w:abstractNum>
  <w:abstractNum w:abstractNumId="350">
    <w:nsid w:val="577F5A4D"/>
    <w:multiLevelType w:val="hybridMultilevel"/>
    <w:lvl w:ilvl="0">
      <w:lvlJc w:val="left"/>
      <w:lvlText w:val="%1."/>
      <w:numFmt w:val="upperLetter"/>
      <w:start w:val="1"/>
    </w:lvl>
  </w:abstractNum>
  <w:abstractNum w:abstractNumId="351">
    <w:nsid w:val="2121A81"/>
    <w:multiLevelType w:val="hybridMultilevel"/>
    <w:lvl w:ilvl="0">
      <w:lvlJc w:val="left"/>
      <w:lvlText w:val="%1."/>
      <w:numFmt w:val="decimal"/>
      <w:start w:val="1"/>
    </w:lvl>
    <w:lvl w:ilvl="1">
      <w:lvlJc w:val="left"/>
      <w:lvlText w:val="(%2)"/>
      <w:numFmt w:val="lowerLetter"/>
      <w:start w:val="1"/>
    </w:lvl>
  </w:abstractNum>
  <w:abstractNum w:abstractNumId="352">
    <w:nsid w:val="6C2CFC88"/>
    <w:multiLevelType w:val="hybridMultilevel"/>
    <w:lvl w:ilvl="0">
      <w:lvlJc w:val="left"/>
      <w:lvlText w:val="%1."/>
      <w:numFmt w:val="decimal"/>
      <w:start w:val="5"/>
    </w:lvl>
    <w:lvl w:ilvl="1">
      <w:lvlJc w:val="left"/>
      <w:lvlText w:val="[***]"/>
      <w:numFmt w:val="bullet"/>
      <w:start w:val="1"/>
    </w:lvl>
  </w:abstractNum>
  <w:abstractNum w:abstractNumId="353">
    <w:nsid w:val="6D1BCF1C"/>
    <w:multiLevelType w:val="hybridMultilevel"/>
    <w:lvl w:ilvl="0">
      <w:lvlJc w:val="left"/>
      <w:lvlText w:val="(%1)"/>
      <w:numFmt w:val="lowerLetter"/>
      <w:start w:val="3"/>
    </w:lvl>
  </w:abstractNum>
  <w:abstractNum w:abstractNumId="354">
    <w:nsid w:val="4CE5CA53"/>
    <w:multiLevelType w:val="hybridMultilevel"/>
    <w:lvl w:ilvl="0">
      <w:lvlJc w:val="left"/>
      <w:lvlText w:val="%1."/>
      <w:numFmt w:val="lowerRoman"/>
      <w:start w:val="1"/>
    </w:lvl>
  </w:abstractNum>
  <w:abstractNum w:abstractNumId="355">
    <w:nsid w:val="29262D1A"/>
    <w:multiLevelType w:val="hybridMultilevel"/>
    <w:lvl w:ilvl="0">
      <w:lvlJc w:val="left"/>
      <w:lvlText w:val="%1."/>
      <w:numFmt w:val="lowerRoman"/>
      <w:start w:val="3"/>
    </w:lvl>
  </w:abstractNum>
  <w:abstractNum w:abstractNumId="356">
    <w:nsid w:val="557FB7EE"/>
    <w:multiLevelType w:val="hybridMultilevel"/>
    <w:lvl w:ilvl="0">
      <w:lvlJc w:val="left"/>
      <w:lvlText w:val="%1."/>
      <w:numFmt w:val="lowerRoman"/>
      <w:start w:val="4"/>
    </w:lvl>
  </w:abstractNum>
  <w:abstractNum w:abstractNumId="357">
    <w:nsid w:val="436F2BEB"/>
    <w:multiLevelType w:val="hybridMultilevel"/>
    <w:lvl w:ilvl="0">
      <w:lvlJc w:val="left"/>
      <w:lvlText w:val="%1."/>
      <w:numFmt w:val="lowerRoman"/>
      <w:start w:val="5"/>
    </w:lvl>
  </w:abstractNum>
  <w:abstractNum w:abstractNumId="358">
    <w:nsid w:val="6C8B4466"/>
    <w:multiLevelType w:val="hybridMultilevel"/>
    <w:lvl w:ilvl="0">
      <w:lvlJc w:val="left"/>
      <w:lvlText w:val="%1"/>
      <w:numFmt w:val="decimal"/>
      <w:start w:val="1"/>
    </w:lvl>
    <w:lvl w:ilvl="1">
      <w:lvlJc w:val="left"/>
      <w:lvlText w:val="%2."/>
      <w:numFmt w:val="lowerRoman"/>
      <w:start w:val="6"/>
    </w:lvl>
  </w:abstractNum>
  <w:abstractNum w:abstractNumId="359">
    <w:nsid w:val="2006E424"/>
    <w:multiLevelType w:val="hybridMultilevel"/>
    <w:lvl w:ilvl="0">
      <w:lvlJc w:val="left"/>
      <w:lvlText w:val="%1."/>
      <w:numFmt w:val="decimal"/>
      <w:start w:val="6"/>
    </w:lvl>
    <w:lvl w:ilvl="1">
      <w:lvlJc w:val="left"/>
      <w:lvlText w:val="%2"/>
      <w:numFmt w:val="lowerRoman"/>
      <w:start w:val="1"/>
    </w:lvl>
  </w:abstractNum>
  <w:abstractNum w:abstractNumId="360">
    <w:nsid w:val="20CC134C"/>
    <w:multiLevelType w:val="hybridMultilevel"/>
    <w:lvl w:ilvl="0">
      <w:lvlJc w:val="left"/>
      <w:lvlText w:val="%1."/>
      <w:numFmt w:val="decimal"/>
      <w:start w:val="1"/>
    </w:lvl>
    <w:lvl w:ilvl="1">
      <w:lvlJc w:val="left"/>
      <w:lvlText w:val="(%2)"/>
      <w:numFmt w:val="lowerLetter"/>
      <w:start w:val="1"/>
    </w:lvl>
  </w:abstractNum>
  <w:abstractNum w:abstractNumId="361">
    <w:nsid w:val="95FC93B"/>
    <w:multiLevelType w:val="hybridMultilevel"/>
    <w:lvl w:ilvl="0">
      <w:lvlJc w:val="left"/>
      <w:lvlText w:val="%1."/>
      <w:numFmt w:val="decimal"/>
      <w:start w:val="2"/>
    </w:lvl>
  </w:abstractNum>
  <w:abstractNum w:abstractNumId="362">
    <w:nsid w:val="41D74679"/>
    <w:multiLevelType w:val="hybridMultilevel"/>
    <w:lvl w:ilvl="0">
      <w:lvlJc w:val="left"/>
      <w:lvlText w:val="%1"/>
      <w:numFmt w:val="decimal"/>
      <w:start w:val="1"/>
    </w:lvl>
    <w:lvl w:ilvl="1">
      <w:lvlJc w:val="left"/>
      <w:lvlText w:val="(%2)"/>
      <w:numFmt w:val="decimal"/>
      <w:start w:val="1"/>
    </w:lvl>
  </w:abstractNum>
  <w:abstractNum w:abstractNumId="363">
    <w:nsid w:val="71E5621E"/>
    <w:multiLevelType w:val="hybridMultilevel"/>
    <w:lvl w:ilvl="0">
      <w:lvlJc w:val="left"/>
      <w:lvlText w:val="%1."/>
      <w:numFmt w:val="decimal"/>
      <w:start w:val="3"/>
    </w:lvl>
    <w:lvl w:ilvl="1">
      <w:lvlJc w:val="left"/>
      <w:lvlText w:val="%2"/>
      <w:numFmt w:val="decimal"/>
      <w:start w:val="1"/>
    </w:lvl>
  </w:abstractNum>
  <w:abstractNum w:abstractNumId="364">
    <w:nsid w:val="4E42B6A8"/>
    <w:multiLevelType w:val="hybridMultilevel"/>
    <w:lvl w:ilvl="0">
      <w:lvlJc w:val="left"/>
      <w:lvlText w:val="%1."/>
      <w:numFmt w:val="decimal"/>
      <w:start w:val="6"/>
    </w:lvl>
  </w:abstractNum>
  <w:abstractNum w:abstractNumId="365">
    <w:nsid w:val="43F8E1AC"/>
    <w:multiLevelType w:val="hybridMultilevel"/>
    <w:lvl w:ilvl="0">
      <w:lvlJc w:val="left"/>
      <w:lvlText w:val="%1"/>
      <w:numFmt w:val="lowerRoman"/>
      <w:start w:val="1"/>
    </w:lvl>
    <w:lvl w:ilvl="1">
      <w:lvlJc w:val="left"/>
      <w:lvlText w:val="(%2)"/>
      <w:numFmt w:val="lowerLetter"/>
      <w:start w:val="3"/>
    </w:lvl>
  </w:abstractNum>
  <w:abstractNum w:abstractNumId="366">
    <w:nsid w:val="69215DFB"/>
    <w:multiLevelType w:val="hybridMultilevel"/>
    <w:lvl w:ilvl="0">
      <w:lvlJc w:val="left"/>
      <w:lvlText w:val="%1."/>
      <w:numFmt w:val="lowerRoman"/>
      <w:start w:val="1"/>
    </w:lvl>
    <w:lvl w:ilvl="1">
      <w:lvlJc w:val="left"/>
      <w:lvlText w:val="%2"/>
      <w:numFmt w:val="lowerLetter"/>
      <w:start w:val="1"/>
    </w:lvl>
  </w:abstractNum>
  <w:abstractNum w:abstractNumId="367">
    <w:nsid w:val="7ABF196A"/>
    <w:multiLevelType w:val="hybridMultilevel"/>
    <w:lvl w:ilvl="0">
      <w:lvlJc w:val="left"/>
      <w:lvlText w:val="%1."/>
      <w:numFmt w:val="lowerRoman"/>
      <w:start w:val="2"/>
    </w:lvl>
  </w:abstractNum>
  <w:abstractNum w:abstractNumId="368">
    <w:nsid w:val="5E4DB968"/>
    <w:multiLevelType w:val="hybridMultilevel"/>
    <w:lvl w:ilvl="0">
      <w:lvlJc w:val="left"/>
      <w:lvlText w:val="%1"/>
      <w:numFmt w:val="decimal"/>
      <w:start w:val="1"/>
    </w:lvl>
    <w:lvl w:ilvl="1">
      <w:lvlJc w:val="left"/>
      <w:lvlText w:val="%2."/>
      <w:numFmt w:val="lowerRoman"/>
      <w:start w:val="3"/>
    </w:lvl>
  </w:abstractNum>
  <w:abstractNum w:abstractNumId="369">
    <w:nsid w:val="2C06DCF3"/>
    <w:multiLevelType w:val="hybridMultilevel"/>
    <w:lvl w:ilvl="0">
      <w:lvlJc w:val="left"/>
      <w:lvlText w:val="%1."/>
      <w:numFmt w:val="decimal"/>
      <w:start w:val="7"/>
    </w:lvl>
    <w:lvl w:ilvl="1">
      <w:lvlJc w:val="left"/>
      <w:lvlText w:val="%2"/>
      <w:numFmt w:val="lowerRoman"/>
      <w:start w:val="1"/>
    </w:lvl>
  </w:abstractNum>
  <w:abstractNum w:abstractNumId="370">
    <w:nsid w:val="2E129658"/>
    <w:multiLevelType w:val="hybridMultilevel"/>
    <w:lvl w:ilvl="0">
      <w:lvlJc w:val="left"/>
      <w:lvlText w:val="%1."/>
      <w:numFmt w:val="decimal"/>
      <w:start w:val="1"/>
    </w:lvl>
  </w:abstractNum>
  <w:abstractNum w:abstractNumId="371">
    <w:nsid w:val="59F0446"/>
    <w:multiLevelType w:val="hybridMultilevel"/>
    <w:lvl w:ilvl="0">
      <w:lvlJc w:val="left"/>
      <w:lvlText w:val="%1."/>
      <w:numFmt w:val="decimal"/>
      <w:start w:val="1"/>
    </w:lvl>
    <w:lvl w:ilvl="1">
      <w:lvlJc w:val="left"/>
      <w:lvlText w:val="(%2)"/>
      <w:numFmt w:val="lowerLetter"/>
      <w:start w:val="1"/>
    </w:lvl>
  </w:abstractNum>
  <w:abstractNum w:abstractNumId="372">
    <w:nsid w:val="30DF306"/>
    <w:multiLevelType w:val="hybridMultilevel"/>
    <w:lvl w:ilvl="0">
      <w:lvlJc w:val="left"/>
      <w:lvlText w:val="%1."/>
      <w:numFmt w:val="decimal"/>
      <w:start w:val="2"/>
    </w:lvl>
    <w:lvl w:ilvl="1">
      <w:lvlJc w:val="left"/>
      <w:lvlText w:val="(%2)"/>
      <w:numFmt w:val="lowerLetter"/>
      <w:start w:val="1"/>
    </w:lvl>
  </w:abstractNum>
  <w:abstractNum w:abstractNumId="373">
    <w:nsid w:val="A6564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4">
    <w:nsid w:val="3E5E582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5">
    <w:nsid w:val="257D4626"/>
    <w:multiLevelType w:val="hybridMultilevel"/>
    <w:lvl w:ilvl="0">
      <w:lvlJc w:val="left"/>
      <w:lvlText w:val="%1."/>
      <w:numFmt w:val="decimal"/>
      <w:start w:val="5"/>
    </w:lvl>
    <w:lvl w:ilvl="1">
      <w:lvlJc w:val="left"/>
      <w:lvlText w:val="(%2)"/>
      <w:numFmt w:val="lowerLetter"/>
      <w:start w:val="1"/>
    </w:lvl>
  </w:abstractNum>
  <w:abstractNum w:abstractNumId="376">
    <w:nsid w:val="5AA8580E"/>
    <w:multiLevelType w:val="hybridMultilevel"/>
    <w:lvl w:ilvl="0">
      <w:lvlJc w:val="left"/>
      <w:lvlText w:val="%1"/>
      <w:numFmt w:val="decimal"/>
      <w:start w:val="1"/>
    </w:lvl>
    <w:lvl w:ilvl="1">
      <w:lvlJc w:val="left"/>
      <w:lvlText w:val="(%2)"/>
      <w:numFmt w:val="lowerLetter"/>
      <w:start w:val="3"/>
    </w:lvl>
  </w:abstractNum>
  <w:abstractNum w:abstractNumId="377">
    <w:nsid w:val="68FA8D0D"/>
    <w:multiLevelType w:val="hybridMultilevel"/>
    <w:lvl w:ilvl="0">
      <w:lvlJc w:val="left"/>
      <w:lvlText w:val="%1."/>
      <w:numFmt w:val="decimal"/>
      <w:start w:val="6"/>
    </w:lvl>
    <w:lvl w:ilvl="1">
      <w:lvlJc w:val="left"/>
      <w:lvlText w:val="(%2)"/>
      <w:numFmt w:val="lowerLetter"/>
      <w:start w:val="1"/>
    </w:lvl>
  </w:abstractNum>
  <w:abstractNum w:abstractNumId="378">
    <w:nsid w:val="40F2CBD2"/>
    <w:multiLevelType w:val="hybridMultilevel"/>
    <w:lvl w:ilvl="0">
      <w:lvlJc w:val="left"/>
      <w:lvlText w:val="(%1)"/>
      <w:numFmt w:val="decimal"/>
      <w:start w:val="2"/>
    </w:lvl>
    <w:lvl w:ilvl="1">
      <w:lvlJc w:val="left"/>
      <w:lvlText w:val="(%2)"/>
      <w:numFmt w:val="lowerLetter"/>
      <w:start w:val="2"/>
    </w:lvl>
  </w:abstractNum>
  <w:abstractNum w:abstractNumId="379">
    <w:nsid w:val="3BD615EB"/>
    <w:multiLevelType w:val="hybridMultilevel"/>
    <w:lvl w:ilvl="0">
      <w:lvlJc w:val="left"/>
      <w:lvlText w:val="%1."/>
      <w:numFmt w:val="decimal"/>
      <w:start w:val="7"/>
    </w:lvl>
    <w:lvl w:ilvl="1">
      <w:lvlJc w:val="left"/>
      <w:lvlText w:val="(%2)"/>
      <w:numFmt w:val="lowerLetter"/>
      <w:start w:val="1"/>
    </w:lvl>
  </w:abstractNum>
  <w:abstractNum w:abstractNumId="380">
    <w:nsid w:val="A045AB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81">
    <w:nsid w:val="1872261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82">
    <w:nsid w:val="3DE8306C"/>
    <w:multiLevelType w:val="hybridMultilevel"/>
    <w:lvl w:ilvl="0">
      <w:lvlJc w:val="left"/>
      <w:lvlText w:val="%1"/>
      <w:numFmt w:val="decimal"/>
      <w:start w:val="120"/>
    </w:lvl>
    <w:lvl w:ilvl="1">
      <w:lvlJc w:val="left"/>
      <w:lvlText w:val="(%2)"/>
      <w:numFmt w:val="lowerLetter"/>
      <w:start w:val="2"/>
    </w:lvl>
    <w:lvl w:ilvl="2">
      <w:lvlJc w:val="left"/>
      <w:lvlText w:val="(%3)"/>
      <w:numFmt w:val="lowerRoman"/>
      <w:start w:val="1"/>
    </w:lvl>
  </w:abstractNum>
  <w:abstractNum w:abstractNumId="383">
    <w:nsid w:val="7631573A"/>
    <w:multiLevelType w:val="hybridMultilevel"/>
    <w:lvl w:ilvl="0">
      <w:lvlJc w:val="left"/>
      <w:lvlText w:val="%1"/>
      <w:numFmt w:val="lowerLetter"/>
      <w:start w:val="1"/>
    </w:lvl>
    <w:lvl w:ilvl="1">
      <w:lvlJc w:val="left"/>
      <w:lvlText w:val="(%2)"/>
      <w:numFmt w:val="lowerLetter"/>
      <w:start w:val="61"/>
    </w:lvl>
  </w:abstractNum>
  <w:abstractNum w:abstractNumId="384">
    <w:nsid w:val="58DF53B"/>
    <w:multiLevelType w:val="hybridMultilevel"/>
    <w:lvl w:ilvl="0">
      <w:lvlJc w:val="left"/>
      <w:lvlText w:val="(%1)"/>
      <w:numFmt w:val="lowerLetter"/>
      <w:start w:val="3"/>
    </w:lvl>
    <w:lvl w:ilvl="1">
      <w:lvlJc w:val="left"/>
      <w:lvlText w:val="(%2)"/>
      <w:numFmt w:val="lowerLetter"/>
      <w:start w:val="9"/>
    </w:lvl>
  </w:abstractNum>
  <w:abstractNum w:abstractNumId="385">
    <w:nsid w:val="ACDFAC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86">
    <w:nsid w:val="1F578454"/>
    <w:multiLevelType w:val="hybridMultilevel"/>
    <w:lvl w:ilvl="0">
      <w:lvlJc w:val="left"/>
      <w:lvlText w:val="(%1)"/>
      <w:numFmt w:val="decimal"/>
      <w:start w:val="180"/>
    </w:lvl>
    <w:lvl w:ilvl="1">
      <w:lvlJc w:val="left"/>
      <w:lvlText w:val="(%2)"/>
      <w:numFmt w:val="lowerLetter"/>
      <w:start w:val="4"/>
    </w:lvl>
    <w:lvl w:ilvl="2">
      <w:lvlJc w:val="left"/>
      <w:lvlText w:val="%3"/>
      <w:numFmt w:val="lowerLetter"/>
      <w:start w:val="1"/>
    </w:lvl>
  </w:abstractNum>
  <w:abstractNum w:abstractNumId="387">
    <w:nsid w:val="5B0DAD2A"/>
    <w:multiLevelType w:val="hybridMultilevel"/>
    <w:lvl w:ilvl="0">
      <w:lvlJc w:val="left"/>
      <w:lvlText w:val="(%1)"/>
      <w:numFmt w:val="decimal"/>
      <w:start w:val="6"/>
    </w:lvl>
    <w:lvl w:ilvl="1">
      <w:lvlJc w:val="left"/>
      <w:lvlText w:val="(%2)"/>
      <w:numFmt w:val="lowerLetter"/>
      <w:start w:val="5"/>
    </w:lvl>
    <w:lvl w:ilvl="2">
      <w:lvlJc w:val="left"/>
      <w:lvlText w:val="%3"/>
      <w:numFmt w:val="lowerLetter"/>
      <w:start w:val="1"/>
    </w:lvl>
  </w:abstractNum>
  <w:abstractNum w:abstractNumId="388">
    <w:nsid w:val="4E3D26AB"/>
    <w:multiLevelType w:val="hybridMultilevel"/>
    <w:lvl w:ilvl="0">
      <w:lvlJc w:val="left"/>
      <w:lvlText w:val="%1."/>
      <w:numFmt w:val="decimal"/>
      <w:start w:val="9"/>
    </w:lvl>
    <w:lvl w:ilvl="1">
      <w:lvlJc w:val="left"/>
      <w:lvlText w:val="(%2)"/>
      <w:numFmt w:val="lowerLetter"/>
      <w:start w:val="1"/>
    </w:lvl>
  </w:abstractNum>
  <w:abstractNum w:abstractNumId="389">
    <w:nsid w:val="BE2C8BA"/>
    <w:multiLevelType w:val="hybridMultilevel"/>
    <w:lvl w:ilvl="0">
      <w:lvlJc w:val="left"/>
      <w:lvlText w:val="%1"/>
      <w:numFmt w:val="decimal"/>
      <w:start w:val="1"/>
    </w:lvl>
    <w:lvl w:ilvl="1">
      <w:lvlJc w:val="left"/>
      <w:lvlText w:val="(%2)"/>
      <w:numFmt w:val="lowerLetter"/>
      <w:start w:val="2"/>
    </w:lvl>
  </w:abstractNum>
  <w:abstractNum w:abstractNumId="390">
    <w:nsid w:val="7B14914E"/>
    <w:multiLevelType w:val="hybridMultilevel"/>
    <w:lvl w:ilvl="0">
      <w:lvlJc w:val="left"/>
      <w:lvlText w:val="%1."/>
      <w:numFmt w:val="decimal"/>
      <w:start w:val="10"/>
    </w:lvl>
    <w:lvl w:ilvl="1">
      <w:lvlJc w:val="left"/>
      <w:lvlText w:val="(%2)"/>
      <w:numFmt w:val="lowerLetter"/>
      <w:start w:val="1"/>
    </w:lvl>
  </w:abstractNum>
  <w:abstractNum w:abstractNumId="391">
    <w:nsid w:val="6F0939F8"/>
    <w:multiLevelType w:val="hybridMultilevel"/>
    <w:lvl w:ilvl="0">
      <w:lvlJc w:val="left"/>
      <w:lvlText w:val="[***]"/>
      <w:numFmt w:val="bullet"/>
      <w:start w:val="1"/>
    </w:lvl>
    <w:lvl w:ilvl="1">
      <w:lvlJc w:val="left"/>
      <w:lvlText w:val="(%2)"/>
      <w:numFmt w:val="lowerLetter"/>
      <w:start w:val="3"/>
    </w:lvl>
  </w:abstractNum>
  <w:abstractNum w:abstractNumId="392">
    <w:nsid w:val="154291F6"/>
    <w:multiLevelType w:val="hybridMultilevel"/>
    <w:lvl w:ilvl="0">
      <w:lvlJc w:val="left"/>
      <w:lvlText w:val="[***]"/>
      <w:numFmt w:val="bullet"/>
      <w:start w:val="1"/>
    </w:lvl>
    <w:lvl w:ilvl="1">
      <w:lvlJc w:val="left"/>
      <w:lvlText w:val="(%2)"/>
      <w:numFmt w:val="lowerLetter"/>
      <w:start w:val="5"/>
    </w:lvl>
  </w:abstractNum>
  <w:abstractNum w:abstractNumId="393">
    <w:nsid w:val="3CEBD7C7"/>
    <w:multiLevelType w:val="hybridMultilevel"/>
    <w:lvl w:ilvl="0">
      <w:lvlJc w:val="left"/>
      <w:lvlText w:val="%1."/>
      <w:numFmt w:val="decimal"/>
      <w:start w:val="12"/>
    </w:lvl>
    <w:lvl w:ilvl="1">
      <w:lvlJc w:val="left"/>
      <w:lvlText w:val="(%2)"/>
      <w:numFmt w:val="lowerLetter"/>
      <w:start w:val="1"/>
    </w:lvl>
  </w:abstractNum>
  <w:abstractNum w:abstractNumId="394">
    <w:nsid w:val="60EE9C16"/>
    <w:multiLevelType w:val="hybridMultilevel"/>
    <w:lvl w:ilvl="0">
      <w:lvlJc w:val="left"/>
      <w:lvlText w:val="(%1)"/>
      <w:numFmt w:val="lowerLetter"/>
      <w:start w:val="9"/>
    </w:lvl>
  </w:abstractNum>
  <w:abstractNum w:abstractNumId="395">
    <w:nsid w:val="6385489E"/>
    <w:multiLevelType w:val="hybridMultilevel"/>
    <w:lvl w:ilvl="0">
      <w:lvlJc w:val="left"/>
      <w:lvlText w:val="%1)"/>
      <w:numFmt w:val="decimal"/>
      <w:start w:val="1"/>
    </w:lvl>
  </w:abstractNum>
  <w:abstractNum w:abstractNumId="396">
    <w:nsid w:val="E4B97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97">
    <w:nsid w:val="4A0FFA11"/>
    <w:multiLevelType w:val="hybridMultilevel"/>
    <w:lvl w:ilvl="0">
      <w:lvlJc w:val="left"/>
      <w:lvlText w:val="%1)"/>
      <w:numFmt w:val="decimal"/>
      <w:start w:val="9"/>
    </w:lvl>
  </w:abstractNum>
  <w:abstractNum w:abstractNumId="398">
    <w:nsid w:val="5E44620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40" Type="http://schemas.openxmlformats.org/officeDocument/2006/relationships/image" Target="media/image329.png"/><Relationship Id="rId361"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jpeg"/><Relationship Id="rId398" Type="http://schemas.openxmlformats.org/officeDocument/2006/relationships/image" Target="media/image364.png"/><Relationship Id="rId399" Type="http://schemas.openxmlformats.org/officeDocument/2006/relationships/image" Target="media/image365.jpe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jpe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6" Type="http://schemas.openxmlformats.org/officeDocument/2006/relationships/image" Target="media/image462.png"/><Relationship Id="rId497" Type="http://schemas.openxmlformats.org/officeDocument/2006/relationships/image" Target="media/image463.png"/><Relationship Id="rId498" Type="http://schemas.openxmlformats.org/officeDocument/2006/relationships/image" Target="media/image464.png"/><Relationship Id="rId499" Type="http://schemas.openxmlformats.org/officeDocument/2006/relationships/image" Target="media/image465.png"/><Relationship Id="rId500" Type="http://schemas.openxmlformats.org/officeDocument/2006/relationships/image" Target="media/image466.pn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png"/><Relationship Id="rId541" Type="http://schemas.openxmlformats.org/officeDocument/2006/relationships/image" Target="media/image507.pn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png"/><Relationship Id="rId558" Type="http://schemas.openxmlformats.org/officeDocument/2006/relationships/image" Target="media/image524.pn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png"/><Relationship Id="rId563" Type="http://schemas.openxmlformats.org/officeDocument/2006/relationships/image" Target="media/image529.png"/><Relationship Id="rId564" Type="http://schemas.openxmlformats.org/officeDocument/2006/relationships/image" Target="media/image530.png"/><Relationship Id="rId565" Type="http://schemas.openxmlformats.org/officeDocument/2006/relationships/image" Target="media/image531.png"/><Relationship Id="rId566" Type="http://schemas.openxmlformats.org/officeDocument/2006/relationships/image" Target="media/image532.png"/><Relationship Id="rId567" Type="http://schemas.openxmlformats.org/officeDocument/2006/relationships/image" Target="media/image533.png"/><Relationship Id="rId568" Type="http://schemas.openxmlformats.org/officeDocument/2006/relationships/image" Target="media/image534.png"/><Relationship Id="rId569" Type="http://schemas.openxmlformats.org/officeDocument/2006/relationships/image" Target="media/image535.png"/><Relationship Id="rId570" Type="http://schemas.openxmlformats.org/officeDocument/2006/relationships/image" Target="media/image536.png"/><Relationship Id="rId571" Type="http://schemas.openxmlformats.org/officeDocument/2006/relationships/image" Target="media/image537.png"/><Relationship Id="rId572" Type="http://schemas.openxmlformats.org/officeDocument/2006/relationships/image" Target="media/image538.png"/><Relationship Id="rId573" Type="http://schemas.openxmlformats.org/officeDocument/2006/relationships/image" Target="media/image539.png"/><Relationship Id="rId574" Type="http://schemas.openxmlformats.org/officeDocument/2006/relationships/image" Target="media/image540.png"/><Relationship Id="rId575" Type="http://schemas.openxmlformats.org/officeDocument/2006/relationships/image" Target="media/image541.png"/><Relationship Id="rId576"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79" Type="http://schemas.openxmlformats.org/officeDocument/2006/relationships/image" Target="media/image545.png"/><Relationship Id="rId580" Type="http://schemas.openxmlformats.org/officeDocument/2006/relationships/image" Target="media/image546.png"/><Relationship Id="rId581" Type="http://schemas.openxmlformats.org/officeDocument/2006/relationships/image" Target="media/image547.png"/><Relationship Id="rId582" Type="http://schemas.openxmlformats.org/officeDocument/2006/relationships/image" Target="media/image548.png"/><Relationship Id="rId583" Type="http://schemas.openxmlformats.org/officeDocument/2006/relationships/image" Target="media/image549.png"/><Relationship Id="rId584" Type="http://schemas.openxmlformats.org/officeDocument/2006/relationships/image" Target="media/image550.png"/><Relationship Id="rId585" Type="http://schemas.openxmlformats.org/officeDocument/2006/relationships/image" Target="media/image551.png"/><Relationship Id="rId586"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89" Type="http://schemas.openxmlformats.org/officeDocument/2006/relationships/image" Target="media/image555.png"/><Relationship Id="rId590" Type="http://schemas.openxmlformats.org/officeDocument/2006/relationships/image" Target="media/image556.png"/><Relationship Id="rId591" Type="http://schemas.openxmlformats.org/officeDocument/2006/relationships/image" Target="media/image557.png"/><Relationship Id="rId592" Type="http://schemas.openxmlformats.org/officeDocument/2006/relationships/image" Target="media/image558.png"/><Relationship Id="rId593" Type="http://schemas.openxmlformats.org/officeDocument/2006/relationships/image" Target="media/image559.png"/><Relationship Id="rId594" Type="http://schemas.openxmlformats.org/officeDocument/2006/relationships/image" Target="media/image560.png"/><Relationship Id="rId595" Type="http://schemas.openxmlformats.org/officeDocument/2006/relationships/image" Target="media/image561.png"/><Relationship Id="rId596" Type="http://schemas.openxmlformats.org/officeDocument/2006/relationships/image" Target="media/image562.png"/><Relationship Id="rId597"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png"/><Relationship Id="rId602" Type="http://schemas.openxmlformats.org/officeDocument/2006/relationships/image" Target="media/image568.png"/><Relationship Id="rId603" Type="http://schemas.openxmlformats.org/officeDocument/2006/relationships/image" Target="media/image569.png"/><Relationship Id="rId604" Type="http://schemas.openxmlformats.org/officeDocument/2006/relationships/image" Target="media/image570.png"/><Relationship Id="rId605" Type="http://schemas.openxmlformats.org/officeDocument/2006/relationships/image" Target="media/image571.png"/><Relationship Id="rId606" Type="http://schemas.openxmlformats.org/officeDocument/2006/relationships/image" Target="media/image572.png"/><Relationship Id="rId607" Type="http://schemas.openxmlformats.org/officeDocument/2006/relationships/image" Target="media/image573.png"/><Relationship Id="rId608" Type="http://schemas.openxmlformats.org/officeDocument/2006/relationships/image" Target="media/image574.png"/><Relationship Id="rId609" Type="http://schemas.openxmlformats.org/officeDocument/2006/relationships/image" Target="media/image575.png"/><Relationship Id="rId610" Type="http://schemas.openxmlformats.org/officeDocument/2006/relationships/image" Target="media/image576.png"/><Relationship Id="rId611" Type="http://schemas.openxmlformats.org/officeDocument/2006/relationships/image" Target="media/image577.png"/><Relationship Id="rId612" Type="http://schemas.openxmlformats.org/officeDocument/2006/relationships/image" Target="media/image578.png"/><Relationship Id="rId613" Type="http://schemas.openxmlformats.org/officeDocument/2006/relationships/image" Target="media/image579.png"/><Relationship Id="rId614" Type="http://schemas.openxmlformats.org/officeDocument/2006/relationships/image" Target="media/image580.png"/><Relationship Id="rId615" Type="http://schemas.openxmlformats.org/officeDocument/2006/relationships/image" Target="media/image581.png"/><Relationship Id="rId616" Type="http://schemas.openxmlformats.org/officeDocument/2006/relationships/image" Target="media/image582.png"/><Relationship Id="rId617" Type="http://schemas.openxmlformats.org/officeDocument/2006/relationships/image" Target="media/image583.png"/><Relationship Id="rId618" Type="http://schemas.openxmlformats.org/officeDocument/2006/relationships/image" Target="media/image584.png"/><Relationship Id="rId619" Type="http://schemas.openxmlformats.org/officeDocument/2006/relationships/image" Target="media/image585.png"/><Relationship Id="rId620" Type="http://schemas.openxmlformats.org/officeDocument/2006/relationships/image" Target="media/image586.png"/><Relationship Id="rId621" Type="http://schemas.openxmlformats.org/officeDocument/2006/relationships/image" Target="media/image587.png"/><Relationship Id="rId622" Type="http://schemas.openxmlformats.org/officeDocument/2006/relationships/image" Target="media/image588.png"/><Relationship Id="rId623" Type="http://schemas.openxmlformats.org/officeDocument/2006/relationships/image" Target="media/image589.png"/><Relationship Id="rId624" Type="http://schemas.openxmlformats.org/officeDocument/2006/relationships/image" Target="media/image590.png"/><Relationship Id="rId625" Type="http://schemas.openxmlformats.org/officeDocument/2006/relationships/image" Target="media/image591.png"/><Relationship Id="rId626" Type="http://schemas.openxmlformats.org/officeDocument/2006/relationships/image" Target="media/image592.png"/><Relationship Id="rId627" Type="http://schemas.openxmlformats.org/officeDocument/2006/relationships/image" Target="media/image593.png"/><Relationship Id="rId628" Type="http://schemas.openxmlformats.org/officeDocument/2006/relationships/image" Target="media/image594.png"/><Relationship Id="rId629" Type="http://schemas.openxmlformats.org/officeDocument/2006/relationships/image" Target="media/image595.png"/><Relationship Id="rId630" Type="http://schemas.openxmlformats.org/officeDocument/2006/relationships/image" Target="media/image596.png"/><Relationship Id="rId631" Type="http://schemas.openxmlformats.org/officeDocument/2006/relationships/image" Target="media/image597.png"/><Relationship Id="rId632" Type="http://schemas.openxmlformats.org/officeDocument/2006/relationships/image" Target="media/image598.png"/><Relationship Id="rId633" Type="http://schemas.openxmlformats.org/officeDocument/2006/relationships/image" Target="media/image599.png"/><Relationship Id="rId634" Type="http://schemas.openxmlformats.org/officeDocument/2006/relationships/image" Target="media/image600.png"/><Relationship Id="rId635" Type="http://schemas.openxmlformats.org/officeDocument/2006/relationships/image" Target="media/image601.png"/><Relationship Id="rId636" Type="http://schemas.openxmlformats.org/officeDocument/2006/relationships/image" Target="media/image602.png"/><Relationship Id="rId637" Type="http://schemas.openxmlformats.org/officeDocument/2006/relationships/image" Target="media/image603.png"/><Relationship Id="rId638" Type="http://schemas.openxmlformats.org/officeDocument/2006/relationships/image" Target="media/image604.png"/><Relationship Id="rId639" Type="http://schemas.openxmlformats.org/officeDocument/2006/relationships/image" Target="media/image605.png"/><Relationship Id="rId640" Type="http://schemas.openxmlformats.org/officeDocument/2006/relationships/image" Target="media/image606.png"/><Relationship Id="rId641" Type="http://schemas.openxmlformats.org/officeDocument/2006/relationships/image" Target="media/image607.png"/><Relationship Id="rId642" Type="http://schemas.openxmlformats.org/officeDocument/2006/relationships/image" Target="media/image608.png"/><Relationship Id="rId643" Type="http://schemas.openxmlformats.org/officeDocument/2006/relationships/image" Target="media/image609.png"/><Relationship Id="rId644" Type="http://schemas.openxmlformats.org/officeDocument/2006/relationships/image" Target="media/image610.png"/><Relationship Id="rId645" Type="http://schemas.openxmlformats.org/officeDocument/2006/relationships/image" Target="media/image611.png"/><Relationship Id="rId646" Type="http://schemas.openxmlformats.org/officeDocument/2006/relationships/image" Target="media/image612.png"/><Relationship Id="rId647" Type="http://schemas.openxmlformats.org/officeDocument/2006/relationships/image" Target="media/image613.png"/><Relationship Id="rId648" Type="http://schemas.openxmlformats.org/officeDocument/2006/relationships/image" Target="media/image614.png"/><Relationship Id="rId649" Type="http://schemas.openxmlformats.org/officeDocument/2006/relationships/image" Target="media/image615.png"/><Relationship Id="rId650" Type="http://schemas.openxmlformats.org/officeDocument/2006/relationships/image" Target="media/image616.png"/><Relationship Id="rId651" Type="http://schemas.openxmlformats.org/officeDocument/2006/relationships/image" Target="media/image617.png"/><Relationship Id="rId652" Type="http://schemas.openxmlformats.org/officeDocument/2006/relationships/image" Target="media/image618.png"/><Relationship Id="rId653" Type="http://schemas.openxmlformats.org/officeDocument/2006/relationships/image" Target="media/image619.png"/><Relationship Id="rId654" Type="http://schemas.openxmlformats.org/officeDocument/2006/relationships/image" Target="media/image620.png"/><Relationship Id="rId655" Type="http://schemas.openxmlformats.org/officeDocument/2006/relationships/image" Target="media/image621.png"/><Relationship Id="rId656" Type="http://schemas.openxmlformats.org/officeDocument/2006/relationships/image" Target="media/image622.png"/><Relationship Id="rId657" Type="http://schemas.openxmlformats.org/officeDocument/2006/relationships/image" Target="media/image623.png"/><Relationship Id="rId658" Type="http://schemas.openxmlformats.org/officeDocument/2006/relationships/image" Target="media/image624.png"/><Relationship Id="rId659" Type="http://schemas.openxmlformats.org/officeDocument/2006/relationships/image" Target="media/image625.png"/><Relationship Id="rId660" Type="http://schemas.openxmlformats.org/officeDocument/2006/relationships/image" Target="media/image626.png"/><Relationship Id="rId661" Type="http://schemas.openxmlformats.org/officeDocument/2006/relationships/image" Target="media/image627.png"/><Relationship Id="rId662" Type="http://schemas.openxmlformats.org/officeDocument/2006/relationships/image" Target="media/image628.png"/><Relationship Id="rId663" Type="http://schemas.openxmlformats.org/officeDocument/2006/relationships/image" Target="media/image629.png"/><Relationship Id="rId336" Type="http://schemas.openxmlformats.org/officeDocument/2006/relationships/hyperlink" Target="http://www.sec.gov/Archives/edgar/data/1522540/000119312521169619/d64065dex11.htm" TargetMode="External"/><Relationship Id="rId337" Type="http://schemas.openxmlformats.org/officeDocument/2006/relationships/hyperlink" Target="http://www.sec.gov/Archives/edgar/data/0001522540/000119312521162113/d64065dex31.htm" TargetMode="External"/><Relationship Id="rId338" Type="http://schemas.openxmlformats.org/officeDocument/2006/relationships/hyperlink" Target="http://www.sec.gov/Archives/edgar/data/1522540/000119312521169619/d64065dex32.htm" TargetMode="External"/><Relationship Id="rId339" Type="http://schemas.openxmlformats.org/officeDocument/2006/relationships/hyperlink" Target="http://www.sec.gov/Archives/edgar/data/0001522540/000119312521162113/d64065dex33.htm" TargetMode="External"/><Relationship Id="rId341" Type="http://schemas.openxmlformats.org/officeDocument/2006/relationships/hyperlink" Target="http://www.sec.gov/Archives/edgar/data/1522540/000119312521169619/d64065dex34.htm" TargetMode="External"/><Relationship Id="rId342" Type="http://schemas.openxmlformats.org/officeDocument/2006/relationships/hyperlink" Target="http://www.sec.gov/Archives/edgar/data/0001522540/000119312521162113/d64065dex41.htm" TargetMode="External"/><Relationship Id="rId343" Type="http://schemas.openxmlformats.org/officeDocument/2006/relationships/hyperlink" Target="http://www.sec.gov/Archives/edgar/data/0001522540/000119312521162113/d64065dex42.htm" TargetMode="External"/><Relationship Id="rId344" Type="http://schemas.openxmlformats.org/officeDocument/2006/relationships/hyperlink" Target="http://www.sec.gov/Archives/edgar/data/0001522540/000119312521162113/d64065dex43.htm" TargetMode="External"/><Relationship Id="rId345" Type="http://schemas.openxmlformats.org/officeDocument/2006/relationships/hyperlink" Target="http://www.sec.gov/Archives/edgar/data/0001522540/000119312521162113/d64065dex44.htm" TargetMode="External"/><Relationship Id="rId346" Type="http://schemas.openxmlformats.org/officeDocument/2006/relationships/hyperlink" Target="http://www.sec.gov/Archives/edgar/data/0001522540/000119312521162113/d64065dex45.htm" TargetMode="External"/><Relationship Id="rId347" Type="http://schemas.openxmlformats.org/officeDocument/2006/relationships/hyperlink" Target="http://www.sec.gov/Archives/edgar/data/0001522540/000119312521162113/d64065dex46.htm" TargetMode="External"/><Relationship Id="rId348" Type="http://schemas.openxmlformats.org/officeDocument/2006/relationships/hyperlink" Target="http://www.sec.gov/Archives/edgar/data/0001522540/000119312521162113/d64065dex48.htm" TargetMode="External"/><Relationship Id="rId349" Type="http://schemas.openxmlformats.org/officeDocument/2006/relationships/hyperlink" Target="http://www.sec.gov/Archives/edgar/data/1522540/000119312521169619/d64065dex49.htm" TargetMode="External"/><Relationship Id="rId350" Type="http://schemas.openxmlformats.org/officeDocument/2006/relationships/hyperlink" Target="http://www.sec.gov/Archives/edgar/data/1522540/000119312521169619/d64065dex101.htm" TargetMode="External"/><Relationship Id="rId351" Type="http://schemas.openxmlformats.org/officeDocument/2006/relationships/hyperlink" Target="http://www.sec.gov/Archives/edgar/data/1522540/000119312521169619/d64065dex102.htm" TargetMode="External"/><Relationship Id="rId352" Type="http://schemas.openxmlformats.org/officeDocument/2006/relationships/hyperlink" Target="http://www.sec.gov/Archives/edgar/data/1522540/000119312521169619/d64065dex105.htm" TargetMode="External"/><Relationship Id="rId353" Type="http://schemas.openxmlformats.org/officeDocument/2006/relationships/hyperlink" Target="http://www.sec.gov/Archives/edgar/data/1522540/000119312521169619/d64065dex106.htm" TargetMode="External"/><Relationship Id="rId354" Type="http://schemas.openxmlformats.org/officeDocument/2006/relationships/hyperlink" Target="http://www.sec.gov/Archives/edgar/data/1522540/000119312521169619/d64065dex107.htm" TargetMode="External"/><Relationship Id="rId355" Type="http://schemas.openxmlformats.org/officeDocument/2006/relationships/hyperlink" Target="http://www.sec.gov/Archives/edgar/data/0001522540/000119312521162113/d64065dex108.htm" TargetMode="External"/><Relationship Id="rId356" Type="http://schemas.openxmlformats.org/officeDocument/2006/relationships/hyperlink" Target="http://www.sec.gov/Archives/edgar/data/0001522540/000119312521162113/d64065dex109.htm" TargetMode="External"/><Relationship Id="rId357" Type="http://schemas.openxmlformats.org/officeDocument/2006/relationships/hyperlink" Target="http://www.sec.gov/Archives/edgar/data/0001522540/000119312521162113/d64065dex1010.htm" TargetMode="External"/><Relationship Id="rId358" Type="http://schemas.openxmlformats.org/officeDocument/2006/relationships/hyperlink" Target="http://www.sec.gov/Archives/edgar/data/0001522540/000119312521162113/d64065dex1011.htm" TargetMode="External"/><Relationship Id="rId359" Type="http://schemas.openxmlformats.org/officeDocument/2006/relationships/hyperlink" Target="http://www.sec.gov/Archives/edgar/data/0001522540/000119312521162113/d64065dex1012.htm" TargetMode="External"/><Relationship Id="rId360" Type="http://schemas.openxmlformats.org/officeDocument/2006/relationships/hyperlink" Target="http://www.sec.gov/Archives/edgar/data/0001522540/000119312521162113/d64065dex1013.htm" TargetMode="External"/><Relationship Id="rId362" Type="http://schemas.openxmlformats.org/officeDocument/2006/relationships/hyperlink" Target="http://www.sec.gov/Archives/edgar/data/0001522540/000119312521162113/d64065dex1015.htm" TargetMode="External"/><Relationship Id="rId363" Type="http://schemas.openxmlformats.org/officeDocument/2006/relationships/hyperlink" Target="http://www.sec.gov/Archives/edgar/data/1522540/000119312521169619/d64065dex211.htm" TargetMode="External"/><Relationship Id="rId364" Type="http://schemas.openxmlformats.org/officeDocument/2006/relationships/hyperlink" Target="http://www.sec.gov/Archives/edgar/data/1522540/000119312521162113/d64065ds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2021-06-01T07:01:13Z</dcterms:created>
  <dcterms:modified xsi:type="dcterms:W3CDTF">2021-06-01T07:01:13Z</dcterms:modified>
</cp:coreProperties>
</file>