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CHOKSHI ALPESH</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 GRAND AVENUE</w:t>
            </w:r>
          </w:p>
        </w:tc>
        <w:tc>
          <w:tcPr>
            <w:tcW w:w="11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94612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1"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84"/>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21,870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 (Instr. 3 and</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 or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5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7"/>
                <w:szCs w:val="17"/>
                <w:color w:val="0000FF"/>
              </w:rPr>
              <w:t>6,397</w:t>
            </w:r>
            <w:r>
              <w:rPr>
                <w:rFonts w:ascii="Times New Roman" w:cs="Times New Roman" w:eastAsia="Times New Roman" w:hAnsi="Times New Roman"/>
                <w:sz w:val="21"/>
                <w:szCs w:val="21"/>
                <w:color w:val="008000"/>
                <w:vertAlign w:val="superscript"/>
              </w:rPr>
              <w:t>(4)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ind w:right="182"/>
              <w:spacing w:after="0"/>
              <w:rPr>
                <w:sz w:val="20"/>
                <w:szCs w:val="20"/>
                <w:color w:val="auto"/>
              </w:rPr>
            </w:pPr>
            <w:r>
              <w:rPr>
                <w:rFonts w:ascii="Times New Roman" w:cs="Times New Roman" w:eastAsia="Times New Roman" w:hAnsi="Times New Roman"/>
                <w:sz w:val="13"/>
                <w:szCs w:val="13"/>
                <w:color w:val="0000FF"/>
              </w:rPr>
              <w:t>6,397</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(5)</w:t>
            </w:r>
          </w:p>
        </w:tc>
        <w:tc>
          <w:tcPr>
            <w:tcW w:w="320" w:type="dxa"/>
            <w:vAlign w:val="bottom"/>
          </w:tcPr>
          <w:p>
            <w:pPr>
              <w:spacing w:after="0"/>
              <w:rPr>
                <w:sz w:val="15"/>
                <w:szCs w:val="15"/>
                <w:color w:val="auto"/>
              </w:rPr>
            </w:pPr>
          </w:p>
        </w:tc>
        <w:tc>
          <w:tcPr>
            <w:tcW w:w="5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13,054</w:t>
            </w:r>
            <w:r>
              <w:rPr>
                <w:rFonts w:ascii="Times New Roman" w:cs="Times New Roman" w:eastAsia="Times New Roman" w:hAnsi="Times New Roman"/>
                <w:sz w:val="21"/>
                <w:szCs w:val="21"/>
                <w:color w:val="008000"/>
                <w:w w:val="98"/>
                <w:vertAlign w:val="superscript"/>
              </w:rPr>
              <w:t>(4)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rPr>
              <w:t>13,054</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-2275205</wp:posOffset>
            </wp:positionV>
            <wp:extent cx="29210" cy="2280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02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0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reflects the 1-for-4 reverse stock split effected June 30, 2026 (the "Reverse Stock Split"). Cash was paid in lieu of any fractional shares resulting from the Reverse Stock Split.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grant, originally granted on June 13, 2024 for 19,193 RSUs (post Reverse Stock Split), of which 12,796 RSUs have vested, vest as to one-third (1/3rd) of the RSUs on June 13, 2027, subject to the Reporting Person's continued service with the Issuer as of each vesting date.</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RSUs reflects the Reverse Stock Split.</w:t>
      </w:r>
    </w:p>
    <w:p>
      <w:pPr>
        <w:spacing w:after="0" w:line="43" w:lineRule="exact"/>
        <w:rPr>
          <w:rFonts w:ascii="Times New Roman" w:cs="Times New Roman" w:eastAsia="Times New Roman" w:hAnsi="Times New Roman"/>
          <w:sz w:val="13"/>
          <w:szCs w:val="13"/>
          <w:color w:val="008000"/>
        </w:rPr>
      </w:pPr>
    </w:p>
    <w:p>
      <w:pPr>
        <w:ind w:left="40" w:right="360" w:firstLine="2"/>
        <w:spacing w:after="0" w:line="290"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RSU grant, originally granted June 10, 2026 for 13,054 RSUs (post Reverse Stock Split), will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88"/>
              </w:rPr>
              <w:t>Fact</w:t>
            </w:r>
          </w:p>
        </w:tc>
        <w:tc>
          <w:tcPr>
            <w:tcW w:w="164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00" w:type="dxa"/>
            <w:vAlign w:val="bottom"/>
            <w:tcBorders>
              <w:bottom w:val="single" w:sz="8" w:color="auto"/>
            </w:tcBorders>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32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2026-07-02T16:56:59Z</dcterms:created>
  <dcterms:modified xsi:type="dcterms:W3CDTF">2026-07-02T16:56:59Z</dcterms:modified>
</cp:coreProperties>
</file>