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Confidential draft No. 2 as confidentially submitted to the Securities and Exchange Commission on April 2, 2021.</w:t>
      </w:r>
    </w:p>
    <w:p>
      <w:pPr>
        <w:spacing w:after="0" w:line="4" w:lineRule="exact"/>
        <w:rPr>
          <w:sz w:val="24"/>
          <w:szCs w:val="24"/>
          <w:color w:val="auto"/>
        </w:rPr>
      </w:pPr>
    </w:p>
    <w:p>
      <w:pPr>
        <w:jc w:val="right"/>
        <w:ind w:left="620" w:right="480"/>
        <w:spacing w:after="0" w:line="237" w:lineRule="auto"/>
        <w:rPr>
          <w:sz w:val="20"/>
          <w:szCs w:val="20"/>
          <w:color w:val="auto"/>
        </w:rPr>
      </w:pPr>
      <w:r>
        <w:rPr>
          <w:rFonts w:ascii="Arial" w:cs="Arial" w:eastAsia="Arial" w:hAnsi="Arial"/>
          <w:sz w:val="14"/>
          <w:szCs w:val="14"/>
          <w:b w:val="1"/>
          <w:bCs w:val="1"/>
          <w:color w:val="auto"/>
        </w:rPr>
        <w:t>This draft registration statement has not been filed publicly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Marqeta,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7372</w:t>
            </w:r>
          </w:p>
        </w:tc>
        <w:tc>
          <w:tcPr>
            <w:tcW w:w="1200" w:type="dxa"/>
            <w:vAlign w:val="bottom"/>
          </w:tcPr>
          <w:p>
            <w:pPr>
              <w:spacing w:after="0"/>
              <w:rPr>
                <w:sz w:val="14"/>
                <w:szCs w:val="14"/>
                <w:color w:val="auto"/>
              </w:rPr>
            </w:pPr>
          </w:p>
        </w:tc>
        <w:tc>
          <w:tcPr>
            <w:tcW w:w="2540" w:type="dxa"/>
            <w:vAlign w:val="bottom"/>
          </w:tcPr>
          <w:p>
            <w:pPr>
              <w:jc w:val="right"/>
              <w:ind w:right="728"/>
              <w:spacing w:after="0"/>
              <w:rPr>
                <w:sz w:val="20"/>
                <w:szCs w:val="20"/>
                <w:color w:val="auto"/>
              </w:rPr>
            </w:pPr>
            <w:r>
              <w:rPr>
                <w:rFonts w:ascii="Arial" w:cs="Arial" w:eastAsia="Arial" w:hAnsi="Arial"/>
                <w:sz w:val="14"/>
                <w:szCs w:val="14"/>
                <w:b w:val="1"/>
                <w:bCs w:val="1"/>
                <w:color w:val="auto"/>
              </w:rPr>
              <w:t>27-4306690</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spacing w:after="0"/>
              <w:rPr>
                <w:sz w:val="16"/>
                <w:szCs w:val="16"/>
                <w:color w:val="auto"/>
              </w:rPr>
            </w:pPr>
          </w:p>
        </w:tc>
        <w:tc>
          <w:tcPr>
            <w:tcW w:w="3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Classification Code Number)</w:t>
            </w:r>
          </w:p>
        </w:tc>
        <w:tc>
          <w:tcPr>
            <w:tcW w:w="25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Identification Number)</w:t>
            </w:r>
          </w:p>
        </w:tc>
      </w:tr>
      <w:tr>
        <w:trPr>
          <w:trHeight w:val="178"/>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4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Area Code, of Registrant’s Principal Executive Offices)</w:t>
            </w:r>
          </w:p>
        </w:tc>
        <w:tc>
          <w:tcPr>
            <w:tcW w:w="2540" w:type="dxa"/>
            <w:vAlign w:val="bottom"/>
          </w:tcPr>
          <w:p>
            <w:pPr>
              <w:spacing w:after="0"/>
              <w:rPr>
                <w:sz w:val="16"/>
                <w:szCs w:val="16"/>
                <w:color w:val="auto"/>
              </w:rPr>
            </w:pPr>
          </w:p>
        </w:tc>
      </w:tr>
      <w:tr>
        <w:trPr>
          <w:trHeight w:val="107"/>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173"/>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Jason Gardner</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Founder, Chief Executive Officer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8"/>
              </w:rPr>
              <w:t>Marqeta, Inc.</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area code, of agent for service)</w:t>
            </w:r>
          </w:p>
        </w:tc>
        <w:tc>
          <w:tcPr>
            <w:tcW w:w="2540" w:type="dxa"/>
            <w:vAlign w:val="bottom"/>
          </w:tcPr>
          <w:p>
            <w:pPr>
              <w:spacing w:after="0"/>
              <w:rPr>
                <w:sz w:val="16"/>
                <w:szCs w:val="16"/>
                <w:color w:val="auto"/>
              </w:rPr>
            </w:pPr>
          </w:p>
        </w:tc>
      </w:tr>
      <w:tr>
        <w:trPr>
          <w:trHeight w:val="107"/>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231"/>
        </w:trPr>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Copies to:</w:t>
            </w:r>
          </w:p>
        </w:tc>
        <w:tc>
          <w:tcPr>
            <w:tcW w:w="2540" w:type="dxa"/>
            <w:vAlign w:val="bottom"/>
          </w:tcPr>
          <w:p>
            <w:pPr>
              <w:spacing w:after="0"/>
              <w:rPr>
                <w:sz w:val="20"/>
                <w:szCs w:val="20"/>
                <w:color w:val="auto"/>
              </w:rPr>
            </w:pP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Caine Moss</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9"/>
              </w:rPr>
              <w:t>Seth R. Weissman</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2"/>
              </w:rPr>
              <w:t>Steven V. Bernard</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7"/>
              </w:rPr>
              <w:t>Mitzi Chang</w:t>
            </w:r>
          </w:p>
        </w:tc>
        <w:tc>
          <w:tcPr>
            <w:tcW w:w="1220" w:type="dxa"/>
            <w:vAlign w:val="bottom"/>
          </w:tcPr>
          <w:p>
            <w:pPr>
              <w:spacing w:after="0"/>
              <w:rPr>
                <w:sz w:val="12"/>
                <w:szCs w:val="12"/>
                <w:color w:val="auto"/>
              </w:rPr>
            </w:pPr>
          </w:p>
        </w:tc>
        <w:tc>
          <w:tcPr>
            <w:tcW w:w="352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6"/>
              </w:rPr>
              <w:t>Alina A. Zagaytova</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Catherine D. Doxsee</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2"/>
              </w:rPr>
              <w:t>Bradley C. Weber</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2"/>
              </w:rPr>
              <w:t>Marqeta, Inc.</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4"/>
              </w:rPr>
              <w:t>Wilson Sonsini Goodrich &amp; Rosati, P.C.</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Goodwin Procter LLP</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180 Grand Avenue</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650 Page Mill Road</w:t>
            </w:r>
          </w:p>
        </w:tc>
      </w:tr>
      <w:tr>
        <w:trPr>
          <w:trHeight w:val="148"/>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601 Marshall Street</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6</w:t>
            </w:r>
            <w:r>
              <w:rPr>
                <w:rFonts w:ascii="Arial" w:cs="Arial" w:eastAsia="Arial" w:hAnsi="Arial"/>
                <w:sz w:val="12"/>
                <w:szCs w:val="12"/>
                <w:color w:val="auto"/>
                <w:w w:val="96"/>
              </w:rPr>
              <w:t>th</w:t>
            </w:r>
            <w:r>
              <w:rPr>
                <w:rFonts w:ascii="Arial" w:cs="Arial" w:eastAsia="Arial" w:hAnsi="Arial"/>
                <w:sz w:val="14"/>
                <w:szCs w:val="14"/>
                <w:color w:val="auto"/>
                <w:w w:val="96"/>
              </w:rPr>
              <w:t xml:space="preserve"> Floor</w:t>
            </w:r>
          </w:p>
        </w:tc>
        <w:tc>
          <w:tcPr>
            <w:tcW w:w="25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Palo Alto, CA 94304</w:t>
            </w: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4"/>
              </w:rPr>
              <w:t>Redwood City, CA 94063</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4"/>
              </w:rPr>
              <w:t>Oakland, CA 94612</w:t>
            </w:r>
          </w:p>
        </w:tc>
        <w:tc>
          <w:tcPr>
            <w:tcW w:w="25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(650) 493-9300</w:t>
            </w:r>
          </w:p>
        </w:tc>
      </w:tr>
      <w:tr>
        <w:trPr>
          <w:trHeight w:val="182"/>
        </w:trPr>
        <w:tc>
          <w:tcPr>
            <w:tcW w:w="2220" w:type="dxa"/>
            <w:vAlign w:val="bottom"/>
          </w:tcPr>
          <w:p>
            <w:pPr>
              <w:jc w:val="center"/>
              <w:ind w:right="208"/>
              <w:spacing w:after="0"/>
              <w:rPr>
                <w:sz w:val="20"/>
                <w:szCs w:val="20"/>
                <w:color w:val="auto"/>
              </w:rPr>
            </w:pPr>
            <w:r>
              <w:rPr>
                <w:rFonts w:ascii="Arial" w:cs="Arial" w:eastAsia="Arial" w:hAnsi="Arial"/>
                <w:sz w:val="14"/>
                <w:szCs w:val="14"/>
                <w:color w:val="auto"/>
                <w:w w:val="93"/>
              </w:rPr>
              <w:t>(650) 752-3100</w:t>
            </w:r>
          </w:p>
        </w:tc>
        <w:tc>
          <w:tcPr>
            <w:tcW w:w="3540" w:type="dxa"/>
            <w:vAlign w:val="bottom"/>
            <w:gridSpan w:val="2"/>
          </w:tcPr>
          <w:p>
            <w:pPr>
              <w:jc w:val="right"/>
              <w:ind w:right="528"/>
              <w:spacing w:after="0"/>
              <w:rPr>
                <w:sz w:val="20"/>
                <w:szCs w:val="20"/>
                <w:color w:val="auto"/>
              </w:rPr>
            </w:pPr>
            <w:r>
              <w:rPr>
                <w:rFonts w:ascii="Arial" w:cs="Arial" w:eastAsia="Arial" w:hAnsi="Arial"/>
                <w:sz w:val="14"/>
                <w:szCs w:val="14"/>
                <w:color w:val="auto"/>
              </w:rPr>
              <w:t>(888) 462-7738</w:t>
            </w: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r>
    </w:tbl>
    <w:p>
      <w:pPr>
        <w:spacing w:after="0" w:line="3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64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w:t>
            </w:r>
          </w:p>
        </w:tc>
        <w:tc>
          <w:tcPr>
            <w:tcW w:w="220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664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Borders>
              <w:right w:val="single" w:sz="8" w:color="auto"/>
            </w:tcBorders>
          </w:tcPr>
          <w:p>
            <w:pPr>
              <w:jc w:val="center"/>
              <w:ind w:right="673"/>
              <w:spacing w:after="0" w:line="149" w:lineRule="exact"/>
              <w:rPr>
                <w:sz w:val="20"/>
                <w:szCs w:val="20"/>
                <w:color w:val="auto"/>
              </w:rPr>
            </w:pPr>
            <w:r>
              <w:rPr>
                <w:rFonts w:ascii="Arial" w:cs="Arial" w:eastAsia="Arial" w:hAnsi="Arial"/>
                <w:sz w:val="14"/>
                <w:szCs w:val="14"/>
                <w:b w:val="1"/>
                <w:bCs w:val="1"/>
                <w:color w:val="auto"/>
                <w:w w:val="89"/>
              </w:rPr>
              <w:t>Aggregate</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$0.0001 par value per share</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2"/>
                <w:szCs w:val="12"/>
                <w:color w:val="auto"/>
              </w:rPr>
              <w:t>(1)(2)</w:t>
            </w:r>
          </w:p>
        </w:tc>
        <w:tc>
          <w:tcPr>
            <w:tcW w:w="2180" w:type="dxa"/>
            <w:vAlign w:val="bottom"/>
            <w:tcBorders>
              <w:bottom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both"/>
        <w:ind w:left="120" w:right="20" w:firstLine="551"/>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1" w:lineRule="exact"/>
        <w:rPr>
          <w:sz w:val="20"/>
          <w:szCs w:val="20"/>
          <w:color w:val="auto"/>
        </w:rPr>
      </w:pPr>
    </w:p>
    <w:tbl>
      <w:tblPr>
        <w:tblLayout w:type="fixed"/>
        <w:tblInd w:w="410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CC062A"/>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color w:val="CC062A"/>
              </w:rPr>
              <w:t>, 2021.</w:t>
            </w:r>
          </w:p>
        </w:tc>
      </w:tr>
    </w:tbl>
    <w:p>
      <w:pPr>
        <w:spacing w:after="0" w:line="232" w:lineRule="exact"/>
        <w:rPr>
          <w:sz w:val="20"/>
          <w:szCs w:val="20"/>
          <w:color w:val="auto"/>
        </w:rPr>
      </w:pPr>
    </w:p>
    <w:p>
      <w:pPr>
        <w:ind w:left="620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Prior to this offering, there has been no public market for our Class A common stock. It is currently estimated that the initial public offering price will be between</w:t>
      </w:r>
    </w:p>
    <w:p>
      <w:pPr>
        <w:spacing w:after="0" w:line="34" w:lineRule="exact"/>
        <w:rPr>
          <w:sz w:val="20"/>
          <w:szCs w:val="20"/>
          <w:color w:val="auto"/>
        </w:rPr>
      </w:pPr>
    </w:p>
    <w:p>
      <w:pPr>
        <w:ind w:left="120"/>
        <w:spacing w:after="0"/>
        <w:tabs>
          <w:tab w:leader="none" w:pos="700" w:val="left"/>
          <w:tab w:leader="none" w:pos="1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4"/>
          <w:szCs w:val="14"/>
          <w:color w:val="auto"/>
        </w:rPr>
        <w:t>per share. We intend to apply to list our Class A common stock on the Nasdaq Global Select Market under the symbol “MQ.”</w:t>
      </w:r>
    </w:p>
    <w:p>
      <w:pPr>
        <w:spacing w:after="0" w:line="19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6"/>
          <w:szCs w:val="16"/>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 share of Class B common stock is entitled to 10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 of the voting power of our outstanding capital stock following this offering.</w:t>
      </w:r>
    </w:p>
    <w:p>
      <w:pPr>
        <w:spacing w:after="0" w:line="16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20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6"/>
              </w:rPr>
              <w:t>Per Share</w:t>
            </w:r>
          </w:p>
        </w:tc>
        <w:tc>
          <w:tcPr>
            <w:tcW w:w="26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Total</w:t>
            </w:r>
          </w:p>
        </w:tc>
      </w:tr>
      <w:tr>
        <w:trPr>
          <w:trHeight w:val="19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3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320" w:type="dxa"/>
            <w:vAlign w:val="bottom"/>
            <w:gridSpan w:val="2"/>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320" w:type="dxa"/>
            <w:vAlign w:val="bottom"/>
            <w:gridSpan w:val="2"/>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16"/>
          <w:szCs w:val="16"/>
          <w:color w:val="auto"/>
        </w:rPr>
        <w:t>The underwriters have the option to purchase up to an additional</w:t>
      </w:r>
      <w:r>
        <w:rPr>
          <w:sz w:val="20"/>
          <w:szCs w:val="20"/>
          <w:color w:val="auto"/>
        </w:rPr>
        <w:tab/>
      </w:r>
      <w:r>
        <w:rPr>
          <w:rFonts w:ascii="Arial" w:cs="Arial" w:eastAsia="Arial" w:hAnsi="Arial"/>
          <w:sz w:val="15"/>
          <w:szCs w:val="15"/>
          <w:color w:val="auto"/>
        </w:rPr>
        <w:t>shares of Class A common stock from us at the initial public offering price less the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underwriting discount.</w:t>
      </w:r>
    </w:p>
    <w:p>
      <w:pPr>
        <w:spacing w:after="0" w:line="190"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6"/>
          <w:szCs w:val="16"/>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 2021.</w:t>
      </w:r>
    </w:p>
    <w:p>
      <w:pPr>
        <w:spacing w:after="0" w:line="248" w:lineRule="exact"/>
        <w:rPr>
          <w:sz w:val="20"/>
          <w:szCs w:val="20"/>
          <w:color w:val="auto"/>
        </w:rPr>
      </w:pPr>
    </w:p>
    <w:p>
      <w:pPr>
        <w:ind w:left="120"/>
        <w:spacing w:after="0"/>
        <w:tabs>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J.P. Morgan</w:t>
      </w:r>
    </w:p>
    <w:p>
      <w:pPr>
        <w:spacing w:after="0" w:line="226" w:lineRule="exact"/>
        <w:rPr>
          <w:sz w:val="20"/>
          <w:szCs w:val="20"/>
          <w:color w:val="auto"/>
        </w:rPr>
      </w:pPr>
    </w:p>
    <w:p>
      <w:pPr>
        <w:ind w:left="1800"/>
        <w:spacing w:after="0"/>
        <w:tabs>
          <w:tab w:leader="none" w:pos="3340" w:val="left"/>
          <w:tab w:leader="none" w:pos="4760" w:val="left"/>
          <w:tab w:leader="none" w:pos="7260" w:val="left"/>
        </w:tabs>
        <w:rPr>
          <w:sz w:val="20"/>
          <w:szCs w:val="20"/>
          <w:color w:val="auto"/>
        </w:rPr>
      </w:pPr>
      <w:r>
        <w:rPr>
          <w:rFonts w:ascii="Arial" w:cs="Arial" w:eastAsia="Arial" w:hAnsi="Arial"/>
          <w:sz w:val="20"/>
          <w:szCs w:val="20"/>
          <w:b w:val="1"/>
          <w:bCs w:val="1"/>
          <w:color w:val="auto"/>
        </w:rPr>
        <w:t>Citigroup</w:t>
      </w:r>
      <w:r>
        <w:rPr>
          <w:sz w:val="20"/>
          <w:szCs w:val="20"/>
          <w:color w:val="auto"/>
        </w:rPr>
        <w:tab/>
      </w:r>
      <w:r>
        <w:rPr>
          <w:rFonts w:ascii="Arial" w:cs="Arial" w:eastAsia="Arial" w:hAnsi="Arial"/>
          <w:sz w:val="20"/>
          <w:szCs w:val="20"/>
          <w:b w:val="1"/>
          <w:bCs w:val="1"/>
          <w:color w:val="auto"/>
        </w:rPr>
        <w:t>Barclays</w:t>
      </w:r>
      <w:r>
        <w:rPr>
          <w:sz w:val="20"/>
          <w:szCs w:val="20"/>
          <w:color w:val="auto"/>
        </w:rPr>
        <w:tab/>
      </w:r>
      <w:r>
        <w:rPr>
          <w:rFonts w:ascii="Arial" w:cs="Arial" w:eastAsia="Arial" w:hAnsi="Arial"/>
          <w:sz w:val="20"/>
          <w:szCs w:val="20"/>
          <w:b w:val="1"/>
          <w:bCs w:val="1"/>
          <w:color w:val="auto"/>
        </w:rPr>
        <w:t>William Blair</w:t>
      </w:r>
      <w:r>
        <w:rPr>
          <w:sz w:val="20"/>
          <w:szCs w:val="20"/>
          <w:color w:val="auto"/>
        </w:rPr>
        <w:tab/>
      </w:r>
      <w:r>
        <w:rPr>
          <w:rFonts w:ascii="Arial" w:cs="Arial" w:eastAsia="Arial" w:hAnsi="Arial"/>
          <w:sz w:val="18"/>
          <w:szCs w:val="18"/>
          <w:b w:val="1"/>
          <w:bCs w:val="1"/>
          <w:color w:val="auto"/>
        </w:rPr>
        <w:t>KeyBanc Capital Markets</w:t>
      </w:r>
    </w:p>
    <w:p>
      <w:pPr>
        <w:spacing w:after="0" w:line="148" w:lineRule="exact"/>
        <w:rPr>
          <w:sz w:val="20"/>
          <w:szCs w:val="20"/>
          <w:color w:val="auto"/>
        </w:rPr>
      </w:pPr>
    </w:p>
    <w:p>
      <w:pPr>
        <w:ind w:left="2540"/>
        <w:spacing w:after="0"/>
        <w:tabs>
          <w:tab w:leader="none" w:pos="3660" w:val="left"/>
          <w:tab w:leader="none" w:pos="4600" w:val="left"/>
          <w:tab w:leader="none" w:pos="6920" w:val="left"/>
        </w:tabs>
        <w:rPr>
          <w:sz w:val="20"/>
          <w:szCs w:val="20"/>
          <w:color w:val="auto"/>
        </w:rPr>
      </w:pPr>
      <w:r>
        <w:rPr>
          <w:rFonts w:ascii="Arial" w:cs="Arial" w:eastAsia="Arial" w:hAnsi="Arial"/>
          <w:sz w:val="20"/>
          <w:szCs w:val="20"/>
          <w:b w:val="1"/>
          <w:bCs w:val="1"/>
          <w:color w:val="auto"/>
        </w:rPr>
        <w:t>Nomura</w:t>
      </w:r>
      <w:r>
        <w:rPr>
          <w:sz w:val="20"/>
          <w:szCs w:val="20"/>
          <w:color w:val="auto"/>
        </w:rPr>
        <w:tab/>
      </w:r>
      <w:r>
        <w:rPr>
          <w:rFonts w:ascii="Arial" w:cs="Arial" w:eastAsia="Arial" w:hAnsi="Arial"/>
          <w:sz w:val="20"/>
          <w:szCs w:val="20"/>
          <w:b w:val="1"/>
          <w:bCs w:val="1"/>
          <w:color w:val="auto"/>
        </w:rPr>
        <w:t>HSBC</w:t>
      </w:r>
      <w:r>
        <w:rPr>
          <w:sz w:val="20"/>
          <w:szCs w:val="20"/>
          <w:color w:val="auto"/>
        </w:rPr>
        <w:tab/>
      </w:r>
      <w:r>
        <w:rPr>
          <w:rFonts w:ascii="Arial" w:cs="Arial" w:eastAsia="Arial" w:hAnsi="Arial"/>
          <w:sz w:val="20"/>
          <w:szCs w:val="20"/>
          <w:b w:val="1"/>
          <w:bCs w:val="1"/>
          <w:color w:val="auto"/>
        </w:rPr>
        <w:t>R. Seelaus &amp; Co., LLC</w:t>
      </w:r>
      <w:r>
        <w:rPr>
          <w:sz w:val="20"/>
          <w:szCs w:val="20"/>
          <w:color w:val="auto"/>
        </w:rPr>
        <w:tab/>
      </w:r>
      <w:r>
        <w:rPr>
          <w:rFonts w:ascii="Arial" w:cs="Arial" w:eastAsia="Arial" w:hAnsi="Arial"/>
          <w:sz w:val="18"/>
          <w:szCs w:val="18"/>
          <w:b w:val="1"/>
          <w:bCs w:val="1"/>
          <w:color w:val="auto"/>
        </w:rPr>
        <w:t>Siebert Williams 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80"/>
        <w:spacing w:after="0"/>
        <w:tabs>
          <w:tab w:leader="none" w:pos="63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2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222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Special Note Regarding Forward-Looking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Industry and Market Data</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Dividend Policy</w:t>
              </w:r>
            </w:hyperlink>
          </w:p>
        </w:tc>
        <w:tc>
          <w:tcPr>
            <w:tcW w:w="10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Capitalization</w:t>
              </w:r>
            </w:hyperlink>
          </w:p>
        </w:tc>
        <w:tc>
          <w:tcPr>
            <w:tcW w:w="1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Dilution</w:t>
              </w:r>
            </w:hyperlink>
          </w:p>
        </w:tc>
        <w:tc>
          <w:tcPr>
            <w:tcW w:w="16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Selected Consolidated Financial and Other Data</w:t>
              </w:r>
            </w:hyperlink>
          </w:p>
        </w:tc>
        <w:tc>
          <w:tcPr>
            <w:tcW w:w="7180" w:type="dxa"/>
            <w:vAlign w:val="bottom"/>
            <w:gridSpan w:val="5"/>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4">
              <w:r>
                <w:rPr>
                  <w:rFonts w:ascii="Arial" w:cs="Arial" w:eastAsia="Arial" w:hAnsi="Arial"/>
                  <w:sz w:val="18"/>
                  <w:szCs w:val="18"/>
                  <w:color w:val="0000EE"/>
                  <w:w w:val="84"/>
                </w:rPr>
                <w:t>Business</w:t>
              </w:r>
            </w:hyperlink>
          </w:p>
        </w:tc>
        <w:tc>
          <w:tcPr>
            <w:tcW w:w="1580" w:type="dxa"/>
            <w:vAlign w:val="bottom"/>
            <w:tcBorders>
              <w:top w:val="single" w:sz="8" w:color="0000EE"/>
            </w:tcBorders>
            <w:gridSpan w:val="14"/>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Management</w:t>
              </w:r>
            </w:hyperlink>
          </w:p>
        </w:tc>
        <w:tc>
          <w:tcPr>
            <w:tcW w:w="12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9">
              <w:r>
                <w:rPr>
                  <w:rFonts w:ascii="Arial" w:cs="Arial" w:eastAsia="Arial" w:hAnsi="Arial"/>
                  <w:sz w:val="18"/>
                  <w:szCs w:val="18"/>
                  <w:color w:val="0000EE"/>
                  <w:w w:val="89"/>
                </w:rPr>
                <w:t>Executive Compensation</w:t>
              </w:r>
            </w:hyperlink>
          </w:p>
        </w:tc>
        <w:tc>
          <w:tcPr>
            <w:tcW w:w="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Principal Stockholders</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Description of Capital Stock</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2">
              <w:r>
                <w:rPr>
                  <w:rFonts w:ascii="Arial" w:cs="Arial" w:eastAsia="Arial" w:hAnsi="Arial"/>
                  <w:sz w:val="18"/>
                  <w:szCs w:val="18"/>
                  <w:color w:val="0000EE"/>
                  <w:w w:val="90"/>
                </w:rPr>
                <w:t>Shares Eligible for Future Sale</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Material U.S. Federal Income Tax Consequences to Non-U.S. Holders of our Class A Common Stock</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Underwriting</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Legal Matters</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Experts</w:t>
              </w:r>
            </w:hyperlink>
          </w:p>
        </w:tc>
        <w:tc>
          <w:tcPr>
            <w:tcW w:w="1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Additional Information</w:t>
              </w:r>
            </w:hyperlink>
          </w:p>
        </w:tc>
        <w:tc>
          <w:tcPr>
            <w:tcW w:w="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Index to Consolidated Financial Statements</w:t>
              </w:r>
            </w:hyperlink>
          </w:p>
        </w:tc>
        <w:tc>
          <w:tcPr>
            <w:tcW w:w="7500" w:type="dxa"/>
            <w:vAlign w:val="bottom"/>
            <w:gridSpan w:val="6"/>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53"/>
        </w:trPr>
        <w:tc>
          <w:tcPr>
            <w:tcW w:w="2220" w:type="dxa"/>
            <w:vAlign w:val="bottom"/>
            <w:gridSpan w:val="17"/>
          </w:tcPr>
          <w:p>
            <w:pPr>
              <w:spacing w:after="0"/>
              <w:rPr>
                <w:sz w:val="20"/>
                <w:szCs w:val="20"/>
                <w:color w:val="auto"/>
              </w:rPr>
            </w:pPr>
            <w:r>
              <w:rPr>
                <w:rFonts w:ascii="Arial" w:cs="Arial" w:eastAsia="Arial" w:hAnsi="Arial"/>
                <w:sz w:val="18"/>
                <w:szCs w:val="18"/>
                <w:b w:val="1"/>
                <w:bCs w:val="1"/>
                <w:color w:val="auto"/>
              </w:rPr>
              <w:t>Through and including</w:t>
            </w:r>
          </w:p>
        </w:tc>
        <w:tc>
          <w:tcPr>
            <w:tcW w:w="8780" w:type="dxa"/>
            <w:vAlign w:val="bottom"/>
            <w:gridSpan w:val="9"/>
          </w:tcPr>
          <w:p>
            <w:pPr>
              <w:ind w:left="640"/>
              <w:spacing w:after="0"/>
              <w:rPr>
                <w:sz w:val="20"/>
                <w:szCs w:val="20"/>
                <w:color w:val="auto"/>
              </w:rPr>
            </w:pPr>
            <w:r>
              <w:rPr>
                <w:rFonts w:ascii="Arial" w:cs="Arial" w:eastAsia="Arial" w:hAnsi="Arial"/>
                <w:sz w:val="18"/>
                <w:szCs w:val="18"/>
                <w:b w:val="1"/>
                <w:bCs w:val="1"/>
                <w:color w:val="auto"/>
                <w:w w:val="89"/>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ind w:left="120" w:right="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44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and Klarna—to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92"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57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4"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w:t>
      </w:r>
      <w:r>
        <w:rPr>
          <w:rFonts w:ascii="Arial" w:cs="Arial" w:eastAsia="Arial" w:hAnsi="Arial"/>
          <w:sz w:val="14"/>
          <w:szCs w:val="14"/>
          <w:color w:val="auto"/>
        </w:rPr>
        <w:t>1</w:t>
      </w:r>
      <w:r>
        <w:rPr>
          <w:rFonts w:ascii="Arial" w:cs="Arial" w:eastAsia="Arial" w:hAnsi="Arial"/>
          <w:sz w:val="17"/>
          <w:szCs w:val="17"/>
          <w:color w:val="auto"/>
        </w:rPr>
        <w:t xml:space="preserve"> of over 200% for each of the years ended December 31, 2019 and 2020.</w:t>
      </w:r>
    </w:p>
    <w:p>
      <w:pPr>
        <w:spacing w:after="0" w:line="176" w:lineRule="exact"/>
        <w:rPr>
          <w:sz w:val="20"/>
          <w:szCs w:val="20"/>
          <w:color w:val="auto"/>
        </w:rPr>
      </w:pPr>
    </w:p>
    <w:p>
      <w:pPr>
        <w:jc w:val="both"/>
        <w:ind w:left="300"/>
        <w:spacing w:after="0" w:line="272" w:lineRule="auto"/>
        <w:rPr>
          <w:sz w:val="20"/>
          <w:szCs w:val="20"/>
          <w:color w:val="auto"/>
        </w:rPr>
      </w:pPr>
      <w:r>
        <w:rPr>
          <w:rFonts w:ascii="Arial" w:cs="Arial" w:eastAsia="Arial" w:hAnsi="Arial"/>
          <w:sz w:val="17"/>
          <w:szCs w:val="17"/>
          <w:color w:val="auto"/>
        </w:rPr>
        <w:t>In 2020, the Marqeta Platform processed $60.1 billion of total processing volume, or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in 2019,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152" w:lineRule="exact"/>
        <w:rPr>
          <w:sz w:val="20"/>
          <w:szCs w:val="20"/>
          <w:color w:val="auto"/>
        </w:rPr>
      </w:pPr>
    </w:p>
    <w:p>
      <w:pPr>
        <w:jc w:val="both"/>
        <w:ind w:left="600" w:hanging="302"/>
        <w:spacing w:after="0" w:line="233" w:lineRule="auto"/>
        <w:tabs>
          <w:tab w:leader="none" w:pos="600" w:val="left"/>
        </w:tabs>
        <w:numPr>
          <w:ilvl w:val="0"/>
          <w:numId w:val="2"/>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38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76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750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developer-friendly user experiences. We provide direct integrations with the Card Networks, including Visa, Mastercard, and PULSE, which is part of the Discover Global Network, enabling developers to use Marqeta’s single unified platform for all of their payments integrations.</w:t>
      </w:r>
    </w:p>
    <w:p>
      <w:pPr>
        <w:spacing w:after="0" w:line="92"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090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20" w:right="20" w:hanging="195"/>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89" w:lineRule="exact"/>
        <w:rPr>
          <w:sz w:val="20"/>
          <w:szCs w:val="20"/>
          <w:color w:val="auto"/>
        </w:rPr>
      </w:pPr>
    </w:p>
    <w:p>
      <w:pPr>
        <w:jc w:val="both"/>
        <w:ind w:left="1020" w:hanging="195"/>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Issuing: </w:t>
      </w:r>
      <w:r>
        <w:rPr>
          <w:rFonts w:ascii="Arial" w:cs="Arial" w:eastAsia="Arial" w:hAnsi="Arial"/>
          <w:sz w:val="18"/>
          <w:szCs w:val="18"/>
          <w:color w:val="auto"/>
        </w:rPr>
        <w:t>We enable our Customers to issue physical, virtual, and tokenized cards. With approximately 275 million cards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Marqeta Platform as of December 31, 2020, across a deep and varied Customer base, we have significant industry experience supporting card programs of multiple types and sizes.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Processing: </w:t>
      </w:r>
      <w:r>
        <w:rPr>
          <w:rFonts w:ascii="Arial" w:cs="Arial" w:eastAsia="Arial" w:hAnsi="Arial"/>
          <w:sz w:val="18"/>
          <w:szCs w:val="18"/>
          <w:color w:val="auto"/>
        </w:rPr>
        <w:t>Our Platform can process transactions with control and speed for our Customers, leveraging certain of our core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competencies.</w:t>
      </w:r>
    </w:p>
    <w:p>
      <w:pPr>
        <w:spacing w:after="0" w:line="75"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Applications: </w:t>
      </w:r>
      <w:r>
        <w:rPr>
          <w:rFonts w:ascii="Arial" w:cs="Arial" w:eastAsia="Arial" w:hAnsi="Arial"/>
          <w:sz w:val="18"/>
          <w:szCs w:val="18"/>
          <w:color w:val="auto"/>
        </w:rPr>
        <w:t>Using the Marqeta Platform, Customers can leverage applications that cover the entire payments lifecycle,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developer sandbox, card management, transaction monitoring, and case management. These applications help ensure their programs are as successful as possible.</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156"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833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b w:val="1"/>
          <w:bCs w:val="1"/>
          <w:i w:val="1"/>
          <w:iCs w:val="1"/>
          <w:color w:val="auto"/>
        </w:rPr>
        <w:t xml:space="preserve">Enduring Customer Relationships: </w:t>
      </w:r>
      <w:r>
        <w:rPr>
          <w:rFonts w:ascii="Arial" w:cs="Arial" w:eastAsia="Arial" w:hAnsi="Arial"/>
          <w:sz w:val="17"/>
          <w:szCs w:val="17"/>
          <w:color w:val="auto"/>
        </w:rPr>
        <w:t>Our dollar-based net revenue retention was over 200% for each of the years ended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2020, 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7"/>
          <w:szCs w:val="17"/>
          <w:i w:val="1"/>
          <w:iCs w:val="1"/>
          <w:color w:val="auto"/>
        </w:rPr>
        <w:t>technically</w:t>
      </w:r>
      <w:r>
        <w:rPr>
          <w:rFonts w:ascii="Arial" w:cs="Arial" w:eastAsia="Arial" w:hAnsi="Arial"/>
          <w:sz w:val="17"/>
          <w:szCs w:val="17"/>
          <w:color w:val="auto"/>
        </w:rPr>
        <w:t xml:space="preserve"> integrated within their products and solutions, </w:t>
      </w:r>
      <w:r>
        <w:rPr>
          <w:rFonts w:ascii="Arial" w:cs="Arial" w:eastAsia="Arial" w:hAnsi="Arial"/>
          <w:sz w:val="17"/>
          <w:szCs w:val="17"/>
          <w:i w:val="1"/>
          <w:iCs w:val="1"/>
          <w:color w:val="auto"/>
        </w:rPr>
        <w:t>operationally</w:t>
      </w:r>
      <w:r>
        <w:rPr>
          <w:rFonts w:ascii="Arial" w:cs="Arial" w:eastAsia="Arial" w:hAnsi="Arial"/>
          <w:sz w:val="17"/>
          <w:szCs w:val="17"/>
          <w:color w:val="auto"/>
        </w:rPr>
        <w:t xml:space="preserve"> integrated as Customers develop core processes around our tools and platform, and </w:t>
      </w:r>
      <w:r>
        <w:rPr>
          <w:rFonts w:ascii="Arial" w:cs="Arial" w:eastAsia="Arial" w:hAnsi="Arial"/>
          <w:sz w:val="17"/>
          <w:szCs w:val="17"/>
          <w:i w:val="1"/>
          <w:iCs w:val="1"/>
          <w:color w:val="auto"/>
        </w:rPr>
        <w:t>culturally</w:t>
      </w:r>
      <w:r>
        <w:rPr>
          <w:rFonts w:ascii="Arial" w:cs="Arial" w:eastAsia="Arial" w:hAnsi="Arial"/>
          <w:sz w:val="17"/>
          <w:szCs w:val="17"/>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70"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 have created an environment where everyone belongs, and employees are empowered to do the best work of their lives.</w:t>
      </w:r>
    </w:p>
    <w:p>
      <w:pPr>
        <w:spacing w:after="0" w:line="161"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767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8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131" w:lineRule="exact"/>
        <w:rPr>
          <w:sz w:val="20"/>
          <w:szCs w:val="20"/>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Everyone Belongs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One Marqeta</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Connect the Customer</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Innovation</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 Results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First</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Marqeta Cares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19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TPV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largest Customer, Square, Inc., or Square, and the loss or decline in net revenue from Square could adversely affect our business, results of operations, and financial condition.</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901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40"/>
        <w:spacing w:after="0" w:line="311" w:lineRule="auto"/>
        <w:rPr>
          <w:sz w:val="20"/>
          <w:szCs w:val="20"/>
          <w:color w:val="auto"/>
        </w:rPr>
      </w:pPr>
      <w:r>
        <w:rPr>
          <w:rFonts w:ascii="Arial" w:cs="Arial" w:eastAsia="Arial" w:hAnsi="Arial"/>
          <w:sz w:val="16"/>
          <w:szCs w:val="16"/>
          <w:color w:val="auto"/>
        </w:rPr>
        <w:t>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49"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18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have elected to take advantage of certain exemptions from various public reporting requirements, including the requirement that our internal control over financial reporting be audited by our independent registered public accounting firm pursuant to Section 404 of the Sarbanes-Oxley Act of 2002, or the Sarbanes Oxley Act, certain requirements related to the disclosure of executive compensation in this prospectus and in our periodic reports and proxy statements, and the requirement that we hold a nonbinding advisory vote on executive compensation and any golden parachute payments. We may take advantage of these exemptions until we are no longer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2199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21990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210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firstLine="829"/>
        <w:spacing w:after="0" w:line="277" w:lineRule="auto"/>
        <w:rPr>
          <w:sz w:val="20"/>
          <w:szCs w:val="20"/>
          <w:color w:val="auto"/>
        </w:rPr>
      </w:pPr>
      <w:r>
        <w:rPr>
          <w:rFonts w:ascii="Arial" w:cs="Arial" w:eastAsia="Arial" w:hAnsi="Arial"/>
          <w:sz w:val="18"/>
          <w:szCs w:val="18"/>
          <w:color w:val="auto"/>
        </w:rPr>
        <w:t>shares (or shares if the underwriters’ option to purchase additional shares in this offering is exercised in full).</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w:t>
      </w:r>
    </w:p>
    <w:p>
      <w:pPr>
        <w:spacing w:after="0" w:line="2"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selling in this offering will be approximately $</w:t>
      </w:r>
      <w:r>
        <w:rPr>
          <w:sz w:val="20"/>
          <w:szCs w:val="20"/>
          <w:color w:val="auto"/>
        </w:rPr>
        <w:tab/>
      </w:r>
      <w:r>
        <w:rPr>
          <w:rFonts w:ascii="Arial" w:cs="Arial" w:eastAsia="Arial" w:hAnsi="Arial"/>
          <w:sz w:val="18"/>
          <w:szCs w:val="18"/>
          <w:color w:val="auto"/>
        </w:rPr>
        <w:t>million (or</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if the underwriters’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in this offering is exercised in full), based upon an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currently intend to use the net proceeds of this offering for working capital, other general corporate purposes, and to fund our growth strategies discussed in this prospectus. We may use some of the net proceeds to satisfy tax withholding obligations related to the vesting and settlement of restricted stock units, or RSUs.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have two classes of common stock: Class A common stock and Class B common stock.</w:t>
      </w:r>
    </w:p>
    <w:p>
      <w:pPr>
        <w:spacing w:after="0" w:line="200" w:lineRule="exact"/>
        <w:rPr>
          <w:sz w:val="20"/>
          <w:szCs w:val="20"/>
          <w:color w:val="auto"/>
        </w:rPr>
      </w:pPr>
    </w:p>
    <w:p>
      <w:pPr>
        <w:sectPr>
          <w:pgSz w:w="11900" w:h="16838" w:orient="portrait"/>
          <w:cols w:equalWidth="0" w:num="2">
            <w:col w:w="5820" w:space="0"/>
            <w:col w:w="5120"/>
          </w:cols>
          <w:pgMar w:left="320" w:top="459" w:right="6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030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A common stock are entitled to one vote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B common stock are entitled to 10 votes per share.</w:t>
      </w: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Holders of our Class A common stock and Class B common stock will</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generally vote together as a single class, unless otherwise required by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law or our amended and restated certificate of incorporation that will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 in effect on the completion of this offering. The holders of our</w:t>
      </w:r>
    </w:p>
    <w:p>
      <w:pPr>
        <w:spacing w:after="0" w:line="9" w:lineRule="exact"/>
        <w:rPr>
          <w:sz w:val="20"/>
          <w:szCs w:val="20"/>
          <w:color w:val="auto"/>
        </w:rPr>
      </w:pPr>
    </w:p>
    <w:p>
      <w:pPr>
        <w:ind w:left="5820"/>
        <w:spacing w:after="0"/>
        <w:tabs>
          <w:tab w:leader="none" w:pos="10540" w:val="left"/>
        </w:tabs>
        <w:rPr>
          <w:sz w:val="20"/>
          <w:szCs w:val="20"/>
          <w:color w:val="auto"/>
        </w:rPr>
      </w:pPr>
      <w:r>
        <w:rPr>
          <w:rFonts w:ascii="Arial" w:cs="Arial" w:eastAsia="Arial" w:hAnsi="Arial"/>
          <w:sz w:val="18"/>
          <w:szCs w:val="18"/>
          <w:color w:val="auto"/>
        </w:rPr>
        <w:t>outstanding Class B common stock will hold approximately</w:t>
      </w:r>
      <w:r>
        <w:rPr>
          <w:sz w:val="20"/>
          <w:szCs w:val="20"/>
          <w:color w:val="auto"/>
        </w:rPr>
        <w:tab/>
      </w:r>
      <w:r>
        <w:rPr>
          <w:rFonts w:ascii="Arial" w:cs="Arial" w:eastAsia="Arial" w:hAnsi="Arial"/>
          <w:sz w:val="18"/>
          <w:szCs w:val="18"/>
          <w:color w:val="auto"/>
        </w:rPr>
        <w:t>% of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voting power of our outstanding capital stock following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completion of this offering and will have the ability to control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outcome  of  matters  submitted  to  our  stockholders  for  approval,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including the election of our directors and the approval of any change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control transaction. See the sections titled “Principal Stockholders”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“Description of Capital Stock” for additional information.</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Concentration of ownership</w:t>
            </w:r>
          </w:p>
        </w:tc>
        <w:tc>
          <w:tcPr>
            <w:tcW w:w="5900" w:type="dxa"/>
            <w:vAlign w:val="bottom"/>
            <w:gridSpan w:val="3"/>
          </w:tcPr>
          <w:p>
            <w:pPr>
              <w:ind w:left="780"/>
              <w:spacing w:after="0"/>
              <w:rPr>
                <w:sz w:val="20"/>
                <w:szCs w:val="20"/>
                <w:color w:val="auto"/>
              </w:rPr>
            </w:pPr>
            <w:r>
              <w:rPr>
                <w:rFonts w:ascii="Arial" w:cs="Arial" w:eastAsia="Arial" w:hAnsi="Arial"/>
                <w:sz w:val="18"/>
                <w:szCs w:val="18"/>
                <w:color w:val="auto"/>
              </w:rPr>
              <w:t>Upon the completion of this offering, our executive officers and</w:t>
            </w:r>
          </w:p>
        </w:tc>
      </w:tr>
      <w:tr>
        <w:trPr>
          <w:trHeight w:val="216"/>
        </w:trPr>
        <w:tc>
          <w:tcPr>
            <w:tcW w:w="4740" w:type="dxa"/>
            <w:vAlign w:val="bottom"/>
          </w:tcPr>
          <w:p>
            <w:pPr>
              <w:spacing w:after="0"/>
              <w:rPr>
                <w:sz w:val="18"/>
                <w:szCs w:val="18"/>
                <w:color w:val="auto"/>
              </w:rPr>
            </w:pPr>
          </w:p>
        </w:tc>
        <w:tc>
          <w:tcPr>
            <w:tcW w:w="5900" w:type="dxa"/>
            <w:vAlign w:val="bottom"/>
            <w:gridSpan w:val="3"/>
          </w:tcPr>
          <w:p>
            <w:pPr>
              <w:ind w:left="780"/>
              <w:spacing w:after="0"/>
              <w:rPr>
                <w:sz w:val="20"/>
                <w:szCs w:val="20"/>
                <w:color w:val="auto"/>
              </w:rPr>
            </w:pPr>
            <w:r>
              <w:rPr>
                <w:rFonts w:ascii="Arial" w:cs="Arial" w:eastAsia="Arial" w:hAnsi="Arial"/>
                <w:sz w:val="18"/>
                <w:szCs w:val="18"/>
                <w:color w:val="auto"/>
                <w:w w:val="95"/>
              </w:rPr>
              <w:t>directors, and their affiliates, will beneficially own, in the aggregate,</w:t>
            </w:r>
          </w:p>
        </w:tc>
      </w:tr>
      <w:tr>
        <w:trPr>
          <w:trHeight w:val="216"/>
        </w:trPr>
        <w:tc>
          <w:tcPr>
            <w:tcW w:w="4740" w:type="dxa"/>
            <w:vAlign w:val="bottom"/>
          </w:tcPr>
          <w:p>
            <w:pPr>
              <w:spacing w:after="0"/>
              <w:rPr>
                <w:sz w:val="18"/>
                <w:szCs w:val="18"/>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approximately</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 of our outstanding shares of common stock,</w:t>
            </w:r>
          </w:p>
        </w:tc>
      </w:tr>
      <w:tr>
        <w:trPr>
          <w:trHeight w:val="216"/>
        </w:trPr>
        <w:tc>
          <w:tcPr>
            <w:tcW w:w="4740" w:type="dxa"/>
            <w:vAlign w:val="bottom"/>
          </w:tcPr>
          <w:p>
            <w:pPr>
              <w:spacing w:after="0"/>
              <w:rPr>
                <w:sz w:val="18"/>
                <w:szCs w:val="18"/>
                <w:color w:val="auto"/>
              </w:rPr>
            </w:pPr>
          </w:p>
        </w:tc>
        <w:tc>
          <w:tcPr>
            <w:tcW w:w="3100" w:type="dxa"/>
            <w:vAlign w:val="bottom"/>
            <w:gridSpan w:val="2"/>
          </w:tcPr>
          <w:p>
            <w:pPr>
              <w:ind w:left="780"/>
              <w:spacing w:after="0"/>
              <w:rPr>
                <w:sz w:val="20"/>
                <w:szCs w:val="20"/>
                <w:color w:val="auto"/>
              </w:rPr>
            </w:pPr>
            <w:r>
              <w:rPr>
                <w:rFonts w:ascii="Arial" w:cs="Arial" w:eastAsia="Arial" w:hAnsi="Arial"/>
                <w:sz w:val="18"/>
                <w:szCs w:val="18"/>
                <w:color w:val="auto"/>
              </w:rPr>
              <w:t>representing approximately</w:t>
            </w:r>
          </w:p>
        </w:tc>
        <w:tc>
          <w:tcPr>
            <w:tcW w:w="2800" w:type="dxa"/>
            <w:vAlign w:val="bottom"/>
          </w:tcPr>
          <w:p>
            <w:pPr>
              <w:jc w:val="right"/>
              <w:spacing w:after="0"/>
              <w:rPr>
                <w:sz w:val="20"/>
                <w:szCs w:val="20"/>
                <w:color w:val="auto"/>
              </w:rPr>
            </w:pPr>
            <w:r>
              <w:rPr>
                <w:rFonts w:ascii="Arial" w:cs="Arial" w:eastAsia="Arial" w:hAnsi="Arial"/>
                <w:sz w:val="18"/>
                <w:szCs w:val="18"/>
                <w:color w:val="auto"/>
              </w:rPr>
              <w:t>% of the voting power of our</w:t>
            </w:r>
          </w:p>
        </w:tc>
      </w:tr>
      <w:tr>
        <w:trPr>
          <w:trHeight w:val="230"/>
        </w:trPr>
        <w:tc>
          <w:tcPr>
            <w:tcW w:w="4740" w:type="dxa"/>
            <w:vAlign w:val="bottom"/>
          </w:tcPr>
          <w:p>
            <w:pPr>
              <w:spacing w:after="0"/>
              <w:rPr>
                <w:sz w:val="20"/>
                <w:szCs w:val="20"/>
                <w:color w:val="auto"/>
              </w:rPr>
            </w:pPr>
          </w:p>
        </w:tc>
        <w:tc>
          <w:tcPr>
            <w:tcW w:w="5900" w:type="dxa"/>
            <w:vAlign w:val="bottom"/>
            <w:gridSpan w:val="3"/>
          </w:tcPr>
          <w:p>
            <w:pPr>
              <w:ind w:left="780"/>
              <w:spacing w:after="0"/>
              <w:rPr>
                <w:sz w:val="20"/>
                <w:szCs w:val="20"/>
                <w:color w:val="auto"/>
              </w:rPr>
            </w:pPr>
            <w:r>
              <w:rPr>
                <w:rFonts w:ascii="Arial" w:cs="Arial" w:eastAsia="Arial" w:hAnsi="Arial"/>
                <w:sz w:val="18"/>
                <w:szCs w:val="18"/>
                <w:color w:val="auto"/>
              </w:rPr>
              <w:t>outstanding shares of common stock.</w:t>
            </w:r>
          </w:p>
        </w:tc>
      </w:tr>
      <w:tr>
        <w:trPr>
          <w:trHeight w:val="445"/>
        </w:trPr>
        <w:tc>
          <w:tcPr>
            <w:tcW w:w="4740" w:type="dxa"/>
            <w:vAlign w:val="bottom"/>
          </w:tcPr>
          <w:p>
            <w:pPr>
              <w:spacing w:after="0"/>
              <w:rPr>
                <w:sz w:val="20"/>
                <w:szCs w:val="20"/>
                <w:color w:val="auto"/>
              </w:rPr>
            </w:pPr>
            <w:r>
              <w:rPr>
                <w:rFonts w:ascii="Arial" w:cs="Arial" w:eastAsia="Arial" w:hAnsi="Arial"/>
                <w:sz w:val="18"/>
                <w:szCs w:val="18"/>
                <w:color w:val="auto"/>
              </w:rPr>
              <w:t>Risk factors</w:t>
            </w:r>
          </w:p>
        </w:tc>
        <w:tc>
          <w:tcPr>
            <w:tcW w:w="5900" w:type="dxa"/>
            <w:vAlign w:val="bottom"/>
            <w:gridSpan w:val="3"/>
          </w:tcPr>
          <w:p>
            <w:pPr>
              <w:ind w:left="780"/>
              <w:spacing w:after="0"/>
              <w:rPr>
                <w:sz w:val="20"/>
                <w:szCs w:val="20"/>
                <w:color w:val="auto"/>
              </w:rPr>
            </w:pPr>
            <w:r>
              <w:rPr>
                <w:rFonts w:ascii="Arial" w:cs="Arial" w:eastAsia="Arial" w:hAnsi="Arial"/>
                <w:sz w:val="18"/>
                <w:szCs w:val="18"/>
                <w:color w:val="auto"/>
                <w:w w:val="96"/>
              </w:rPr>
              <w:t>See the section titled “Risk Factors” for a discussion of factors you</w:t>
            </w:r>
          </w:p>
        </w:tc>
      </w:tr>
      <w:tr>
        <w:trPr>
          <w:trHeight w:val="216"/>
        </w:trPr>
        <w:tc>
          <w:tcPr>
            <w:tcW w:w="4740" w:type="dxa"/>
            <w:vAlign w:val="bottom"/>
          </w:tcPr>
          <w:p>
            <w:pPr>
              <w:spacing w:after="0"/>
              <w:rPr>
                <w:sz w:val="18"/>
                <w:szCs w:val="18"/>
                <w:color w:val="auto"/>
              </w:rPr>
            </w:pPr>
          </w:p>
        </w:tc>
        <w:tc>
          <w:tcPr>
            <w:tcW w:w="5900" w:type="dxa"/>
            <w:vAlign w:val="bottom"/>
            <w:gridSpan w:val="3"/>
          </w:tcPr>
          <w:p>
            <w:pPr>
              <w:ind w:left="780"/>
              <w:spacing w:after="0"/>
              <w:rPr>
                <w:sz w:val="20"/>
                <w:szCs w:val="20"/>
                <w:color w:val="auto"/>
              </w:rPr>
            </w:pPr>
            <w:r>
              <w:rPr>
                <w:rFonts w:ascii="Arial" w:cs="Arial" w:eastAsia="Arial" w:hAnsi="Arial"/>
                <w:sz w:val="18"/>
                <w:szCs w:val="18"/>
                <w:color w:val="auto"/>
                <w:w w:val="98"/>
              </w:rPr>
              <w:t>should carefully consider before deciding to invest in our Class A</w:t>
            </w:r>
          </w:p>
        </w:tc>
      </w:tr>
      <w:tr>
        <w:trPr>
          <w:trHeight w:val="230"/>
        </w:trPr>
        <w:tc>
          <w:tcPr>
            <w:tcW w:w="474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Proposed Nasdaq Global Select Market trading symbol</w:t>
            </w:r>
          </w:p>
        </w:tc>
        <w:tc>
          <w:tcPr>
            <w:tcW w:w="2060" w:type="dxa"/>
            <w:vAlign w:val="bottom"/>
          </w:tcPr>
          <w:p>
            <w:pPr>
              <w:ind w:left="780"/>
              <w:spacing w:after="0"/>
              <w:rPr>
                <w:sz w:val="20"/>
                <w:szCs w:val="20"/>
                <w:color w:val="auto"/>
              </w:rPr>
            </w:pPr>
            <w:r>
              <w:rPr>
                <w:rFonts w:ascii="Arial" w:cs="Arial" w:eastAsia="Arial" w:hAnsi="Arial"/>
                <w:sz w:val="18"/>
                <w:szCs w:val="18"/>
                <w:color w:val="auto"/>
              </w:rPr>
              <w:t>“MQ.”</w:t>
            </w: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1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number of shares of Class A common stock and Class B common stock that will be outstanding after this offering is based on no shares of our Class A common stock and 482,157,178 shares of our Class B common stock outstanding including our redeemable convertible preferred stock on as-converted basis as of December 31, 2020, and excludes:</w:t>
      </w:r>
    </w:p>
    <w:p>
      <w:pPr>
        <w:spacing w:after="0" w:line="89" w:lineRule="exact"/>
        <w:rPr>
          <w:sz w:val="20"/>
          <w:szCs w:val="20"/>
          <w:color w:val="auto"/>
        </w:rPr>
      </w:pPr>
    </w:p>
    <w:p>
      <w:pPr>
        <w:ind w:left="1020" w:right="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4,430,336 RSUs for shares of our Class B common stock that are issuable upon satisfaction of service and liquidity conditions outstanding as of December 31, 2020, for which the liquidity condition was not yet satisfied as of December 31, 2020;</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4,056,994 shares of our Class B common stock issuable upon the exercise of options to purchase common stock granted after December 31, 2020, with a weighted-average exercise price of $10.48 per share;</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2,130,993 RSUs for shares of our Class B common stock that are issuable upon satisfaction of service and liquidity conditions that were granted after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6493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20" w:hanging="195"/>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29" w:lineRule="exact"/>
        <w:rPr>
          <w:rFonts w:ascii="Arial" w:cs="Arial" w:eastAsia="Arial" w:hAnsi="Arial"/>
          <w:sz w:val="16"/>
          <w:szCs w:val="16"/>
          <w:color w:val="auto"/>
        </w:rPr>
      </w:pPr>
    </w:p>
    <w:p>
      <w:pPr>
        <w:ind w:left="1020" w:hanging="19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dated September 15, 2020, with an exercise price of $0.01 per share, 22,500 of which are currently exercisable and 727,500 of which are exercisable upon attaining certain milestones;</w:t>
      </w:r>
    </w:p>
    <w:p>
      <w:pPr>
        <w:spacing w:after="0" w:line="89"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Inc., dated March 13,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dated March 31,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2,493,159 shares of our Class B common stock reserved for future issuance pursuant to our 2011 Equity Incentive Plan, as amended, or our 2011 Plan; and</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7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21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Stock Option and Incentive Plan, or our 2021 Plan; and</w:t>
      </w:r>
    </w:p>
    <w:p>
      <w:pPr>
        <w:spacing w:after="0" w:line="75" w:lineRule="exact"/>
        <w:rPr>
          <w:rFonts w:ascii="Arial" w:cs="Arial" w:eastAsia="Arial" w:hAnsi="Arial"/>
          <w:sz w:val="18"/>
          <w:szCs w:val="18"/>
          <w:color w:val="auto"/>
        </w:rPr>
      </w:pPr>
    </w:p>
    <w:p>
      <w:pPr>
        <w:ind w:left="2220" w:hanging="1179"/>
        <w:spacing w:after="0"/>
        <w:tabs>
          <w:tab w:leader="none" w:pos="22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shares of our Class A common stock reserved for future issuance under our 2021 Employee Stock Purchase Plan, or our</w:t>
      </w:r>
    </w:p>
    <w:p>
      <w:pPr>
        <w:spacing w:after="0" w:line="46"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ESPP.</w:t>
      </w:r>
    </w:p>
    <w:p>
      <w:pPr>
        <w:spacing w:after="0" w:line="21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and ESPP each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 Employee Benefits and Stock Plans.”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redeemable convertible preferred stock into an aggregate of 351,844,340 shares of our Class B common stock, the conversion of which will occur immediately prior to the completion of this offering;</w:t>
      </w:r>
    </w:p>
    <w:p>
      <w:pPr>
        <w:spacing w:after="0" w:line="51" w:lineRule="exact"/>
        <w:rPr>
          <w:rFonts w:ascii="Arial" w:cs="Arial" w:eastAsia="Arial" w:hAnsi="Arial"/>
          <w:sz w:val="17"/>
          <w:szCs w:val="17"/>
          <w:color w:val="auto"/>
        </w:rPr>
      </w:pPr>
    </w:p>
    <w:p>
      <w:pPr>
        <w:ind w:left="1020" w:hanging="195"/>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1256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1256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220" w:type="dxa"/>
            <w:vAlign w:val="bottom"/>
          </w:tcPr>
          <w:p>
            <w:pPr>
              <w:ind w:left="60"/>
              <w:spacing w:after="0"/>
              <w:rPr>
                <w:sz w:val="20"/>
                <w:szCs w:val="20"/>
                <w:color w:val="auto"/>
              </w:rPr>
            </w:pPr>
            <w:r>
              <w:rPr>
                <w:rFonts w:ascii="Arial" w:cs="Arial" w:eastAsia="Arial" w:hAnsi="Arial"/>
                <w:sz w:val="18"/>
                <w:szCs w:val="18"/>
                <w:color w:val="auto"/>
              </w:rPr>
              <w:t>the net issuance of</w:t>
            </w:r>
          </w:p>
        </w:tc>
        <w:tc>
          <w:tcPr>
            <w:tcW w:w="7760" w:type="dxa"/>
            <w:vAlign w:val="bottom"/>
            <w:gridSpan w:val="2"/>
          </w:tcPr>
          <w:p>
            <w:pPr>
              <w:jc w:val="right"/>
              <w:spacing w:after="0"/>
              <w:rPr>
                <w:sz w:val="20"/>
                <w:szCs w:val="20"/>
                <w:color w:val="auto"/>
              </w:rPr>
            </w:pPr>
            <w:r>
              <w:rPr>
                <w:rFonts w:ascii="Arial" w:cs="Arial" w:eastAsia="Arial" w:hAnsi="Arial"/>
                <w:sz w:val="18"/>
                <w:szCs w:val="18"/>
                <w:color w:val="auto"/>
                <w:w w:val="91"/>
              </w:rPr>
              <w:t>shares of our Class B common stock issuable pursuant to the vesting and settlement of 505,993 RSUs for</w:t>
            </w:r>
          </w:p>
        </w:tc>
      </w:tr>
      <w:tr>
        <w:trPr>
          <w:trHeight w:val="216"/>
        </w:trPr>
        <w:tc>
          <w:tcPr>
            <w:tcW w:w="140" w:type="dxa"/>
            <w:vAlign w:val="bottom"/>
          </w:tcPr>
          <w:p>
            <w:pPr>
              <w:spacing w:after="0"/>
              <w:rPr>
                <w:sz w:val="18"/>
                <w:szCs w:val="18"/>
                <w:color w:val="auto"/>
              </w:rPr>
            </w:pPr>
          </w:p>
        </w:tc>
        <w:tc>
          <w:tcPr>
            <w:tcW w:w="9980" w:type="dxa"/>
            <w:vAlign w:val="bottom"/>
            <w:gridSpan w:val="3"/>
          </w:tcPr>
          <w:p>
            <w:pPr>
              <w:ind w:left="60"/>
              <w:spacing w:after="0"/>
              <w:rPr>
                <w:sz w:val="20"/>
                <w:szCs w:val="20"/>
                <w:color w:val="auto"/>
              </w:rPr>
            </w:pPr>
            <w:r>
              <w:rPr>
                <w:rFonts w:ascii="Arial" w:cs="Arial" w:eastAsia="Arial" w:hAnsi="Arial"/>
                <w:sz w:val="18"/>
                <w:szCs w:val="18"/>
                <w:color w:val="auto"/>
                <w:w w:val="95"/>
              </w:rPr>
              <w:t>which the service condition was satisfied as of December 31, 2020, and for which we expect the liquidity condition to be satisfied in</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w w:val="94"/>
              </w:rPr>
              <w:t>connection with this offering;</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23"/>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100" w:type="dxa"/>
            <w:vAlign w:val="bottom"/>
            <w:gridSpan w:val="2"/>
          </w:tcPr>
          <w:p>
            <w:pPr>
              <w:ind w:left="60"/>
              <w:spacing w:after="0"/>
              <w:rPr>
                <w:sz w:val="20"/>
                <w:szCs w:val="20"/>
                <w:color w:val="auto"/>
              </w:rPr>
            </w:pPr>
            <w:r>
              <w:rPr>
                <w:rFonts w:ascii="Arial" w:cs="Arial" w:eastAsia="Arial" w:hAnsi="Arial"/>
                <w:sz w:val="18"/>
                <w:szCs w:val="18"/>
                <w:color w:val="auto"/>
                <w:w w:val="97"/>
              </w:rPr>
              <w:t>no exercise by the underwriters of their option to purchase up to an additional</w:t>
            </w:r>
          </w:p>
        </w:tc>
        <w:tc>
          <w:tcPr>
            <w:tcW w:w="3880" w:type="dxa"/>
            <w:vAlign w:val="bottom"/>
          </w:tcPr>
          <w:p>
            <w:pPr>
              <w:jc w:val="right"/>
              <w:spacing w:after="0"/>
              <w:rPr>
                <w:sz w:val="20"/>
                <w:szCs w:val="20"/>
                <w:color w:val="auto"/>
              </w:rPr>
            </w:pPr>
            <w:r>
              <w:rPr>
                <w:rFonts w:ascii="Arial" w:cs="Arial" w:eastAsia="Arial" w:hAnsi="Arial"/>
                <w:sz w:val="18"/>
                <w:szCs w:val="18"/>
                <w:color w:val="auto"/>
              </w:rPr>
              <w:t>shares of Class A common stock from us in this</w:t>
            </w:r>
          </w:p>
        </w:tc>
      </w:tr>
      <w:tr>
        <w:trPr>
          <w:trHeight w:val="230"/>
        </w:trPr>
        <w:tc>
          <w:tcPr>
            <w:tcW w:w="140" w:type="dxa"/>
            <w:vAlign w:val="bottom"/>
          </w:tcPr>
          <w:p>
            <w:pPr>
              <w:spacing w:after="0"/>
              <w:rPr>
                <w:sz w:val="20"/>
                <w:szCs w:val="20"/>
                <w:color w:val="auto"/>
              </w:rPr>
            </w:pPr>
          </w:p>
        </w:tc>
        <w:tc>
          <w:tcPr>
            <w:tcW w:w="2220" w:type="dxa"/>
            <w:vAlign w:val="bottom"/>
          </w:tcPr>
          <w:p>
            <w:pPr>
              <w:ind w:left="60"/>
              <w:spacing w:after="0"/>
              <w:rPr>
                <w:sz w:val="20"/>
                <w:szCs w:val="20"/>
                <w:color w:val="auto"/>
              </w:rPr>
            </w:pPr>
            <w:r>
              <w:rPr>
                <w:rFonts w:ascii="Arial" w:cs="Arial" w:eastAsia="Arial" w:hAnsi="Arial"/>
                <w:sz w:val="18"/>
                <w:szCs w:val="18"/>
                <w:color w:val="auto"/>
              </w:rPr>
              <w:t>offering; and</w:t>
            </w:r>
          </w:p>
        </w:tc>
        <w:tc>
          <w:tcPr>
            <w:tcW w:w="388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107" w:lineRule="exact"/>
        <w:rPr>
          <w:sz w:val="20"/>
          <w:szCs w:val="20"/>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or settlement of outstanding RSUs subsequent to December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5558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20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and per share amounts</w:t>
            </w: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or as noted)</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143,267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3"/>
              </w:rPr>
              <w:t>$290,292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82,814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172,385</w:t>
            </w:r>
          </w:p>
        </w:tc>
        <w:tc>
          <w:tcPr>
            <w:tcW w:w="200" w:type="dxa"/>
            <w:vAlign w:val="bottom"/>
            <w:shd w:val="clear" w:color="auto" w:fill="CCEEFF"/>
          </w:tcPr>
          <w:p>
            <w:pPr>
              <w:spacing w:after="0"/>
              <w:rPr>
                <w:sz w:val="18"/>
                <w:szCs w:val="18"/>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All other operating expenses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(58,863)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(47,087)</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(47,695)</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r>
              <w:rPr>
                <w:rFonts w:ascii="Arial" w:cs="Arial" w:eastAsia="Arial" w:hAnsi="Arial"/>
                <w:sz w:val="15"/>
                <w:szCs w:val="15"/>
                <w:color w:val="auto"/>
              </w:rPr>
              <w:t>(2)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w w:val="94"/>
              </w:rPr>
              <w:t>Weighted-average shares used in computing net loss per share attributable to Class A and Class B common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w w:val="89"/>
              </w:rPr>
              <w:t>113,852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122,933</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net loss attributable to Class A and Class B common stockholders, basic and diluted (unaudited)</w:t>
            </w:r>
            <w:r>
              <w:rPr>
                <w:rFonts w:ascii="Arial" w:cs="Arial" w:eastAsia="Arial" w:hAnsi="Arial"/>
                <w:sz w:val="15"/>
                <w:szCs w:val="15"/>
                <w:color w:val="auto"/>
                <w:w w:val="93"/>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(55,542)</w:t>
            </w:r>
          </w:p>
        </w:tc>
      </w:tr>
      <w:tr>
        <w:trPr>
          <w:trHeight w:val="202"/>
        </w:trPr>
        <w:tc>
          <w:tcPr>
            <w:tcW w:w="20" w:type="dxa"/>
            <w:vAlign w:val="bottom"/>
          </w:tcPr>
          <w:p>
            <w:pPr>
              <w:spacing w:after="0"/>
              <w:rPr>
                <w:sz w:val="17"/>
                <w:szCs w:val="17"/>
                <w:color w:val="auto"/>
              </w:rPr>
            </w:pPr>
          </w:p>
        </w:tc>
        <w:tc>
          <w:tcPr>
            <w:tcW w:w="8140" w:type="dxa"/>
            <w:vAlign w:val="bottom"/>
          </w:tcPr>
          <w:p>
            <w:pPr>
              <w:spacing w:after="0" w:line="201" w:lineRule="exact"/>
              <w:rPr>
                <w:sz w:val="20"/>
                <w:szCs w:val="20"/>
                <w:color w:val="auto"/>
              </w:rPr>
            </w:pPr>
            <w:r>
              <w:rPr>
                <w:rFonts w:ascii="Arial" w:cs="Arial" w:eastAsia="Arial" w:hAnsi="Arial"/>
                <w:sz w:val="18"/>
                <w:szCs w:val="18"/>
                <w:color w:val="auto"/>
                <w:w w:val="97"/>
              </w:rPr>
              <w:t>Pro forma net loss per share attributable to Class A and Class B common stockholders, basic and diluted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(0.12)</w:t>
            </w:r>
          </w:p>
        </w:tc>
      </w:tr>
      <w:tr>
        <w:trPr>
          <w:trHeight w:val="202"/>
        </w:trPr>
        <w:tc>
          <w:tcPr>
            <w:tcW w:w="20" w:type="dxa"/>
            <w:vAlign w:val="bottom"/>
          </w:tcPr>
          <w:p>
            <w:pPr>
              <w:spacing w:after="0"/>
              <w:rPr>
                <w:sz w:val="17"/>
                <w:szCs w:val="17"/>
                <w:color w:val="auto"/>
              </w:rPr>
            </w:pPr>
          </w:p>
        </w:tc>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shares used in computing pro forma net loss per share attributable to Class A and Class B</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 basic and diluted (unaudited)</w:t>
            </w:r>
            <w:r>
              <w:rPr>
                <w:rFonts w:ascii="Arial" w:cs="Arial" w:eastAsia="Arial" w:hAnsi="Arial"/>
                <w:sz w:val="15"/>
                <w:szCs w:val="15"/>
                <w:color w:val="auto"/>
              </w:rPr>
              <w:t>(3)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469,360</w:t>
            </w:r>
          </w:p>
        </w:tc>
        <w:tc>
          <w:tcPr>
            <w:tcW w:w="200" w:type="dxa"/>
            <w:vAlign w:val="bottom"/>
            <w:shd w:val="clear" w:color="auto" w:fill="CCEEFF"/>
          </w:tcPr>
          <w:p>
            <w:pPr>
              <w:spacing w:after="0"/>
              <w:rPr>
                <w:sz w:val="20"/>
                <w:szCs w:val="20"/>
                <w:color w:val="auto"/>
              </w:rPr>
            </w:pPr>
          </w:p>
        </w:tc>
      </w:tr>
    </w:tbl>
    <w:p>
      <w:pPr>
        <w:spacing w:after="0" w:line="179" w:lineRule="exact"/>
        <w:rPr>
          <w:sz w:val="20"/>
          <w:szCs w:val="20"/>
          <w:color w:val="auto"/>
        </w:rPr>
      </w:pPr>
    </w:p>
    <w:p>
      <w:pPr>
        <w:jc w:val="both"/>
        <w:ind w:left="820" w:right="20" w:hanging="522"/>
        <w:spacing w:after="0" w:line="303" w:lineRule="auto"/>
        <w:tabs>
          <w:tab w:leader="none" w:pos="8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Compensation and benefits include share-based compensation expense of $21.8 million and $28.2 million for the year ended December 31, 2019 and December 31, 2020,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4"/>
          <w:szCs w:val="14"/>
          <w:color w:val="auto"/>
        </w:rPr>
      </w:pPr>
    </w:p>
    <w:p>
      <w:pPr>
        <w:ind w:left="820" w:hanging="522"/>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8" w:lineRule="exact"/>
        <w:rPr>
          <w:rFonts w:ascii="Arial" w:cs="Arial" w:eastAsia="Arial" w:hAnsi="Arial"/>
          <w:sz w:val="16"/>
          <w:szCs w:val="16"/>
          <w:color w:val="auto"/>
        </w:rPr>
      </w:pPr>
    </w:p>
    <w:p>
      <w:pPr>
        <w:ind w:left="820" w:hanging="522"/>
        <w:spacing w:after="0"/>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4984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4984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880" w:type="dxa"/>
            <w:vAlign w:val="bottom"/>
          </w:tcPr>
          <w:p>
            <w:pPr>
              <w:ind w:left="8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12"/>
                <w:szCs w:val="12"/>
                <w:b w:val="1"/>
                <w:bCs w:val="1"/>
                <w:color w:val="auto"/>
                <w:w w:val="96"/>
              </w:rPr>
              <w:t>(2)(3)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2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$ 220,433</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$220,433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7,800</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7,800</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149,903</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149,903</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289,808</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289,808</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457,680</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457,680</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169,516</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166,999</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040" w:type="dxa"/>
            <w:vAlign w:val="bottom"/>
            <w:gridSpan w:val="2"/>
          </w:tcPr>
          <w:p>
            <w:pPr>
              <w:jc w:val="right"/>
              <w:ind w:right="68"/>
              <w:spacing w:after="0"/>
              <w:rPr>
                <w:sz w:val="20"/>
                <w:szCs w:val="20"/>
                <w:color w:val="auto"/>
              </w:rPr>
            </w:pPr>
            <w:r>
              <w:rPr>
                <w:rFonts w:ascii="Arial" w:cs="Arial" w:eastAsia="Arial" w:hAnsi="Arial"/>
                <w:sz w:val="18"/>
                <w:szCs w:val="18"/>
                <w:color w:val="auto"/>
              </w:rPr>
              <w:t>501,881</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3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(213,717)</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290,681</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820" w:hanging="522"/>
        <w:spacing w:after="0" w:line="303" w:lineRule="auto"/>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 capital, (v) the net</w:t>
      </w:r>
    </w:p>
    <w:p>
      <w:pPr>
        <w:spacing w:after="0" w:line="1" w:lineRule="exact"/>
        <w:rPr>
          <w:sz w:val="20"/>
          <w:szCs w:val="20"/>
          <w:color w:val="auto"/>
        </w:rPr>
      </w:pPr>
    </w:p>
    <w:p>
      <w:pPr>
        <w:jc w:val="both"/>
        <w:ind w:left="820"/>
        <w:spacing w:after="0" w:line="556" w:lineRule="auto"/>
        <w:rPr>
          <w:sz w:val="20"/>
          <w:szCs w:val="20"/>
          <w:color w:val="auto"/>
        </w:rPr>
      </w:pPr>
      <w:r>
        <w:rPr>
          <w:rFonts w:ascii="Arial" w:cs="Arial" w:eastAsia="Arial" w:hAnsi="Arial"/>
          <w:sz w:val="15"/>
          <w:szCs w:val="15"/>
          <w:color w:val="auto"/>
        </w:rPr>
        <w:t>issuance of shares of our common stock issuable pursuant to the vesting and settlement of 505,993 RSUs for which the service condition was satisfied as of December 31, 2020, and for which we expect the liquidity condition to be satisfied in connection with this offering, (vi) the increase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right="20"/>
        <w:spacing w:after="0" w:line="284" w:lineRule="auto"/>
        <w:rPr>
          <w:sz w:val="20"/>
          <w:szCs w:val="20"/>
          <w:color w:val="auto"/>
        </w:rPr>
      </w:pPr>
      <w:r>
        <w:rPr>
          <w:rFonts w:ascii="Arial" w:cs="Arial" w:eastAsia="Arial" w:hAnsi="Arial"/>
          <w:sz w:val="15"/>
          <w:szCs w:val="15"/>
          <w:color w:val="auto"/>
        </w:rPr>
        <w:t>accrued liabilities and an equivalent decrease in additional paid-in capital of $ in connection with tax withholding obligations related to such RSUs, based upon the initial public offering price of $ per share, which is the midpoint of the estimated offering price range set forth on the cover</w:t>
      </w:r>
    </w:p>
    <w:p>
      <w:pPr>
        <w:spacing w:after="0" w:line="1" w:lineRule="exact"/>
        <w:rPr>
          <w:sz w:val="20"/>
          <w:szCs w:val="20"/>
          <w:color w:val="auto"/>
        </w:rPr>
      </w:pPr>
    </w:p>
    <w:p>
      <w:pPr>
        <w:jc w:val="both"/>
        <w:ind w:left="820"/>
        <w:spacing w:after="0" w:line="264" w:lineRule="auto"/>
        <w:rPr>
          <w:sz w:val="20"/>
          <w:szCs w:val="20"/>
          <w:color w:val="auto"/>
        </w:rPr>
      </w:pPr>
      <w:r>
        <w:rPr>
          <w:rFonts w:ascii="Arial" w:cs="Arial" w:eastAsia="Arial" w:hAnsi="Arial"/>
          <w:sz w:val="16"/>
          <w:szCs w:val="16"/>
          <w:color w:val="auto"/>
        </w:rPr>
        <w:t>page of this prospectus, all of which will occur immediately prior to the completion of this offering, as if such actions had occurred on December 31, 2020, and (vii) $9.8 million of cumulative share-based compensation expense related to the RSUs for which the service condition was satisfied as of December 31, 2020 and for which we expect the liquidity condition to be satisfied in connection with this offering.</w:t>
      </w:r>
    </w:p>
    <w:p>
      <w:pPr>
        <w:ind w:left="820" w:hanging="522"/>
        <w:spacing w:after="0"/>
        <w:tabs>
          <w:tab w:leader="none" w:pos="8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w w:val="92"/>
              </w:rPr>
              <w:t>(b) our receipt of estimated net proceeds from the sale and issuance by us of</w:t>
            </w:r>
          </w:p>
        </w:tc>
        <w:tc>
          <w:tcPr>
            <w:tcW w:w="480" w:type="dxa"/>
            <w:vAlign w:val="bottom"/>
          </w:tcPr>
          <w:p>
            <w:pPr>
              <w:spacing w:after="0"/>
              <w:rPr>
                <w:sz w:val="17"/>
                <w:szCs w:val="17"/>
                <w:color w:val="auto"/>
              </w:rPr>
            </w:pP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w w:val="98"/>
              </w:rPr>
              <w:t>shares of our Class A common stock in this offering, based on an</w:t>
            </w:r>
          </w:p>
        </w:tc>
      </w:tr>
      <w:tr>
        <w:trPr>
          <w:trHeight w:val="203"/>
        </w:trPr>
        <w:tc>
          <w:tcPr>
            <w:tcW w:w="3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assumed initial public offering price of $</w:t>
            </w:r>
          </w:p>
        </w:tc>
        <w:tc>
          <w:tcPr>
            <w:tcW w:w="7100" w:type="dxa"/>
            <w:vAlign w:val="bottom"/>
            <w:gridSpan w:val="4"/>
          </w:tcPr>
          <w:p>
            <w:pPr>
              <w:jc w:val="right"/>
              <w:spacing w:after="0"/>
              <w:rPr>
                <w:sz w:val="20"/>
                <w:szCs w:val="20"/>
                <w:color w:val="auto"/>
              </w:rPr>
            </w:pPr>
            <w:r>
              <w:rPr>
                <w:rFonts w:ascii="Arial" w:cs="Arial" w:eastAsia="Arial" w:hAnsi="Arial"/>
                <w:sz w:val="16"/>
                <w:szCs w:val="16"/>
                <w:color w:val="auto"/>
                <w:w w:val="97"/>
              </w:rPr>
              <w:t>per share, which is the midpoint of the estimated offering price range set forth on the cover page of this</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rPr>
              <w:t>prospectus, and after deducting the estimated underwriting discounts and commissions and estimated offering expenses payable by us.</w:t>
            </w:r>
          </w:p>
        </w:tc>
      </w:tr>
      <w:tr>
        <w:trPr>
          <w:trHeight w:val="203"/>
        </w:trPr>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(3)</w:t>
            </w:r>
          </w:p>
        </w:tc>
        <w:tc>
          <w:tcPr>
            <w:tcW w:w="5680" w:type="dxa"/>
            <w:vAlign w:val="bottom"/>
            <w:gridSpan w:val="3"/>
          </w:tcPr>
          <w:p>
            <w:pPr>
              <w:ind w:left="160"/>
              <w:spacing w:after="0"/>
              <w:rPr>
                <w:sz w:val="20"/>
                <w:szCs w:val="20"/>
                <w:color w:val="auto"/>
              </w:rPr>
            </w:pPr>
            <w:r>
              <w:rPr>
                <w:rFonts w:ascii="Arial" w:cs="Arial" w:eastAsia="Arial" w:hAnsi="Arial"/>
                <w:sz w:val="16"/>
                <w:szCs w:val="16"/>
                <w:color w:val="auto"/>
                <w:w w:val="97"/>
              </w:rPr>
              <w:t>Each $1.00 increase or decrease in the assumed initial public offering price of $</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estimated offering price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range set forth on the cover page of this prospectus, would increase or decrease, as applicable, our cash, cash equivalents and marketable securities, total</w:t>
            </w:r>
          </w:p>
        </w:tc>
      </w:tr>
      <w:tr>
        <w:trPr>
          <w:trHeight w:val="203"/>
        </w:trPr>
        <w:tc>
          <w:tcPr>
            <w:tcW w:w="360" w:type="dxa"/>
            <w:vAlign w:val="bottom"/>
          </w:tcPr>
          <w:p>
            <w:pPr>
              <w:spacing w:after="0"/>
              <w:rPr>
                <w:sz w:val="17"/>
                <w:szCs w:val="17"/>
                <w:color w:val="auto"/>
              </w:rPr>
            </w:pPr>
          </w:p>
        </w:tc>
        <w:tc>
          <w:tcPr>
            <w:tcW w:w="5200" w:type="dxa"/>
            <w:vAlign w:val="bottom"/>
            <w:gridSpan w:val="2"/>
          </w:tcPr>
          <w:p>
            <w:pPr>
              <w:ind w:left="160"/>
              <w:spacing w:after="0"/>
              <w:rPr>
                <w:sz w:val="20"/>
                <w:szCs w:val="20"/>
                <w:color w:val="auto"/>
              </w:rPr>
            </w:pPr>
            <w:r>
              <w:rPr>
                <w:rFonts w:ascii="Arial" w:cs="Arial" w:eastAsia="Arial" w:hAnsi="Arial"/>
                <w:sz w:val="16"/>
                <w:szCs w:val="16"/>
                <w:color w:val="auto"/>
              </w:rPr>
              <w:t>assets, and total stockholders’ equity (deficit) by approximately $</w:t>
            </w:r>
          </w:p>
        </w:tc>
        <w:tc>
          <w:tcPr>
            <w:tcW w:w="5080" w:type="dxa"/>
            <w:vAlign w:val="bottom"/>
            <w:gridSpan w:val="3"/>
          </w:tcPr>
          <w:p>
            <w:pPr>
              <w:jc w:val="right"/>
              <w:spacing w:after="0"/>
              <w:rPr>
                <w:sz w:val="20"/>
                <w:szCs w:val="20"/>
                <w:color w:val="auto"/>
              </w:rPr>
            </w:pPr>
            <w:r>
              <w:rPr>
                <w:rFonts w:ascii="Arial" w:cs="Arial" w:eastAsia="Arial" w:hAnsi="Arial"/>
                <w:sz w:val="16"/>
                <w:szCs w:val="16"/>
                <w:color w:val="auto"/>
                <w:w w:val="93"/>
              </w:rPr>
              <w:t>million, assuming that the number of shares offered by us, as set forth on the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cover page of this prospectus, remains the same and after deducting the estimated underwriting discounts and commissions payable by us. Similarly, each</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0"/>
              </w:rPr>
              <w:t>increase or decrease of 1.0 million shares in the number of shares of our Class A common stock offered by us would increase or decrease, as applicable, our</w:t>
            </w:r>
          </w:p>
        </w:tc>
      </w:tr>
      <w:tr>
        <w:trPr>
          <w:trHeight w:val="206"/>
        </w:trPr>
        <w:tc>
          <w:tcPr>
            <w:tcW w:w="360" w:type="dxa"/>
            <w:vAlign w:val="bottom"/>
          </w:tcPr>
          <w:p>
            <w:pPr>
              <w:spacing w:after="0"/>
              <w:rPr>
                <w:sz w:val="17"/>
                <w:szCs w:val="17"/>
                <w:color w:val="auto"/>
              </w:rPr>
            </w:pPr>
          </w:p>
        </w:tc>
        <w:tc>
          <w:tcPr>
            <w:tcW w:w="8460" w:type="dxa"/>
            <w:vAlign w:val="bottom"/>
            <w:gridSpan w:val="4"/>
          </w:tcPr>
          <w:p>
            <w:pPr>
              <w:ind w:left="160"/>
              <w:spacing w:after="0"/>
              <w:rPr>
                <w:sz w:val="20"/>
                <w:szCs w:val="20"/>
                <w:color w:val="auto"/>
              </w:rPr>
            </w:pPr>
            <w:r>
              <w:rPr>
                <w:rFonts w:ascii="Arial" w:cs="Arial" w:eastAsia="Arial" w:hAnsi="Arial"/>
                <w:sz w:val="16"/>
                <w:szCs w:val="16"/>
                <w:color w:val="auto"/>
                <w:w w:val="97"/>
              </w:rPr>
              <w:t>cash, cash equivalents and marketable securities, total assets, and total stockholders’ equity (deficit) by approximately $</w:t>
            </w:r>
          </w:p>
        </w:tc>
        <w:tc>
          <w:tcPr>
            <w:tcW w:w="1820" w:type="dxa"/>
            <w:vAlign w:val="bottom"/>
          </w:tcPr>
          <w:p>
            <w:pPr>
              <w:jc w:val="right"/>
              <w:spacing w:after="0"/>
              <w:rPr>
                <w:sz w:val="20"/>
                <w:szCs w:val="20"/>
                <w:color w:val="auto"/>
              </w:rPr>
            </w:pPr>
            <w:r>
              <w:rPr>
                <w:rFonts w:ascii="Arial" w:cs="Arial" w:eastAsia="Arial" w:hAnsi="Arial"/>
                <w:sz w:val="16"/>
                <w:szCs w:val="16"/>
                <w:color w:val="auto"/>
              </w:rPr>
              <w:t>million, assuming the</w:t>
            </w:r>
          </w:p>
        </w:tc>
      </w:tr>
    </w:tbl>
    <w:p>
      <w:pPr>
        <w:ind w:left="820" w:right="20"/>
        <w:spacing w:after="0" w:line="288" w:lineRule="auto"/>
        <w:rPr>
          <w:sz w:val="20"/>
          <w:szCs w:val="20"/>
          <w:color w:val="auto"/>
        </w:rPr>
      </w:pPr>
      <w:r>
        <w:rPr>
          <w:rFonts w:ascii="Arial" w:cs="Arial" w:eastAsia="Arial" w:hAnsi="Arial"/>
          <w:sz w:val="16"/>
          <w:szCs w:val="16"/>
          <w:color w:val="auto"/>
        </w:rPr>
        <w:t>assumed initial public 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212090</wp:posOffset>
            </wp:positionV>
            <wp:extent cx="6998970" cy="3613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36131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Year Ended</w:t>
      </w:r>
    </w:p>
    <w:p>
      <w:pPr>
        <w:jc w:val="center"/>
        <w:ind w:left="8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5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2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 (in thousands)</w:t>
            </w:r>
          </w:p>
        </w:tc>
        <w:tc>
          <w:tcPr>
            <w:tcW w:w="3580" w:type="dxa"/>
            <w:vAlign w:val="bottom"/>
            <w:gridSpan w:val="3"/>
          </w:tcPr>
          <w:p>
            <w:pPr>
              <w:jc w:val="right"/>
              <w:ind w:right="360"/>
              <w:spacing w:after="0"/>
              <w:rPr>
                <w:sz w:val="20"/>
                <w:szCs w:val="20"/>
                <w:color w:val="auto"/>
              </w:rPr>
            </w:pPr>
            <w:r>
              <w:rPr>
                <w:rFonts w:ascii="Arial" w:cs="Arial" w:eastAsia="Arial" w:hAnsi="Arial"/>
                <w:sz w:val="18"/>
                <w:szCs w:val="18"/>
                <w:color w:val="auto"/>
              </w:rPr>
              <w:t>$(58,200)</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$(47,695)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3580" w:type="dxa"/>
            <w:vAlign w:val="bottom"/>
            <w:gridSpan w:val="3"/>
          </w:tcPr>
          <w:p>
            <w:pPr>
              <w:jc w:val="right"/>
              <w:ind w:right="360"/>
              <w:spacing w:after="0"/>
              <w:rPr>
                <w:sz w:val="20"/>
                <w:szCs w:val="20"/>
                <w:color w:val="auto"/>
              </w:rPr>
            </w:pPr>
            <w:r>
              <w:rPr>
                <w:rFonts w:ascii="Arial" w:cs="Arial" w:eastAsia="Arial" w:hAnsi="Arial"/>
                <w:sz w:val="18"/>
                <w:szCs w:val="18"/>
                <w:color w:val="auto"/>
              </w:rPr>
              <w:t>$(34,026)</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$(15,378)</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3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bl>
    <w:p>
      <w:pPr>
        <w:spacing w:after="0" w:line="179" w:lineRule="exact"/>
        <w:rPr>
          <w:sz w:val="20"/>
          <w:szCs w:val="20"/>
          <w:color w:val="auto"/>
        </w:rPr>
      </w:pPr>
    </w:p>
    <w:p>
      <w:pPr>
        <w:ind w:left="820" w:hanging="522"/>
        <w:spacing w:after="0"/>
        <w:tabs>
          <w:tab w:leader="none" w:pos="8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hanging="522"/>
        <w:spacing w:after="0" w:line="264"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ind w:left="820" w:hanging="522"/>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Processing volume</w:t>
      </w:r>
      <w:r>
        <w:rPr>
          <w:rFonts w:ascii="Arial" w:cs="Arial" w:eastAsia="Arial" w:hAnsi="Arial"/>
          <w:sz w:val="18"/>
          <w:szCs w:val="18"/>
          <w:color w:val="auto"/>
        </w:rPr>
        <w:t>. Processing volume refers to the dollar amount of payments processed through the Marqeta Platform, net of returns and chargebacks,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contribute to our TPV.</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Total processing volume </w:t>
      </w:r>
      <w:r>
        <w:rPr>
          <w:rFonts w:ascii="Arial" w:cs="Arial" w:eastAsia="Arial" w:hAnsi="Arial"/>
          <w:sz w:val="16"/>
          <w:szCs w:val="16"/>
          <w:color w:val="auto"/>
        </w:rPr>
        <w:t>or</w:t>
      </w:r>
      <w:r>
        <w:rPr>
          <w:rFonts w:ascii="Arial" w:cs="Arial" w:eastAsia="Arial" w:hAnsi="Arial"/>
          <w:sz w:val="16"/>
          <w:szCs w:val="16"/>
          <w:b w:val="1"/>
          <w:bCs w:val="1"/>
          <w:i w:val="1"/>
          <w:iCs w:val="1"/>
          <w:color w:val="auto"/>
        </w:rPr>
        <w:t xml:space="preserve"> TPV</w:t>
      </w:r>
      <w:r>
        <w:rPr>
          <w:rFonts w:ascii="Arial" w:cs="Arial" w:eastAsia="Arial" w:hAnsi="Arial"/>
          <w:sz w:val="16"/>
          <w:szCs w:val="16"/>
          <w:color w:val="auto"/>
        </w:rPr>
        <w:t>. TPV is the total dollar amount of payments processed through the Marqeta Platform, net of returns and chargebacks.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on our Platform</w:t>
      </w:r>
      <w:r>
        <w:rPr>
          <w:rFonts w:ascii="Arial" w:cs="Arial" w:eastAsia="Arial" w:hAnsi="Arial"/>
          <w:sz w:val="18"/>
          <w:szCs w:val="18"/>
          <w:color w:val="auto"/>
        </w:rPr>
        <w:t>. Refers to the number of transactions we process on our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experienced rapid growth in recent periods. Our net revenue was $143.3 million and $290.3 million for the years ended December 31, 2019 and 2020, respectively, representing a growth rate of 103%. In future periods, we may not be able to sustain net revenue growth 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77"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TPV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experienced by 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TPV and net revenue growth rates to be variable as a result of the COVID-19 pandemic, and we are unable to predict the duration, degree, or volatility of future growth with any certainty.</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TPV on our Platform.</w:t>
      </w:r>
    </w:p>
    <w:p>
      <w:pPr>
        <w:spacing w:after="0" w:line="19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the COVID-19 pandemic, our global workforce has been working remotely, with expected future phased office re-openings, potentially limiting our employees’ ability to perform certain job functions and, over time, negatively impacting corporate culture.</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TPV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Our Customer contracts generally provide for a termination clause that allows our Customers to terminate their contract at any time following a limited notice period. In addition, some of our Customers are not subject to any minimum volume commitments under their contracts and have no obligation to continue using our Platform, products, or services. We cannot assure you that Customers will continue to use our Platform or that we will be able to continue processing transactions on our Platform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processing volumes, particularly any loss of or reductions by Square,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processing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86"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largest Customer, Square, and the loss or decline in net revenue from Square could adversely affect our business, results of operations, and financial condition.</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small number of Customers account for a large percentage of our net revenue. For the years ended December 31, 2019 and 2020, Square accounted for approximately 60% and 70% of our net revenue, respectively.</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Although we expect the net revenue from our largest Customer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do not continue to use our Platform or use our Platform in a more limited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61"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Our Customer contracts generally do not contain long-term commitments from our Customers, and our Customers may be able to terminate their agreements with us prior to expiration of the contract’s term. For example, the current term of our agreement with Square for Square Card expires in December 2024, and the current term of our agreement with Square for Cash App expires in March 2024, and each agreement automatically renews thereafter for successive one-year periods, unless terminated earlier. Accordingly, Square may terminate its agreements prior to the end of their respective terms, and the agreements may not continue for any specific period of time. Furthermore, while certain of our customer contracts have minimum volume commitments, others do not. There can be no assurance that we will be able to continue our relationships with our Customers on the same or more favorable terms in future periods or that our relationships will continue beyond the terms of our existing contracts with them. In addition, the processing volume from Square has in the past fluctuated from period to period and may fluctuate or decline in future periods. Our net revenue and results of operations could suffer if, among other things, Square does not continue to use our products, uses fewer of our products, reduces its processing volume, or renegotiates, terminates or fails to renew, or to renew on similar or favorable terms, its agreement with us.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that make up our TPV. In general, transactions that require a signature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8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have incurred significant net losses in each year since our inception, including net losses of $58.2 million and $47.7 million in the years ended December 31, 2019 and 2020,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6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jc w:val="right"/>
        <w:ind w:left="5540" w:right="5420" w:hanging="4884"/>
        <w:spacing w:after="0" w:line="535" w:lineRule="auto"/>
        <w:tabs>
          <w:tab w:leader="none" w:pos="8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demand for our Platform, products, and services by our Customers; 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increasing our Customers’ processing volumes;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 in certain Customers’ processing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market and economic volatility caused by the COVID-19 pandemic on our business and the businesses of our Customers;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COVID-19 pandemic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The COVID-19 pandemic and the cancelation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processing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part due to the COVID-19 pandemic, we have also experienced increased processing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 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the COVID-19 pandemic and its effects on our business, results of operations, or financial condition at this time. To the extent the COVID-19 pandemic adversely affects our business, results of operations, and financial condition, it may also have the effect of heightening many of the other risks described in this “Risk Factors” section.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approximately 97% and 96%, respectively, of TPV was settled through Sutton Bank. If Sutton Bank terminates our agreement with them or is unable or unwilling to process our transactions for any reason, we may be required to switch some or all of our processing volume to one or more other Issuing Banks, including to any of the three other U.S. Issuing Banks that we currently settle payment transactions with. Switching a significant portion or all of our processing volume to another Issuing Bank, including contracting with additional Issuing Banks, would take time and could result in additional costs, including increased operating expenses, and termination fees under our agreement with Sutton Bank if unilaterally terminated by us without Sutton Bank’s consent.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PULSE, which is part of the Discover Global Network, that, among other things, provide for certain monetary incentives to us based on the processing volume of our Customers’ transactions routed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2"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a high number of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TPV.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 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TPV increases. We have experienced high growth in TPV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Customers are unable to access the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57"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processing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292"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94"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developed a strong and trusted brand that has contributed significantly to the success of our business. We believe that maintaining and promoting our brand in a cost-effective manner is important to achieving widespread acceptance of our Platform and the products and services we offer, expanding our base of Customers and end users, and increasing our TPV.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the COVID-19 pandemic and the restrictions on travel, we are not able to organize certain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24"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TPV,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the year ended December 31, 2020, we derived less than 2% of our net revenue from Customers located outside the United States, based on their billing address.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right="2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transactions that exceed the amount of pre-funding in the Customer’s account could be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Although we maintain insurance for certain types of losses, that coverage may be insufficient or limited and may not fully protect against those losses.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maintain and grow our business, we must attract and retain highly qualified personnel. Competition for highly qualified personnel in the San Francisco Bay Area, where our headquarters is located,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 compounded during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8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 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infrastructure, develop product enhancements, and respond to business challenges could be significantly impaired, and our business, results of operations, and financial condition may be adversely affected.</w:t>
      </w:r>
    </w:p>
    <w:p>
      <w:pPr>
        <w:spacing w:after="0" w:line="27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our vendors and our partners are subject to a wide variety of state, federal, and international laws, regulations, and industry standards in the United States and in other countries where we operate both directly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9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 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 associated with our Customers’ card transactions could adversely affect our business, results of operations, and financial condition.</w:t>
      </w:r>
    </w:p>
    <w:p>
      <w:pPr>
        <w:spacing w:after="0" w:line="22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 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6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 establish 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85"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 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29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7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recent periods, we have experienced rapid growth, and this growth has placed considerable strain on our IT and settlement operations systems, processes, and personnel. As a result of monitoring our internal controls,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address this material weakness, we are deploying additional engineering, and settlement operations personnel and are implementing process level and monitoring controls to ensure timely reconciliation of these customer-related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or Nasdaq.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required to provide an annual management report on the effectiveness of our internal control over financial reporting commencing with our second annual report on Form 10-K.</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could materially increase the amount of taxes we owe, thereby negatively impacting our results of 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78"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various withholding requirements apply to us or our subsidiaries or assert that benefits of tax treaties are not available to us or our subsidiaries, any of which could adversely affect us and our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16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16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capabilities, and we cannot assure you that we could license that technology on commercially reasonable terms or at all, and our inability to license this technology could impair our ability to compete.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 existing solutions, which could severely weaken our business. Even if we are successful in defending against these claims, litigation efforts are costly, time-consuming and a significant distraction to management.</w:t>
      </w:r>
    </w:p>
    <w:p>
      <w:pPr>
        <w:spacing w:after="0" w:line="17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the COVID-19 pandemic.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offering, has one vote per</w:t>
      </w:r>
    </w:p>
    <w:p>
      <w:pPr>
        <w:spacing w:after="0" w:line="46"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share. Following this offering, our directors, executive officers, and their affiliates, will beneficially own in the aggregate % of the voting power of our capital stock as of December 31, 2020. Because of the ten-to-one voting ratio between our Class B and Class A common stock, the holders of our Class B common stock collectively could continue to control a majority of the combined voting power of our common stock and therefore be able to control all matters submitted to our stockholders for approval until the tenth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8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intend to apply to list our Class A common stock on Nasdaq,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 exemptions afforded emerging growth companies. If some investors find our Class A common stock 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attractive because we rely on any of these exemptions, there may be a less active trading market for our Class A common stock and the trading price of our Class A common stock may be more volatile.</w:t>
      </w:r>
    </w:p>
    <w:p>
      <w:pPr>
        <w:spacing w:after="0" w:line="170"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December 31, 2020, upon completion of this offering, we will have outstanding a total</w:t>
      </w:r>
    </w:p>
    <w:p>
      <w:pPr>
        <w:spacing w:after="0" w:line="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of shares of Class A common stock and 482,157,178 shares of Class B common stock. This assumes no exercise of outstanding options and gives effect to the conversion of all of our outstanding shares of redeemable convertible preferred stock into shares of Class B common stock and the</w:t>
      </w:r>
    </w:p>
    <w:p>
      <w:pPr>
        <w:spacing w:after="0" w:line="1"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8"/>
          <w:szCs w:val="18"/>
          <w:color w:val="auto"/>
        </w:rPr>
        <w:t>issuance of</w:t>
      </w:r>
      <w:r>
        <w:rPr>
          <w:sz w:val="20"/>
          <w:szCs w:val="20"/>
          <w:color w:val="auto"/>
        </w:rPr>
        <w:tab/>
      </w:r>
      <w:r>
        <w:rPr>
          <w:rFonts w:ascii="Arial" w:cs="Arial" w:eastAsia="Arial" w:hAnsi="Arial"/>
          <w:sz w:val="16"/>
          <w:szCs w:val="16"/>
          <w:color w:val="auto"/>
        </w:rPr>
        <w:t>shares of Class A common stock on the completion of this offering.</w:t>
      </w:r>
    </w:p>
    <w:p>
      <w:pPr>
        <w:spacing w:after="0" w:line="211"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w:t>
      </w:r>
    </w:p>
    <w:p>
      <w:pPr>
        <w:jc w:val="both"/>
        <w:ind w:left="120"/>
        <w:spacing w:after="0" w:line="252" w:lineRule="auto"/>
        <w:rPr>
          <w:sz w:val="20"/>
          <w:szCs w:val="20"/>
          <w:color w:val="auto"/>
        </w:rPr>
      </w:pPr>
      <w:r>
        <w:rPr>
          <w:rFonts w:ascii="Arial" w:cs="Arial" w:eastAsia="Arial" w:hAnsi="Arial"/>
          <w:sz w:val="18"/>
          <w:szCs w:val="18"/>
          <w:color w:val="auto"/>
        </w:rPr>
        <w:t>sold days after the date of the final prospectus relating to the offering. 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9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as of December 31, 2020, we had 23,421,374 options outstanding that, if fully exercised, would result in the issuance of shares of Class B common stock, as well as 4,430,336 shares of common stock subject to RSU awards. All of the shares of Class B common stock issuable upon the exercise of stock options, subject to RSU awards, and the shares reserved for future issuance under our equity incentive plans will be registered for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2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358,036,944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w:t>
      </w:r>
    </w:p>
    <w:p>
      <w:pPr>
        <w:jc w:val="both"/>
        <w:ind w:left="120"/>
        <w:spacing w:after="0" w:line="255" w:lineRule="auto"/>
        <w:rPr>
          <w:sz w:val="20"/>
          <w:szCs w:val="20"/>
          <w:color w:val="auto"/>
        </w:rPr>
      </w:pPr>
      <w:r>
        <w:rPr>
          <w:rFonts w:ascii="Arial" w:cs="Arial" w:eastAsia="Arial" w:hAnsi="Arial"/>
          <w:sz w:val="18"/>
          <w:szCs w:val="18"/>
          <w:color w:val="auto"/>
        </w:rPr>
        <w:t>shares of our Class A common stock in this offering, you will experience immediate dilution of $ per share, representing the difference between the price per share you pay for our Class A common stock and the pro forma net tangible book value per share as of December 31, 2020, after giving effect to the issuance of shares of our Class A common stock in this offering. See the section titled “Dilution” below.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5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 and restated certificate of incorporation and amended and restated bylaws, which will become effective upon the completion of this offering, will include provisions that:</w:t>
      </w:r>
    </w:p>
    <w:p>
      <w:pPr>
        <w:spacing w:after="0" w:line="89"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derivative action or proceeding brought on our behalf;</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22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5"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Bain &amp; Company, </w:t>
      </w:r>
      <w:r>
        <w:rPr>
          <w:rFonts w:ascii="Arial" w:cs="Arial" w:eastAsia="Arial" w:hAnsi="Arial"/>
          <w:sz w:val="18"/>
          <w:szCs w:val="18"/>
          <w:i w:val="1"/>
          <w:iCs w:val="1"/>
          <w:color w:val="auto"/>
        </w:rPr>
        <w:t>The Covid-19 Tipping Point for Digital Payments</w:t>
      </w:r>
      <w:r>
        <w:rPr>
          <w:rFonts w:ascii="Arial" w:cs="Arial" w:eastAsia="Arial" w:hAnsi="Arial"/>
          <w:sz w:val="18"/>
          <w:szCs w:val="18"/>
          <w:color w:val="auto"/>
        </w:rPr>
        <w:t>, April 29,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McKinsey &amp; Company, </w:t>
      </w:r>
      <w:r>
        <w:rPr>
          <w:rFonts w:ascii="Arial" w:cs="Arial" w:eastAsia="Arial" w:hAnsi="Arial"/>
          <w:sz w:val="18"/>
          <w:szCs w:val="18"/>
          <w:i w:val="1"/>
          <w:iCs w:val="1"/>
          <w:color w:val="auto"/>
        </w:rPr>
        <w:t>The 2020 McKinsey Global Payments Report</w:t>
      </w:r>
      <w:r>
        <w:rPr>
          <w:rFonts w:ascii="Arial" w:cs="Arial" w:eastAsia="Arial" w:hAnsi="Arial"/>
          <w:sz w:val="18"/>
          <w:szCs w:val="18"/>
          <w:color w:val="auto"/>
        </w:rPr>
        <w:t>,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2020</w:t>
      </w:r>
      <w:r>
        <w:rPr>
          <w:rFonts w:ascii="Arial" w:cs="Arial" w:eastAsia="Arial" w:hAnsi="Arial"/>
          <w:sz w:val="18"/>
          <w:szCs w:val="18"/>
          <w:color w:val="auto"/>
        </w:rPr>
        <w:t>, Issue 1191, February 2021</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the sale of shares of our Class A common stock that we are selling in this offering will be approximately</w:t>
      </w:r>
    </w:p>
    <w:p>
      <w:pPr>
        <w:spacing w:after="0" w:line="35" w:lineRule="exact"/>
        <w:rPr>
          <w:sz w:val="20"/>
          <w:szCs w:val="20"/>
          <w:color w:val="auto"/>
        </w:rPr>
      </w:pPr>
    </w:p>
    <w:p>
      <w:pPr>
        <w:jc w:val="both"/>
        <w:ind w:left="120" w:right="20" w:hanging="4"/>
        <w:spacing w:after="0" w:line="281" w:lineRule="auto"/>
        <w:tabs>
          <w:tab w:leader="none" w:pos="75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million, based upon an assumed initial public offering price of $ per share, which is the midpoint of the estimated offering price range set forth on the cover page of this prospectus, and after deducting estimated underwriting discounts and commissions and estimated offering expenses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payable by us. If the underwriters’ option to purchase additional shares of our Class A common stock from us is exercised in full, we estimate that our</w:t>
      </w:r>
    </w:p>
    <w:p>
      <w:pPr>
        <w:spacing w:after="0" w:line="2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proceeds would be approximately $ million, after deducting estimated underwriting discounts and commissions and estimated offering expenses payable by us.</w:t>
      </w:r>
    </w:p>
    <w:p>
      <w:pPr>
        <w:spacing w:after="0" w:line="170" w:lineRule="exact"/>
        <w:rPr>
          <w:sz w:val="20"/>
          <w:szCs w:val="20"/>
          <w:color w:val="auto"/>
        </w:rPr>
      </w:pPr>
    </w:p>
    <w:p>
      <w:pPr>
        <w:ind w:left="120"/>
        <w:spacing w:after="0"/>
        <w:tabs>
          <w:tab w:leader="none" w:pos="65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 offering price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net proceeds that we receive from this offering by</w:t>
      </w:r>
    </w:p>
    <w:p>
      <w:pPr>
        <w:spacing w:after="0" w:line="3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approximately $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w:t>
      </w:r>
    </w:p>
    <w:p>
      <w:pPr>
        <w:spacing w:after="0" w:line="2"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from this offering by approximately $ million, assuming the assumed initial public offering price remains the same and after deducting the estimated underwriting discounts and commissions payable by us.</w:t>
      </w:r>
    </w:p>
    <w:p>
      <w:pPr>
        <w:spacing w:after="0" w:line="185"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use some of the net proceeds to satisfy tax withholding obligations related to the vesting and settlement of RSUs.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6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December 31, 2020 as follows:</w:t>
      </w:r>
    </w:p>
    <w:p>
      <w:pPr>
        <w:spacing w:after="0" w:line="76"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880" w:hanging="224"/>
        <w:spacing w:after="0" w:line="287"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(iv) the reclassification of the redeemable convertible preferred stock warrant liabilities to additional paid-in capital, (v) the net</w:t>
      </w:r>
    </w:p>
    <w:p>
      <w:pPr>
        <w:spacing w:after="0" w:line="21" w:lineRule="exact"/>
        <w:rPr>
          <w:sz w:val="20"/>
          <w:szCs w:val="20"/>
          <w:color w:val="auto"/>
        </w:rPr>
      </w:pPr>
    </w:p>
    <w:p>
      <w:pPr>
        <w:jc w:val="both"/>
        <w:ind w:left="880" w:right="20"/>
        <w:spacing w:after="0" w:line="529" w:lineRule="auto"/>
        <w:rPr>
          <w:sz w:val="20"/>
          <w:szCs w:val="20"/>
          <w:color w:val="auto"/>
        </w:rPr>
      </w:pPr>
      <w:r>
        <w:rPr>
          <w:rFonts w:ascii="Arial" w:cs="Arial" w:eastAsia="Arial" w:hAnsi="Arial"/>
          <w:sz w:val="17"/>
          <w:szCs w:val="17"/>
          <w:color w:val="auto"/>
        </w:rPr>
        <w:t>issuance of shares of our common stock issuable pursuant to the vesting and settlement of 505,993 RSUs for which the service condition was satisfied as of December 31, 2020, and for which we expect the liquidity condition to be satisfied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spacing w:after="0" w:line="274" w:lineRule="auto"/>
        <w:rPr>
          <w:sz w:val="20"/>
          <w:szCs w:val="20"/>
          <w:color w:val="auto"/>
        </w:rPr>
      </w:pPr>
      <w:r>
        <w:rPr>
          <w:rFonts w:ascii="Arial" w:cs="Arial" w:eastAsia="Arial" w:hAnsi="Arial"/>
          <w:sz w:val="17"/>
          <w:szCs w:val="17"/>
          <w:color w:val="auto"/>
        </w:rPr>
        <w:t>offering, (vi) the increase in other accrued liabilities and an equivalent decrease in additional paid-in capital of $ in connection with tax withholding obligations related to such RSUs, based upon the initial public offering price of $ per share, which is the midpoint of</w:t>
      </w:r>
    </w:p>
    <w:p>
      <w:pPr>
        <w:jc w:val="both"/>
        <w:ind w:left="880" w:right="20"/>
        <w:spacing w:after="0" w:line="253" w:lineRule="auto"/>
        <w:rPr>
          <w:sz w:val="20"/>
          <w:szCs w:val="20"/>
          <w:color w:val="auto"/>
        </w:rPr>
      </w:pPr>
      <w:r>
        <w:rPr>
          <w:rFonts w:ascii="Arial" w:cs="Arial" w:eastAsia="Arial" w:hAnsi="Arial"/>
          <w:sz w:val="18"/>
          <w:szCs w:val="18"/>
          <w:color w:val="auto"/>
        </w:rPr>
        <w:t>the estimated offering price range set forth on the cover page of this prospectus, all of which will occur immediately prior to the completion of this offering, as if such actions had occurred on December 31, 2020, and (vii) $9.8 million of cumulative share-based compensation expense related to the RSUs for which the service condition was satisfied as of December 31, 2020 and for which we expect the liquidity condition to be satisfied in connection with this offering; and</w:t>
      </w:r>
    </w:p>
    <w:p>
      <w:pPr>
        <w:spacing w:after="0" w:line="98"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giving effect to (i) the pro forma adjustments set forth above and (ii) the sale and issuance by us</w:t>
      </w:r>
    </w:p>
    <w:p>
      <w:pPr>
        <w:spacing w:after="0" w:line="23"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of shares of our Class A common stock in this offering, based on an assumed initial public offering price of $ per share, which is the midpoint of the estimated offering price range set forth on the cover page of this prospectus, and after deducting the estimated underwriting discounts and commissions and estimated offering expenses payable by us.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As of December 31, 2020</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Pro Forma</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60" w:type="dxa"/>
            <w:vAlign w:val="bottom"/>
            <w:tcBorders>
              <w:top w:val="single" w:sz="8" w:color="auto"/>
            </w:tcBorders>
            <w:gridSpan w:val="7"/>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data)</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Cash, cash equivalents, restricted cash and marketable securities</w:t>
            </w: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$ 378,136</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$ 378,136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4"/>
            <w:vMerge w:val="restart"/>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4"/>
            <w:vMerge w:val="continue"/>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convertible preferred stock, $0.0001 par value; 352,047,950 shares authorized;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0"/>
              </w:rPr>
              <w:t>351,844,340 shares issued and outstanding, actual; no shares authorized, issued, and outstanding,</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pro forma and pro forma as adjusted</w:t>
            </w: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501,881</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60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1"/>
              </w:rPr>
              <w:t>shares authorized, no shares issued and outstanding, pro forma and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as adjusted</w:t>
            </w:r>
          </w:p>
        </w:tc>
        <w:tc>
          <w:tcPr>
            <w:tcW w:w="1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2"/>
              </w:rPr>
              <w:t>Common stock, $0.0001 par value; 545,000,000 shares authorized, 130,312,838 shares issued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ind w:left="540"/>
              <w:spacing w:after="0"/>
              <w:rPr>
                <w:sz w:val="20"/>
                <w:szCs w:val="20"/>
                <w:color w:val="auto"/>
              </w:rPr>
            </w:pPr>
            <w:r>
              <w:rPr>
                <w:rFonts w:ascii="Arial" w:cs="Arial" w:eastAsia="Arial" w:hAnsi="Arial"/>
                <w:sz w:val="18"/>
                <w:szCs w:val="18"/>
                <w:color w:val="auto"/>
              </w:rPr>
              <w:t>and outstanding, actual;</w:t>
            </w: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shares authorized,</w:t>
            </w:r>
          </w:p>
        </w:tc>
        <w:tc>
          <w:tcPr>
            <w:tcW w:w="2700" w:type="dxa"/>
            <w:vAlign w:val="bottom"/>
          </w:tcPr>
          <w:p>
            <w:pPr>
              <w:jc w:val="right"/>
              <w:ind w:right="390"/>
              <w:spacing w:after="0"/>
              <w:rPr>
                <w:sz w:val="20"/>
                <w:szCs w:val="20"/>
                <w:color w:val="auto"/>
              </w:rPr>
            </w:pPr>
            <w:r>
              <w:rPr>
                <w:rFonts w:ascii="Arial" w:cs="Arial" w:eastAsia="Arial" w:hAnsi="Arial"/>
                <w:sz w:val="18"/>
                <w:szCs w:val="18"/>
                <w:color w:val="auto"/>
                <w:w w:val="88"/>
              </w:rPr>
              <w:t>shares issued and outstanding,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w w:val="97"/>
              </w:rPr>
              <w:t>pro forma;</w:t>
            </w:r>
          </w:p>
        </w:tc>
        <w:tc>
          <w:tcPr>
            <w:tcW w:w="1860" w:type="dxa"/>
            <w:vAlign w:val="bottom"/>
            <w:gridSpan w:val="2"/>
          </w:tcPr>
          <w:p>
            <w:pPr>
              <w:ind w:left="520"/>
              <w:spacing w:after="0"/>
              <w:rPr>
                <w:sz w:val="20"/>
                <w:szCs w:val="20"/>
                <w:color w:val="auto"/>
              </w:rPr>
            </w:pPr>
            <w:r>
              <w:rPr>
                <w:rFonts w:ascii="Arial" w:cs="Arial" w:eastAsia="Arial" w:hAnsi="Arial"/>
                <w:sz w:val="18"/>
                <w:szCs w:val="18"/>
                <w:color w:val="auto"/>
                <w:w w:val="89"/>
              </w:rPr>
              <w:t>shares authorized,</w:t>
            </w:r>
          </w:p>
        </w:tc>
        <w:tc>
          <w:tcPr>
            <w:tcW w:w="4160" w:type="dxa"/>
            <w:vAlign w:val="bottom"/>
            <w:gridSpan w:val="2"/>
          </w:tcPr>
          <w:p>
            <w:pPr>
              <w:jc w:val="right"/>
              <w:ind w:right="390"/>
              <w:spacing w:after="0"/>
              <w:rPr>
                <w:sz w:val="20"/>
                <w:szCs w:val="20"/>
                <w:color w:val="auto"/>
              </w:rPr>
            </w:pPr>
            <w:r>
              <w:rPr>
                <w:rFonts w:ascii="Arial" w:cs="Arial" w:eastAsia="Arial" w:hAnsi="Arial"/>
                <w:sz w:val="18"/>
                <w:szCs w:val="18"/>
                <w:color w:val="auto"/>
              </w:rPr>
              <w:t>shares issued and outstanding, pro forma 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8"/>
                <w:szCs w:val="18"/>
                <w:color w:val="auto"/>
              </w:rPr>
              <w:t>13</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A common stock, $0.0001 par value; no shares authorized, issued and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8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7"/>
              </w:rPr>
              <w:t>Class B common stock, $0.0001 par value; no shares authorized, issued and outstanding,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540"/>
              <w:spacing w:after="0"/>
              <w:rPr>
                <w:sz w:val="20"/>
                <w:szCs w:val="20"/>
                <w:color w:val="auto"/>
              </w:rPr>
            </w:pPr>
            <w:r>
              <w:rPr>
                <w:rFonts w:ascii="Arial" w:cs="Arial" w:eastAsia="Arial" w:hAnsi="Arial"/>
                <w:sz w:val="18"/>
                <w:szCs w:val="18"/>
                <w:color w:val="auto"/>
              </w:rPr>
              <w:t>actual;</w:t>
            </w:r>
          </w:p>
        </w:tc>
        <w:tc>
          <w:tcPr>
            <w:tcW w:w="1860" w:type="dxa"/>
            <w:vAlign w:val="bottom"/>
            <w:gridSpan w:val="2"/>
          </w:tcPr>
          <w:p>
            <w:pPr>
              <w:ind w:left="240"/>
              <w:spacing w:after="0"/>
              <w:rPr>
                <w:sz w:val="20"/>
                <w:szCs w:val="20"/>
                <w:color w:val="auto"/>
              </w:rPr>
            </w:pPr>
            <w:r>
              <w:rPr>
                <w:rFonts w:ascii="Arial" w:cs="Arial" w:eastAsia="Arial" w:hAnsi="Arial"/>
                <w:sz w:val="18"/>
                <w:szCs w:val="18"/>
                <w:color w:val="auto"/>
              </w:rPr>
              <w:t>shares authorized,</w:t>
            </w:r>
          </w:p>
        </w:tc>
        <w:tc>
          <w:tcPr>
            <w:tcW w:w="4160" w:type="dxa"/>
            <w:vAlign w:val="bottom"/>
            <w:gridSpan w:val="2"/>
          </w:tcPr>
          <w:p>
            <w:pPr>
              <w:jc w:val="right"/>
              <w:ind w:right="810"/>
              <w:spacing w:after="0"/>
              <w:rPr>
                <w:sz w:val="20"/>
                <w:szCs w:val="20"/>
                <w:color w:val="auto"/>
              </w:rPr>
            </w:pPr>
            <w:r>
              <w:rPr>
                <w:rFonts w:ascii="Arial" w:cs="Arial" w:eastAsia="Arial" w:hAnsi="Arial"/>
                <w:sz w:val="18"/>
                <w:szCs w:val="18"/>
                <w:color w:val="auto"/>
                <w:w w:val="96"/>
              </w:rPr>
              <w:t>shares issued and outstanding, pro forma;</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540"/>
              <w:spacing w:after="0"/>
              <w:rPr>
                <w:sz w:val="20"/>
                <w:szCs w:val="20"/>
                <w:color w:val="auto"/>
              </w:rPr>
            </w:pPr>
            <w:r>
              <w:rPr>
                <w:rFonts w:ascii="Arial" w:cs="Arial" w:eastAsia="Arial" w:hAnsi="Arial"/>
                <w:sz w:val="18"/>
                <w:szCs w:val="18"/>
                <w:color w:val="auto"/>
              </w:rPr>
              <w:t>and</w:t>
            </w:r>
          </w:p>
        </w:tc>
        <w:tc>
          <w:tcPr>
            <w:tcW w:w="1460" w:type="dxa"/>
            <w:vAlign w:val="bottom"/>
          </w:tcPr>
          <w:p>
            <w:pPr>
              <w:ind w:left="20"/>
              <w:spacing w:after="0"/>
              <w:rPr>
                <w:sz w:val="20"/>
                <w:szCs w:val="20"/>
                <w:color w:val="auto"/>
              </w:rPr>
            </w:pPr>
            <w:r>
              <w:rPr>
                <w:rFonts w:ascii="Arial" w:cs="Arial" w:eastAsia="Arial" w:hAnsi="Arial"/>
                <w:sz w:val="18"/>
                <w:szCs w:val="18"/>
                <w:color w:val="auto"/>
                <w:w w:val="95"/>
              </w:rPr>
              <w:t>shares authorized,</w:t>
            </w:r>
          </w:p>
        </w:tc>
        <w:tc>
          <w:tcPr>
            <w:tcW w:w="400" w:type="dxa"/>
            <w:vAlign w:val="bottom"/>
          </w:tcPr>
          <w:p>
            <w:pPr>
              <w:spacing w:after="0"/>
              <w:rPr>
                <w:sz w:val="20"/>
                <w:szCs w:val="20"/>
                <w:color w:val="auto"/>
              </w:rPr>
            </w:pPr>
          </w:p>
        </w:tc>
        <w:tc>
          <w:tcPr>
            <w:tcW w:w="4160" w:type="dxa"/>
            <w:vAlign w:val="bottom"/>
            <w:gridSpan w:val="2"/>
          </w:tcPr>
          <w:p>
            <w:pPr>
              <w:jc w:val="right"/>
              <w:ind w:right="250"/>
              <w:spacing w:after="0"/>
              <w:rPr>
                <w:sz w:val="20"/>
                <w:szCs w:val="20"/>
                <w:color w:val="auto"/>
              </w:rPr>
            </w:pPr>
            <w:r>
              <w:rPr>
                <w:rFonts w:ascii="Arial" w:cs="Arial" w:eastAsia="Arial" w:hAnsi="Arial"/>
                <w:sz w:val="18"/>
                <w:szCs w:val="18"/>
                <w:color w:val="auto"/>
                <w:w w:val="88"/>
              </w:rPr>
              <w:t>shares issued and outstanding, pro forma as adjusted</w:t>
            </w:r>
          </w:p>
        </w:tc>
        <w:tc>
          <w:tcPr>
            <w:tcW w:w="220" w:type="dxa"/>
            <w:vAlign w:val="bottom"/>
          </w:tcPr>
          <w:p>
            <w:pPr>
              <w:spacing w:after="0"/>
              <w:rPr>
                <w:sz w:val="20"/>
                <w:szCs w:val="20"/>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39,769</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553,926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4"/>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700" w:type="dxa"/>
            <w:vAlign w:val="bottom"/>
          </w:tcPr>
          <w:p>
            <w:pPr>
              <w:spacing w:after="0"/>
              <w:rPr>
                <w:sz w:val="18"/>
                <w:szCs w:val="18"/>
                <w:color w:val="auto"/>
              </w:rPr>
            </w:pPr>
          </w:p>
        </w:tc>
        <w:tc>
          <w:tcPr>
            <w:tcW w:w="1080" w:type="dxa"/>
            <w:vAlign w:val="bottom"/>
            <w:gridSpan w:val="3"/>
          </w:tcPr>
          <w:p>
            <w:pPr>
              <w:jc w:val="right"/>
              <w:ind w:right="41"/>
              <w:spacing w:after="0"/>
              <w:rPr>
                <w:sz w:val="20"/>
                <w:szCs w:val="20"/>
                <w:color w:val="auto"/>
              </w:rPr>
            </w:pPr>
            <w:r>
              <w:rPr>
                <w:rFonts w:ascii="Arial" w:cs="Arial" w:eastAsia="Arial" w:hAnsi="Arial"/>
                <w:sz w:val="18"/>
                <w:szCs w:val="18"/>
                <w:color w:val="auto"/>
              </w:rPr>
              <w:t>25</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(253,524)</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(263,318)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 (deficit):</w:t>
            </w:r>
          </w:p>
        </w:tc>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290,681</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$ 290,681</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$ 290,681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equity (deficit), total capitalization, and shares of Class A common</w:t>
      </w:r>
    </w:p>
    <w:p>
      <w:pPr>
        <w:jc w:val="both"/>
        <w:ind w:left="840" w:right="20" w:hanging="719"/>
        <w:spacing w:after="0" w:line="250" w:lineRule="auto"/>
        <w:rPr>
          <w:sz w:val="20"/>
          <w:szCs w:val="20"/>
          <w:color w:val="auto"/>
        </w:rPr>
      </w:pPr>
      <w:r>
        <w:rPr>
          <w:rFonts w:ascii="Arial" w:cs="Arial" w:eastAsia="Arial" w:hAnsi="Arial"/>
          <w:sz w:val="18"/>
          <w:szCs w:val="18"/>
          <w:color w:val="auto"/>
        </w:rPr>
        <w:t>stock issued and outstanding as of December 31, 2020 would be $</w:t>
      </w:r>
      <w:r>
        <w:rPr>
          <w:sz w:val="20"/>
          <w:szCs w:val="20"/>
          <w:color w:val="auto"/>
        </w:rPr>
        <w:t xml:space="preserve"> </w:t>
      </w:r>
      <w:r>
        <w:rPr>
          <w:rFonts w:ascii="Arial" w:cs="Arial" w:eastAsia="Arial" w:hAnsi="Arial"/>
          <w:sz w:val="18"/>
          <w:szCs w:val="18"/>
          <w:color w:val="auto"/>
        </w:rPr>
        <w:t>million, $ million, $ million, $ million, and shares, respectively.</w:t>
      </w:r>
    </w:p>
    <w:p>
      <w:pPr>
        <w:spacing w:after="0" w:line="200" w:lineRule="exact"/>
        <w:rPr>
          <w:sz w:val="20"/>
          <w:szCs w:val="20"/>
          <w:color w:val="auto"/>
        </w:rPr>
      </w:pPr>
    </w:p>
    <w:p>
      <w:pPr>
        <w:spacing w:after="0" w:line="21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$1.00 increase or decrease in the assumed initial public offering price of $ per share, which is the midpoint of the estimated offering price range set forth on the cover page of this prospectus, would increase or decrease, as applicable, our cash, cash equivalents and marketable securities, additional paid-in capital, and total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stockholders’ equity (deficit) by approximately $ million, assuming that the number of shares offered by us, as set forth on the cover page of this prospectus, remains the same and after deducting the estimated underwriting discounts and commissions payable by us. Similarly, each increase or decrease of 1.0 million shares in the number of shares of our Class A common stock offered by us would increase or decrease, as applicable, our cash,</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cash equivalents and marketable securities, additional paid-in capital, and total stockholders’ equity (deficit) by approximately $ million, assuming the assumed initial public offering price remains the same, and after deducting underwriting discounts and commissions payable by us.</w:t>
      </w:r>
    </w:p>
    <w:p>
      <w:pPr>
        <w:sectPr>
          <w:pgSz w:w="11900" w:h="16838" w:orient="portrait"/>
          <w:cols w:equalWidth="0" w:num="1">
            <w:col w:w="11140"/>
          </w:cols>
          <w:pgMar w:left="320" w:top="459" w:right="439" w:bottom="1440" w:gutter="0" w:footer="0" w:header="0"/>
        </w:sectPr>
      </w:pP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outstanding as of December 31, 2020, and excludes: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w:t>
      </w:r>
    </w:p>
    <w:p>
      <w:pPr>
        <w:spacing w:after="0" w:line="369" w:lineRule="exact"/>
        <w:rPr>
          <w:sz w:val="20"/>
          <w:szCs w:val="20"/>
          <w:color w:val="auto"/>
        </w:rPr>
      </w:pPr>
    </w:p>
    <w:p>
      <w:pPr>
        <w:sectPr>
          <w:pgSz w:w="11900" w:h="16838" w:orient="portrait"/>
          <w:cols w:equalWidth="0" w:num="2">
            <w:col w:w="7700" w:space="720"/>
            <w:col w:w="2720"/>
          </w:cols>
          <w:pgMar w:left="320" w:top="459" w:right="439" w:bottom="1440" w:gutter="0" w:footer="0" w:header="0"/>
          <w:type w:val="continuous"/>
        </w:sectPr>
      </w:pPr>
    </w:p>
    <w:p>
      <w:pPr>
        <w:ind w:left="880" w:right="2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4,430,336 RSUs for shares of our Class B common stock that are issuable upon satisfaction of service and liquidity conditions outstanding as of December 31, 2020, for which the liquidity condition was not yet satisfied as of December 31, 2020;</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4,056,994 shares of our Class B common stock issuable upon the exercise of options to purchase common stock granted after December 31, 2020, with a weighted-average exercise price of $10.48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2,130,993 RSUs for shares of our Class B common stock that are issuable upon satisfaction of service and liquidity conditions that were granted after December 31, 2020;</w:t>
      </w:r>
    </w:p>
    <w:p>
      <w:pPr>
        <w:spacing w:after="0" w:line="75" w:lineRule="exact"/>
        <w:rPr>
          <w:rFonts w:ascii="Arial" w:cs="Arial" w:eastAsia="Arial" w:hAnsi="Arial"/>
          <w:sz w:val="18"/>
          <w:szCs w:val="18"/>
          <w:color w:val="auto"/>
        </w:rPr>
      </w:pPr>
    </w:p>
    <w:p>
      <w:pPr>
        <w:ind w:left="880" w:right="20" w:hanging="224"/>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hanging="224"/>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dated September 15, 2020, with an exercise price of $0.01 per share, 22,500 of which are currently exercisable and 727,500 of which are exercisable upon attaining certain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Inc., dated March 13,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dated March 31,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2,493,159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22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Our pro forma net tangible book value (deficit) as of December 31, 2020 was $ million, or $ per share, based on the total number of shares of our common stock outstanding as of December 31, 2020, after giving effect to (i) the filing and effectiveness of our amended and restated certificate of incorporation and the adoption of our amended and restated bylaws, (ii) the automatic conversion of all outstanding shares of our redeemable convertible preferred stock into an aggregate of 351,844,340 shares of our common stock, (iii) the reclassification of our outstanding common stock as Class B common stock, (iv) the reclassification of the redeemable convertible preferred stock warrant liabilities to additional paid-in</w:t>
      </w:r>
    </w:p>
    <w:p>
      <w:pPr>
        <w:spacing w:after="0" w:line="3"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capital, (v) the net issuance of shares of our common stock issuable pursuant to the vesting and settlement of 505,993 RSUs for which the service condition was satisfied as of December 31, 2020, and for which we expect the liquidity condition to be satisfied in connection with this offering, (vi) the</w:t>
      </w:r>
    </w:p>
    <w:p>
      <w:pPr>
        <w:spacing w:after="0" w:line="1"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increase in other accrued liabilities and an equivalent decrease in additional paid-in capital of $ in connection with tax withholding obligations related to such RSUs, based upon the initial public offering price of $ per share, which is the midpoint of the estimated offering price range set</w:t>
      </w:r>
    </w:p>
    <w:p>
      <w:pPr>
        <w:jc w:val="both"/>
        <w:ind w:left="120" w:right="20"/>
        <w:spacing w:after="0" w:line="255" w:lineRule="auto"/>
        <w:rPr>
          <w:sz w:val="20"/>
          <w:szCs w:val="20"/>
          <w:color w:val="auto"/>
        </w:rPr>
      </w:pPr>
      <w:r>
        <w:rPr>
          <w:rFonts w:ascii="Arial" w:cs="Arial" w:eastAsia="Arial" w:hAnsi="Arial"/>
          <w:sz w:val="18"/>
          <w:szCs w:val="18"/>
          <w:color w:val="auto"/>
        </w:rPr>
        <w:t>forth on the cover page of this prospectus, all of which will occur immediately prior to the completion of this offering, and (vii) $9.8 million of cumulative share-based compensation expense related to the RSUs for which the service condition was satisfied as of December 31, 2020 and for which we expect the liquidity condition to be satisfied in connection with this offering.</w:t>
      </w:r>
    </w:p>
    <w:p>
      <w:pPr>
        <w:spacing w:after="0" w:line="190" w:lineRule="exact"/>
        <w:rPr>
          <w:sz w:val="20"/>
          <w:szCs w:val="20"/>
          <w:color w:val="auto"/>
        </w:rPr>
      </w:pPr>
    </w:p>
    <w:p>
      <w:pPr>
        <w:ind w:left="120"/>
        <w:spacing w:after="0"/>
        <w:tabs>
          <w:tab w:leader="none" w:pos="39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spacing w:after="0" w:line="23" w:lineRule="exact"/>
        <w:rPr>
          <w:sz w:val="20"/>
          <w:szCs w:val="20"/>
          <w:color w:val="auto"/>
        </w:rPr>
      </w:pPr>
    </w:p>
    <w:p>
      <w:pPr>
        <w:jc w:val="both"/>
        <w:ind w:left="120" w:hanging="4"/>
        <w:spacing w:after="0" w:line="281" w:lineRule="auto"/>
        <w:tabs>
          <w:tab w:leader="none" w:pos="9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w:t>
      </w:r>
    </w:p>
    <w:tbl>
      <w:tblPr>
        <w:tblLayout w:type="fixed"/>
        <w:tblInd w:w="120" w:type="dxa"/>
        <w:tblCellMar>
          <w:top w:w="0" w:type="dxa"/>
          <w:left w:w="0" w:type="dxa"/>
          <w:bottom w:w="0" w:type="dxa"/>
          <w:right w:w="0" w:type="dxa"/>
        </w:tblCellMar>
      </w:tblPr>
      <w:tr>
        <w:trPr>
          <w:trHeight w:val="203"/>
        </w:trPr>
        <w:tc>
          <w:tcPr>
            <w:tcW w:w="3500" w:type="dxa"/>
            <w:vAlign w:val="bottom"/>
            <w:gridSpan w:val="2"/>
          </w:tcPr>
          <w:p>
            <w:pPr>
              <w:spacing w:after="0" w:line="203" w:lineRule="exact"/>
              <w:rPr>
                <w:sz w:val="20"/>
                <w:szCs w:val="20"/>
                <w:color w:val="auto"/>
              </w:rPr>
            </w:pPr>
            <w:r>
              <w:rPr>
                <w:rFonts w:ascii="Arial" w:cs="Arial" w:eastAsia="Arial" w:hAnsi="Arial"/>
                <w:sz w:val="18"/>
                <w:szCs w:val="18"/>
                <w:color w:val="auto"/>
              </w:rPr>
              <w:t>of December 31, 2020 would have been $</w:t>
            </w:r>
          </w:p>
        </w:tc>
        <w:tc>
          <w:tcPr>
            <w:tcW w:w="1600" w:type="dxa"/>
            <w:vAlign w:val="bottom"/>
          </w:tcPr>
          <w:p>
            <w:pPr>
              <w:ind w:left="160"/>
              <w:spacing w:after="0" w:line="203" w:lineRule="exact"/>
              <w:rPr>
                <w:sz w:val="20"/>
                <w:szCs w:val="20"/>
                <w:color w:val="auto"/>
              </w:rPr>
            </w:pPr>
            <w:r>
              <w:rPr>
                <w:rFonts w:ascii="Arial" w:cs="Arial" w:eastAsia="Arial" w:hAnsi="Arial"/>
                <w:sz w:val="18"/>
                <w:szCs w:val="18"/>
                <w:color w:val="auto"/>
              </w:rPr>
              <w:t>million, or $</w:t>
            </w:r>
          </w:p>
        </w:tc>
        <w:tc>
          <w:tcPr>
            <w:tcW w:w="5920" w:type="dxa"/>
            <w:vAlign w:val="bottom"/>
            <w:gridSpan w:val="6"/>
          </w:tcPr>
          <w:p>
            <w:pPr>
              <w:jc w:val="right"/>
              <w:ind w:right="20"/>
              <w:spacing w:after="0" w:line="203" w:lineRule="exact"/>
              <w:rPr>
                <w:sz w:val="20"/>
                <w:szCs w:val="20"/>
                <w:color w:val="auto"/>
              </w:rPr>
            </w:pPr>
            <w:r>
              <w:rPr>
                <w:rFonts w:ascii="Arial" w:cs="Arial" w:eastAsia="Arial" w:hAnsi="Arial"/>
                <w:sz w:val="18"/>
                <w:szCs w:val="18"/>
                <w:color w:val="auto"/>
                <w:w w:val="91"/>
              </w:rPr>
              <w:t>per share. This represents an immediate increase in pro forma net tangible book</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value of $</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w w:val="94"/>
              </w:rPr>
              <w:t>per share to our existing stockholders and immediate dilution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rPr>
              <w:t>per share to investors purchasing shares of our Class A</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rPr>
              <w:t>common stock in this offering. The following table illustrates this dilution:</w:t>
            </w:r>
          </w:p>
        </w:tc>
        <w:tc>
          <w:tcPr>
            <w:tcW w:w="2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500" w:type="dxa"/>
            <w:vAlign w:val="bottom"/>
            <w:gridSpan w:val="2"/>
          </w:tcPr>
          <w:p>
            <w:pPr>
              <w:spacing w:after="0"/>
              <w:rPr>
                <w:sz w:val="21"/>
                <w:szCs w:val="21"/>
                <w:color w:val="auto"/>
              </w:rPr>
            </w:pPr>
          </w:p>
        </w:tc>
        <w:tc>
          <w:tcPr>
            <w:tcW w:w="1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w w:val="91"/>
              </w:rPr>
              <w:t>Pro forma net tangible book value per share as of December 31, 2020</w:t>
            </w:r>
          </w:p>
        </w:tc>
        <w:tc>
          <w:tcPr>
            <w:tcW w:w="1260" w:type="dxa"/>
            <w:vAlign w:val="bottom"/>
          </w:tcPr>
          <w:p>
            <w:pPr>
              <w:spacing w:after="0"/>
              <w:rPr>
                <w:sz w:val="18"/>
                <w:szCs w:val="18"/>
                <w:color w:val="auto"/>
              </w:rPr>
            </w:pPr>
          </w:p>
        </w:tc>
        <w:tc>
          <w:tcPr>
            <w:tcW w:w="3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w w:val="92"/>
              </w:rPr>
              <w:t>Pro forma as adjusted net tangible book value per share immediately after this offering</w:t>
            </w:r>
          </w:p>
        </w:tc>
        <w:tc>
          <w:tcPr>
            <w:tcW w:w="28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 in this offering</w:t>
            </w:r>
          </w:p>
        </w:tc>
        <w:tc>
          <w:tcPr>
            <w:tcW w:w="390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6360" w:type="dxa"/>
            <w:vAlign w:val="bottom"/>
            <w:gridSpan w:val="4"/>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360" w:type="dxa"/>
            <w:vAlign w:val="bottom"/>
            <w:gridSpan w:val="4"/>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per share, which is the midpoint of the estimated offering price</w:t>
            </w: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w:t>
      </w:r>
    </w:p>
    <w:p>
      <w:pPr>
        <w:spacing w:after="0" w:line="3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share to new investors by $ , and would increase or decrease, as applicable, dilution per share to new investors in this offering by $ , assuming that the number of shares of our Class A common stock offered by us, as set forth on the cover page of this prospectus, remains the same and after deducting estimated underwriting discounts and commissions payable by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the extent any outstanding options to purchase Class B common stock are exercised, new investors would experience further dilution. If</w:t>
      </w:r>
    </w:p>
    <w:p>
      <w:pPr>
        <w:spacing w:after="0" w:line="46" w:lineRule="exact"/>
        <w:rPr>
          <w:sz w:val="20"/>
          <w:szCs w:val="20"/>
          <w:color w:val="auto"/>
        </w:rPr>
      </w:pPr>
    </w:p>
    <w:p>
      <w:pPr>
        <w:ind w:left="120"/>
        <w:spacing w:after="0"/>
        <w:tabs>
          <w:tab w:leader="none" w:pos="4380" w:val="left"/>
        </w:tabs>
        <w:rPr>
          <w:sz w:val="20"/>
          <w:szCs w:val="20"/>
          <w:color w:val="auto"/>
        </w:rPr>
      </w:pPr>
      <w:r>
        <w:rPr>
          <w:rFonts w:ascii="Arial" w:cs="Arial" w:eastAsia="Arial" w:hAnsi="Arial"/>
          <w:sz w:val="18"/>
          <w:szCs w:val="18"/>
          <w:color w:val="auto"/>
        </w:rPr>
        <w:t>the underwriters exercise their option to purchase</w:t>
      </w:r>
      <w:r>
        <w:rPr>
          <w:sz w:val="20"/>
          <w:szCs w:val="20"/>
          <w:color w:val="auto"/>
        </w:rPr>
        <w:tab/>
      </w:r>
      <w:r>
        <w:rPr>
          <w:rFonts w:ascii="Arial" w:cs="Arial" w:eastAsia="Arial" w:hAnsi="Arial"/>
          <w:sz w:val="15"/>
          <w:szCs w:val="15"/>
          <w:color w:val="auto"/>
        </w:rPr>
        <w:t>additional shares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A common stock from us in full, the pro forma as adjusted net tangible book value per share of our common stock immediately after this</w:t>
      </w:r>
    </w:p>
    <w:p>
      <w:pPr>
        <w:spacing w:after="0" w:line="46" w:lineRule="exact"/>
        <w:rPr>
          <w:sz w:val="20"/>
          <w:szCs w:val="20"/>
          <w:color w:val="auto"/>
        </w:rPr>
      </w:pPr>
    </w:p>
    <w:p>
      <w:pPr>
        <w:ind w:left="120"/>
        <w:spacing w:after="0"/>
        <w:tabs>
          <w:tab w:leader="none" w:pos="2380" w:val="left"/>
        </w:tabs>
        <w:rPr>
          <w:sz w:val="20"/>
          <w:szCs w:val="20"/>
          <w:color w:val="auto"/>
        </w:rPr>
      </w:pPr>
      <w:r>
        <w:rPr>
          <w:rFonts w:ascii="Arial" w:cs="Arial" w:eastAsia="Arial" w:hAnsi="Arial"/>
          <w:sz w:val="18"/>
          <w:szCs w:val="18"/>
          <w:color w:val="auto"/>
        </w:rPr>
        <w:t>offering would be $</w:t>
      </w:r>
      <w:r>
        <w:rPr>
          <w:sz w:val="20"/>
          <w:szCs w:val="20"/>
          <w:color w:val="auto"/>
        </w:rPr>
        <w:tab/>
      </w:r>
      <w:r>
        <w:rPr>
          <w:rFonts w:ascii="Arial" w:cs="Arial" w:eastAsia="Arial" w:hAnsi="Arial"/>
          <w:sz w:val="17"/>
          <w:szCs w:val="17"/>
          <w:color w:val="auto"/>
        </w:rPr>
        <w:t>per share, and the dilution in pro forma net tangible book value per share to new investors in this offering would be</w:t>
      </w:r>
    </w:p>
    <w:p>
      <w:pPr>
        <w:spacing w:after="0" w:line="9" w:lineRule="exact"/>
        <w:rPr>
          <w:sz w:val="20"/>
          <w:szCs w:val="20"/>
          <w:color w:val="auto"/>
        </w:rPr>
      </w:pPr>
    </w:p>
    <w:p>
      <w:pPr>
        <w:ind w:left="740" w:hanging="624"/>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6"/>
          <w:szCs w:val="16"/>
          <w:color w:val="auto"/>
        </w:rPr>
        <w:t>The following table presents, on a pro forma as adjusted basis as of December 31, 2020,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redeemable convertible preferred stock, and the average price per share paid or to be paid to us at an assumed initial public offering price of</w:t>
      </w:r>
    </w:p>
    <w:p>
      <w:pPr>
        <w:spacing w:after="0" w:line="2" w:lineRule="exact"/>
        <w:rPr>
          <w:sz w:val="20"/>
          <w:szCs w:val="20"/>
          <w:color w:val="auto"/>
        </w:rPr>
      </w:pPr>
    </w:p>
    <w:p>
      <w:pPr>
        <w:ind w:left="120" w:right="20" w:hanging="4"/>
        <w:spacing w:after="0" w:line="260" w:lineRule="auto"/>
        <w:tabs>
          <w:tab w:leader="none" w:pos="7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estimated underwriting discounts and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3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63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4"/>
                <w:szCs w:val="4"/>
                <w:color w:val="auto"/>
              </w:rPr>
            </w:pPr>
          </w:p>
        </w:tc>
        <w:tc>
          <w:tcPr>
            <w:tcW w:w="98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8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tcPr>
          <w:p>
            <w:pPr>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680" w:type="dxa"/>
            <w:vAlign w:val="bottom"/>
            <w:gridSpan w:val="12"/>
          </w:tcPr>
          <w:p>
            <w:pPr>
              <w:ind w:left="10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total consideration paid by new investors and total</w:t>
      </w:r>
    </w:p>
    <w:p>
      <w:pPr>
        <w:spacing w:after="0" w:line="3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consideration paid by all stockholders by approximately $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5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 and our new investors would own % of the total number of shares of our common stock outstanding upon the completion of this offering.</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number of shares of our Class A common stock and Class B common stock that will be outstanding after this offering is based on no shares of our Class A common stock and 482,157,178 shares of our Class B common stock outstanding including our redeemable convertible preferred stock on as-converted basis as of December 31, 2020, and excludes:</w:t>
      </w:r>
    </w:p>
    <w:p>
      <w:pPr>
        <w:spacing w:after="0" w:line="89" w:lineRule="exact"/>
        <w:rPr>
          <w:sz w:val="20"/>
          <w:szCs w:val="20"/>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23,421,374 shares of our Class B common stock issuable upon the exercise of options to purchase shares of our Class B common stock that were outstanding as of December 31, 2020, with a weighted-average exercise price of $1.35 per share;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4,430,336 RSUs for shares of our Class B common stock that are issuable upon satisfaction of service and liquidity conditions outstanding as of December 31, 2020, for which the liquidity condition was not yet satisfied as of December 31, 2020;</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4,056,994 shares of our Class B common stock issuable upon the exercise of options to purchase common stock granted after December 31, 2020, with a weighted-average exercise price of $10.48 per share;</w:t>
      </w:r>
    </w:p>
    <w:p>
      <w:pPr>
        <w:spacing w:after="0" w:line="75"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2,130,993 RSUs for shares of our Class B common stock that are issuable upon satisfaction of service and liquidity conditions that were granted after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right="20" w:hanging="224"/>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203,610 shares of Class B common stock issuable upon the exercise of redeemable convertible preferred stock warrants held by Comerica Ventures Incorporated, outstanding as of December 31, 2020, with a weighted-average exercise price of $0.295 per share;</w:t>
      </w:r>
    </w:p>
    <w:p>
      <w:pPr>
        <w:spacing w:after="0" w:line="51" w:lineRule="exact"/>
        <w:rPr>
          <w:rFonts w:ascii="Arial" w:cs="Arial" w:eastAsia="Arial" w:hAnsi="Arial"/>
          <w:sz w:val="17"/>
          <w:szCs w:val="17"/>
          <w:color w:val="auto"/>
        </w:rPr>
      </w:pPr>
    </w:p>
    <w:p>
      <w:pPr>
        <w:ind w:left="880" w:right="20" w:hanging="224"/>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852,414 shares of Class B common stock issuable upon the exercise of common stock warrants held by Silicon Valley Bank, outstanding as of December 31, 2020, with a weighted-average exercise price of $0.053 per share;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360,000 shares of our Class B common stock committed for future issuance to fund and support our social impact initiatives;</w:t>
      </w:r>
    </w:p>
    <w:p>
      <w:pPr>
        <w:spacing w:after="0" w:line="130" w:lineRule="exact"/>
        <w:rPr>
          <w:rFonts w:ascii="Arial" w:cs="Arial" w:eastAsia="Arial" w:hAnsi="Arial"/>
          <w:sz w:val="18"/>
          <w:szCs w:val="18"/>
          <w:color w:val="auto"/>
        </w:rPr>
      </w:pPr>
    </w:p>
    <w:p>
      <w:pPr>
        <w:jc w:val="both"/>
        <w:ind w:left="880" w:hanging="224"/>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750,000 shares of Class B common stock issuable upon the exercise of a common stock warrant held by Uber Technologies, Inc., dated September 15, 2020, with an exercise price of $0.01 per share, 22,500 of which are currently exercisable and 727,500 of which are exercisable upon attaining certain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1,100,000 shares of Class B common stock issuable upon the exercise of a common stock warrant held by Square, Inc., dated March 13,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50,000 shares of Class B common stock issuable upon the exercise of a common stock warrant held by Ramp Business Corporation, dated March 31, 2021, with an exercise price of $0.01 per share, none of which are currently exercisable and all of which are exercisable upon attaining certain milestones;</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2,493,159 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 and</w:t>
      </w:r>
    </w:p>
    <w:p>
      <w:pPr>
        <w:spacing w:after="0" w:line="130" w:lineRule="exact"/>
        <w:rPr>
          <w:rFonts w:ascii="Arial" w:cs="Arial" w:eastAsia="Arial" w:hAnsi="Arial"/>
          <w:sz w:val="18"/>
          <w:szCs w:val="18"/>
          <w:color w:val="auto"/>
        </w:rPr>
      </w:pPr>
    </w:p>
    <w:p>
      <w:pPr>
        <w:ind w:left="2040" w:hanging="1155"/>
        <w:spacing w:after="0"/>
        <w:tabs>
          <w:tab w:leader="none" w:pos="2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ESPP.</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119"/>
        </w:trPr>
        <w:tc>
          <w:tcPr>
            <w:tcW w:w="8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220" w:type="dxa"/>
            <w:vAlign w:val="bottom"/>
          </w:tcPr>
          <w:p>
            <w:pPr>
              <w:spacing w:after="0"/>
              <w:rPr>
                <w:sz w:val="10"/>
                <w:szCs w:val="10"/>
                <w:color w:val="auto"/>
              </w:rPr>
            </w:pPr>
          </w:p>
        </w:tc>
      </w:tr>
      <w:tr>
        <w:trPr>
          <w:trHeight w:val="148"/>
        </w:trPr>
        <w:tc>
          <w:tcPr>
            <w:tcW w:w="8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221"/>
              <w:spacing w:after="0" w:line="149" w:lineRule="exact"/>
              <w:rPr>
                <w:sz w:val="20"/>
                <w:szCs w:val="20"/>
                <w:color w:val="auto"/>
              </w:rPr>
            </w:pPr>
            <w:r>
              <w:rPr>
                <w:rFonts w:ascii="Arial" w:cs="Arial" w:eastAsia="Arial" w:hAnsi="Arial"/>
                <w:sz w:val="14"/>
                <w:szCs w:val="14"/>
                <w:b w:val="1"/>
                <w:bCs w:val="1"/>
                <w:color w:val="auto"/>
                <w:w w:val="91"/>
              </w:rPr>
              <w:t>and per share amounts or</w:t>
            </w:r>
          </w:p>
        </w:tc>
      </w:tr>
      <w:tr>
        <w:trPr>
          <w:trHeight w:val="171"/>
        </w:trPr>
        <w:tc>
          <w:tcPr>
            <w:tcW w:w="8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86"/>
              </w:rPr>
              <w:t>as noted)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Net revenue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w w:val="89"/>
              </w:rPr>
              <w:t>143,267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290,292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82,814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172,385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117,907</w:t>
            </w:r>
          </w:p>
        </w:tc>
        <w:tc>
          <w:tcPr>
            <w:tcW w:w="2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126,861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All other operating expenses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rPr>
              <w:t>32,810</w:t>
            </w:r>
          </w:p>
        </w:tc>
        <w:tc>
          <w:tcPr>
            <w:tcW w:w="10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38,133</w:t>
            </w:r>
          </w:p>
        </w:tc>
      </w:tr>
      <w:tr>
        <w:trPr>
          <w:trHeight w:val="27"/>
        </w:trPr>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95"/>
              </w:rPr>
              <w:t>(58,863)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(47,087)</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(521)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(58,200</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(47,695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r>
      <w:tr>
        <w:trPr>
          <w:trHeight w:val="20"/>
        </w:trPr>
        <w:tc>
          <w:tcPr>
            <w:tcW w:w="8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r>
              <w:rPr>
                <w:rFonts w:ascii="Arial" w:cs="Arial" w:eastAsia="Arial" w:hAnsi="Arial"/>
                <w:sz w:val="15"/>
                <w:szCs w:val="15"/>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(0.39)</w:t>
            </w:r>
          </w:p>
        </w:tc>
      </w:tr>
      <w:tr>
        <w:trPr>
          <w:trHeight w:val="202"/>
        </w:trPr>
        <w:tc>
          <w:tcPr>
            <w:tcW w:w="872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Class A and Class B common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872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color w:val="auto"/>
                <w:w w:val="89"/>
              </w:rPr>
              <w:t>113,852</w:t>
            </w:r>
          </w:p>
        </w:tc>
        <w:tc>
          <w:tcPr>
            <w:tcW w:w="10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w w:val="89"/>
              </w:rPr>
              <w:t>122,933</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Class A and Class B common stockholders, basic and diluted (unaudited)</w:t>
            </w:r>
            <w:r>
              <w:rPr>
                <w:rFonts w:ascii="Arial" w:cs="Arial" w:eastAsia="Arial" w:hAnsi="Arial"/>
                <w:sz w:val="15"/>
                <w:szCs w:val="15"/>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(55,542)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w w:val="91"/>
              </w:rPr>
              <w:t>Pro forma net loss per share attributable to Class A and Class B common stockholders, basic and diluted (unaudited)</w:t>
            </w:r>
            <w:r>
              <w:rPr>
                <w:rFonts w:ascii="Arial" w:cs="Arial" w:eastAsia="Arial" w:hAnsi="Arial"/>
                <w:sz w:val="15"/>
                <w:szCs w:val="15"/>
                <w:color w:val="auto"/>
                <w:w w:val="91"/>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(0.12)</w:t>
            </w:r>
          </w:p>
        </w:tc>
      </w:tr>
      <w:tr>
        <w:trPr>
          <w:trHeight w:val="202"/>
        </w:trPr>
        <w:tc>
          <w:tcPr>
            <w:tcW w:w="8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shares used in computing pro forma net loss per share attributable to Class A and Class B common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basic and diluted (unaudited)</w:t>
            </w:r>
            <w:r>
              <w:rPr>
                <w:rFonts w:ascii="Arial" w:cs="Arial" w:eastAsia="Arial" w:hAnsi="Arial"/>
                <w:sz w:val="15"/>
                <w:szCs w:val="15"/>
                <w:color w:val="auto"/>
              </w:rPr>
              <w:t>(3)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9"/>
              </w:rPr>
              <w:t>469,360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jc w:val="both"/>
        <w:ind w:left="660" w:right="20" w:hanging="544"/>
        <w:spacing w:after="0" w:line="283"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Compensation and benefits include share-based compensation expense of $21.8 million and $28.2 million for the years ended December 31, 2019 and December 31, 2020, respectively. Following this offering, our future operating expenses, particularly in the quarter in which this offering is completed, will include substantial share-based compensation expense with respect to our RSUs as well as any other share-based awards we may grant in the future.</w:t>
      </w:r>
    </w:p>
    <w:p>
      <w:pPr>
        <w:spacing w:after="0" w:line="1" w:lineRule="exact"/>
        <w:rPr>
          <w:rFonts w:ascii="Arial" w:cs="Arial" w:eastAsia="Arial" w:hAnsi="Arial"/>
          <w:sz w:val="15"/>
          <w:szCs w:val="15"/>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 for the detailed calculation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r>
      <w:tr>
        <w:trPr>
          <w:trHeight w:val="142"/>
        </w:trPr>
        <w:tc>
          <w:tcPr>
            <w:tcW w:w="89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w w:val="95"/>
              </w:rPr>
              <w:t>$  60,344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$ 220,433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7,800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95,225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149,903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132,894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289,808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223,191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457,680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85,849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169,516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335,748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501,881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(198,406)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(213,717)</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6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3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 (in thousands)</w:t>
            </w: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w w:val="90"/>
              </w:rPr>
              <w:t>$(58,200)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$(47,695)</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w w:val="90"/>
              </w:rPr>
              <w:t>$(34,026)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$(15,378)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and Klarna—to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Marqeta Platform processed $60.1 billion of TPV, up 177% from $21.7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168910</wp:posOffset>
            </wp:positionV>
            <wp:extent cx="5143500" cy="3068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a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275 million cards issued through the Marqeta Platform as of December 31, 2020,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b w:val="1"/>
          <w:bCs w:val="1"/>
          <w:color w:val="auto"/>
        </w:rPr>
        <w:t xml:space="preserve">Our growth is aligned with our Customers’ growth. </w:t>
      </w:r>
      <w:r>
        <w:rPr>
          <w:rFonts w:ascii="Arial" w:cs="Arial" w:eastAsia="Arial" w:hAnsi="Arial"/>
          <w:sz w:val="16"/>
          <w:szCs w:val="16"/>
          <w:color w:val="auto"/>
        </w:rPr>
        <w:t>We believe our growth, future success, and performance is closely aligned with that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We employ a usage-based model, based on processing volume,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processing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largest Customer (Square). Some of our Customers have experienced incredible growth in the time they have been on our Platform and we remain a key operating partner that continues to support and benefit from their success. For example, Square became a Customer in 2016. Square launched their Square Card program on our Platform in 2018. As processing volume with Square has grown, our net revenue has also grown such that Square is now our largest Customer, representing approximately 60% and approximately 70% of our net revenue in 2019 and 2020, respectively. If Square were to see a slowdown in its business or use our Platform in a more limited capacity, our business, results of operations, and financial condition could be adversely affected.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213995</wp:posOffset>
            </wp:positionV>
            <wp:extent cx="5194935" cy="2906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9493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color w:val="auto"/>
        </w:rPr>
        <w:t xml:space="preserve">Revenue model. </w:t>
      </w:r>
      <w:r>
        <w:rPr>
          <w:rFonts w:ascii="Arial" w:cs="Arial" w:eastAsia="Arial" w:hAnsi="Arial"/>
          <w:sz w:val="18"/>
          <w:szCs w:val="18"/>
          <w:color w:val="auto"/>
        </w:rPr>
        <w:t>We derive the majority of our revenue from Interchange Fees generated by processing payment transactions through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Interchange Fees are established by the Card Networks and the total Interchange Fees we collect are dependent on various factors including processing volume, merchant category code, transaction size, and other transaction attributes. For Customers under certain contracts, their percentage of Revenue Share increases as their respective processing volumes increase.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and consumer versus commercial debit cards that make up our TPV, and changes in TPV as a result of the COVID-19 pandemic, could result in fluctuations to our net revenue. Further, certain Customers’ processing volumes are subject to seasonal fluctuations that could cause varied revenue results across the quarters.</w:t>
      </w:r>
    </w:p>
    <w:p>
      <w:pPr>
        <w:spacing w:after="0" w:line="188"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processing volumes on our Platform. Revenue Share provisions include increased rates of Revenue Share when processing volumes reach specified volume tiers. As Customers’ processing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transactions to specific Card Networks, we are able to negotiate certain incentive rebates that effectively reduce the overall network fees. With the scale of the transactions we process on behalf of our Customers, we believe we can continue to negotiate favorable incentive rebates. However, if these fees increase, our gross margins will decrease.</w:t>
      </w:r>
    </w:p>
    <w:p>
      <w:pPr>
        <w:spacing w:after="0" w:line="15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structured based on volume tiers; as our processing volumes grow, these fees as a percentage of processing volume decline. These fees are reflected in our costs of revenue.</w:t>
      </w:r>
    </w:p>
    <w:p>
      <w:pPr>
        <w:spacing w:after="0" w:line="16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In response to the COVID-19 pandemic, we have implemented measures to focus on employee safety and Customer support, while at the same time seeking to mitigate any negative impact on our financial position and operations. We have implemented remote working capabilities for our entire company and, to date, there has been minimal disruption to our operations.</w:t>
      </w:r>
    </w:p>
    <w:p>
      <w:pPr>
        <w:spacing w:after="0" w:line="17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restaurant, travel, and hospitality sectors of the U.S. economy have been significantly and adversely affected by the COVID-19 pandemic. We believe this has accelerated the shift of purchasing activities from offline to online and the growth of on-demand delivery services. Many of these service providers are our Customers, and are experiencing accelerated adoption of virtual and contactless forms of payments.</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Overall, these trends significantly contributed to the increases in our net revenue of $147.0 million, or 103%, and in our gross profit of $57.5 million, or 95%, for 2020 as compared to 2019. It is uncertain what effect a lifting of shelter-in-place orders, social distancing, and other restrictions will have on the processing volumes of our Customers, and on our results of operations.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the COVID-19 pandemic to date, we continue to monitor the situation and may take actions that alter our operations and business practices as may be required by federal, state, or local authorities or that we determine are in the best interests of our Customers, vendors, and employees.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Year Ended</w:t>
      </w:r>
    </w:p>
    <w:p>
      <w:pPr>
        <w:jc w:val="center"/>
        <w:ind w:left="8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4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$ 60,075</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loss (in thousands)</w:t>
            </w:r>
          </w:p>
        </w:tc>
        <w:tc>
          <w:tcPr>
            <w:tcW w:w="5780" w:type="dxa"/>
            <w:vAlign w:val="bottom"/>
            <w:gridSpan w:val="3"/>
          </w:tcPr>
          <w:p>
            <w:pPr>
              <w:jc w:val="right"/>
              <w:ind w:right="600"/>
              <w:spacing w:after="0"/>
              <w:rPr>
                <w:sz w:val="20"/>
                <w:szCs w:val="20"/>
                <w:color w:val="auto"/>
              </w:rPr>
            </w:pPr>
            <w:r>
              <w:rPr>
                <w:rFonts w:ascii="Arial" w:cs="Arial" w:eastAsia="Arial" w:hAnsi="Arial"/>
                <w:sz w:val="18"/>
                <w:szCs w:val="18"/>
                <w:color w:val="auto"/>
              </w:rPr>
              <w:t>$(58,200)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$(47,695)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5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5780" w:type="dxa"/>
            <w:vAlign w:val="bottom"/>
            <w:gridSpan w:val="3"/>
          </w:tcPr>
          <w:p>
            <w:pPr>
              <w:jc w:val="right"/>
              <w:ind w:right="600"/>
              <w:spacing w:after="0"/>
              <w:rPr>
                <w:sz w:val="20"/>
                <w:szCs w:val="20"/>
                <w:color w:val="auto"/>
              </w:rPr>
            </w:pPr>
            <w:r>
              <w:rPr>
                <w:rFonts w:ascii="Arial" w:cs="Arial" w:eastAsia="Arial" w:hAnsi="Arial"/>
                <w:sz w:val="18"/>
                <w:szCs w:val="18"/>
                <w:color w:val="auto"/>
              </w:rPr>
              <w:t>$(34,026)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$(15,378)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5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365"/>
        </w:trPr>
        <w:tc>
          <w:tcPr>
            <w:tcW w:w="4320" w:type="dxa"/>
            <w:vAlign w:val="bottom"/>
          </w:tcPr>
          <w:p>
            <w:pPr>
              <w:spacing w:after="0"/>
              <w:rPr>
                <w:sz w:val="24"/>
                <w:szCs w:val="24"/>
                <w:color w:val="auto"/>
              </w:rPr>
            </w:pPr>
          </w:p>
        </w:tc>
        <w:tc>
          <w:tcPr>
            <w:tcW w:w="4460" w:type="dxa"/>
            <w:vAlign w:val="bottom"/>
          </w:tcPr>
          <w:p>
            <w:pPr>
              <w:jc w:val="right"/>
              <w:ind w:right="3090"/>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 and scale of our business.</w:t>
      </w:r>
    </w:p>
    <w:p>
      <w:pPr>
        <w:spacing w:after="0" w:line="176" w:lineRule="exact"/>
        <w:rPr>
          <w:sz w:val="20"/>
          <w:szCs w:val="20"/>
          <w:color w:val="auto"/>
        </w:rPr>
      </w:pPr>
    </w:p>
    <w:p>
      <w:pPr>
        <w:jc w:val="both"/>
        <w:ind w:left="120"/>
        <w:spacing w:after="0" w:line="294"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Adjusted EBITDA is a non-GAAP financial measure that is calculated as net income (loss) adjusted to exclude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w:t>
      </w:r>
    </w:p>
    <w:p>
      <w:pPr>
        <w:spacing w:after="0" w:line="160"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 A reconciliation of net loss to adjusted EBITDA and adjusted EBITDA margin for the years ended December 31, 2019 and 2020 is as follows:</w:t>
      </w:r>
    </w:p>
    <w:p>
      <w:pPr>
        <w:spacing w:after="0" w:line="20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40" w:type="dxa"/>
            <w:vAlign w:val="bottom"/>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 )</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76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$143,267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$290,292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w:t>
            </w:r>
          </w:p>
        </w:tc>
        <w:tc>
          <w:tcPr>
            <w:tcW w:w="5760" w:type="dxa"/>
            <w:vAlign w:val="bottom"/>
            <w:gridSpan w:val="3"/>
          </w:tcPr>
          <w:p>
            <w:pPr>
              <w:jc w:val="right"/>
              <w:ind w:right="510"/>
              <w:spacing w:after="0"/>
              <w:rPr>
                <w:sz w:val="20"/>
                <w:szCs w:val="20"/>
                <w:color w:val="auto"/>
              </w:rPr>
            </w:pPr>
            <w:r>
              <w:rPr>
                <w:rFonts w:ascii="Arial" w:cs="Arial" w:eastAsia="Arial" w:hAnsi="Arial"/>
                <w:sz w:val="18"/>
                <w:szCs w:val="18"/>
                <w:color w:val="auto"/>
              </w:rPr>
              <w:t>$ (58,200)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(47,695)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576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loss</w:t>
            </w:r>
          </w:p>
        </w:tc>
        <w:tc>
          <w:tcPr>
            <w:tcW w:w="5760" w:type="dxa"/>
            <w:vAlign w:val="bottom"/>
            <w:gridSpan w:val="3"/>
          </w:tcPr>
          <w:p>
            <w:pPr>
              <w:jc w:val="right"/>
              <w:ind w:right="510"/>
              <w:spacing w:after="0"/>
              <w:rPr>
                <w:sz w:val="20"/>
                <w:szCs w:val="20"/>
                <w:color w:val="auto"/>
              </w:rPr>
            </w:pPr>
            <w:r>
              <w:rPr>
                <w:rFonts w:ascii="Arial" w:cs="Arial" w:eastAsia="Arial" w:hAnsi="Arial"/>
                <w:sz w:val="18"/>
                <w:szCs w:val="18"/>
                <w:color w:val="auto"/>
              </w:rPr>
              <w:t>$ (58,200)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 (47,695)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576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3,080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5760" w:type="dxa"/>
            <w:vAlign w:val="bottom"/>
            <w:gridSpan w:val="3"/>
          </w:tcPr>
          <w:p>
            <w:pPr>
              <w:jc w:val="right"/>
              <w:ind w:right="570"/>
              <w:spacing w:after="0"/>
              <w:rPr>
                <w:sz w:val="20"/>
                <w:szCs w:val="20"/>
                <w:color w:val="auto"/>
              </w:rPr>
            </w:pPr>
            <w:r>
              <w:rPr>
                <w:rFonts w:ascii="Arial" w:cs="Arial" w:eastAsia="Arial" w:hAnsi="Arial"/>
                <w:sz w:val="18"/>
                <w:szCs w:val="18"/>
                <w:color w:val="auto"/>
              </w:rPr>
              <w:t>21,757</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576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(698)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4420" w:type="dxa"/>
            <w:vAlign w:val="bottom"/>
          </w:tcPr>
          <w:p>
            <w:pPr>
              <w:spacing w:after="0"/>
              <w:rPr>
                <w:sz w:val="18"/>
                <w:szCs w:val="18"/>
                <w:color w:val="auto"/>
              </w:rPr>
            </w:pP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35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76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 (34,026)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(15,378)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4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vMerge w:val="continue"/>
          </w:tcPr>
          <w:p>
            <w:pPr>
              <w:spacing w:after="0"/>
              <w:rPr>
                <w:sz w:val="18"/>
                <w:szCs w:val="18"/>
                <w:color w:val="auto"/>
              </w:rPr>
            </w:pPr>
          </w:p>
        </w:tc>
        <w:tc>
          <w:tcPr>
            <w:tcW w:w="4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4"/>
                <w:szCs w:val="24"/>
                <w:color w:val="auto"/>
              </w:rPr>
            </w:pPr>
          </w:p>
        </w:tc>
        <w:tc>
          <w:tcPr>
            <w:tcW w:w="4420" w:type="dxa"/>
            <w:vAlign w:val="bottom"/>
          </w:tcPr>
          <w:p>
            <w:pPr>
              <w:jc w:val="right"/>
              <w:ind w:right="303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 xml:space="preserve">Platform services revenue, net. </w:t>
      </w:r>
      <w:r>
        <w:rPr>
          <w:rFonts w:ascii="Arial" w:cs="Arial" w:eastAsia="Arial" w:hAnsi="Arial"/>
          <w:sz w:val="16"/>
          <w:szCs w:val="16"/>
          <w:color w:val="auto"/>
        </w:rPr>
        <w:t>Platform services revenue includes Interchange Fees, net of Revenue Share and other service level payments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Platform services revenue also includes processing and other fees. Interchange Fees are earned on card transactions we process for our Customers and are calculated based on a percentage of the amount of a specific card transaction plus a fixed amount per transaction. Interchange Fees are recognized when the associated transactions are settled. Processing and other fees include fees earned when end users use payment cards at automated teller machines and minimum processing fees earned if Customers’ processing volumes fall below certain thresholds.</w:t>
      </w:r>
    </w:p>
    <w:p>
      <w:pPr>
        <w:spacing w:after="0" w:line="16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Revenue Share payments are incentives to Customers to increase processing volumes on our Platform. Revenue Share is generally computed as a percentage of the Interchange Fees earned or processing volume and is paid to Customers monthly. Revenue Share payments are recorded as a reduction to revenue. As Customers’ processing volumes increase, they may earn an increased percentage of Revenue Share.</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Costs of revenue consist of Card Network costs, Issuing Bank costs, and card fulfillment costs. Card Network costs are generally equal to a specified percentage of processing volume or a fixed amount per transaction routed through the respective Card Network. Issuing Bank costs compensate our Issuing Banks for issuing cards to our Customers and sponsoring our card programs with the Card Networks and are generally equal to a specified percentage of processing volume or a fixed amount per transaction. Card fulfillment costs include physical cards, packaging, and other fulfillment costs.</w:t>
      </w:r>
    </w:p>
    <w:p>
      <w:pPr>
        <w:spacing w:after="0" w:line="15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separate marketing and incentive arrangements with Card Networks that provide us with monetary incentives for processing volume via the respective Card Network. The amount of the incentives is determined based on a percentage of the processing volume routed over the Card Network. We record these incentives as a reduction of Card Network fees included in costs of revenue. Generally, as Customers’ processing volumes increase we earn a higher rate of monetary incentives from these arrangements, subject to attaining certain volume tiering thresholds.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i w:val="1"/>
          <w:iCs w:val="1"/>
          <w:color w:val="auto"/>
        </w:rPr>
        <w:t xml:space="preserve">Compensation and Benefits. </w:t>
      </w:r>
      <w:r>
        <w:rPr>
          <w:rFonts w:ascii="Arial" w:cs="Arial" w:eastAsia="Arial" w:hAnsi="Arial"/>
          <w:sz w:val="16"/>
          <w:szCs w:val="16"/>
          <w:color w:val="auto"/>
        </w:rPr>
        <w:t>Compensation and benefits consist primarily of salaries, employees’ benefits, incentive compensation, and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no share-based compensation expense had been recognized for RSUs because the liquidity condition had not occurred. If our initial public offering had occurred on December 31, 2020, we would have recognized $9.8 million of cumulative share-based compensation expense on that 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employees training, charitable donation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jc w:val="right"/>
              <w:ind w:right="491"/>
              <w:spacing w:after="0"/>
              <w:rPr>
                <w:sz w:val="20"/>
                <w:szCs w:val="20"/>
                <w:color w:val="auto"/>
              </w:rPr>
            </w:pPr>
            <w:r>
              <w:rPr>
                <w:rFonts w:ascii="Arial" w:cs="Arial" w:eastAsia="Arial" w:hAnsi="Arial"/>
                <w:sz w:val="16"/>
                <w:szCs w:val="16"/>
                <w:b w:val="1"/>
                <w:bCs w:val="1"/>
                <w:color w:val="auto"/>
              </w:rPr>
              <w:t>(in thousands)</w:t>
            </w:r>
          </w:p>
        </w:tc>
        <w:tc>
          <w:tcPr>
            <w:tcW w:w="120" w:type="dxa"/>
            <w:vAlign w:val="bottom"/>
            <w:shd w:val="clear" w:color="auto" w:fill="CCEEFF"/>
          </w:tcPr>
          <w:p>
            <w:pPr>
              <w:spacing w:after="0"/>
              <w:rPr>
                <w:sz w:val="17"/>
                <w:szCs w:val="17"/>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143,267</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290,292</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172,385</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86,506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126,861</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10,129</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7,796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13,239</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4,337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3,080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3,498</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5,260</w:t>
            </w:r>
          </w:p>
        </w:tc>
      </w:tr>
      <w:tr>
        <w:trPr>
          <w:trHeight w:val="27"/>
        </w:trPr>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164,994</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(47,608)</w:t>
            </w:r>
          </w:p>
        </w:tc>
        <w:tc>
          <w:tcPr>
            <w:tcW w:w="12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 as a percentage of our net revenue:</w:t>
      </w:r>
    </w:p>
    <w:p>
      <w:pPr>
        <w:spacing w:after="0" w:line="24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Costs of revenue</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Occupancy</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Marketing and advertising</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420"/>
              <w:spacing w:after="0"/>
              <w:rPr>
                <w:sz w:val="20"/>
                <w:szCs w:val="20"/>
                <w:color w:val="auto"/>
              </w:rPr>
            </w:pPr>
            <w:r>
              <w:rPr>
                <w:rFonts w:ascii="Arial" w:cs="Arial" w:eastAsia="Arial" w:hAnsi="Arial"/>
                <w:sz w:val="18"/>
                <w:szCs w:val="18"/>
                <w:color w:val="auto"/>
              </w:rPr>
              <w:t>76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for the Fiscal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and Costs of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4"/>
                <w:szCs w:val="14"/>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Net interchange fees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116,469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234,397</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w w:val="92"/>
              </w:rPr>
              <w:t>$ 117,928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Processing and other fees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26,940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color w:val="auto"/>
              </w:rPr>
              <w:t>Total platform services, net</w:t>
            </w:r>
          </w:p>
        </w:tc>
        <w:tc>
          <w:tcPr>
            <w:tcW w:w="2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144,868</w:t>
            </w: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services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700" w:type="dxa"/>
            <w:vAlign w:val="bottom"/>
          </w:tcPr>
          <w:p>
            <w:pPr>
              <w:ind w:left="1080"/>
              <w:spacing w:after="0"/>
              <w:rPr>
                <w:sz w:val="20"/>
                <w:szCs w:val="20"/>
                <w:color w:val="auto"/>
              </w:rPr>
            </w:pPr>
            <w:r>
              <w:rPr>
                <w:rFonts w:ascii="Arial" w:cs="Arial" w:eastAsia="Arial" w:hAnsi="Arial"/>
                <w:sz w:val="18"/>
                <w:szCs w:val="18"/>
                <w:color w:val="auto"/>
              </w:rPr>
              <w:t>Total net revenue</w:t>
            </w:r>
          </w:p>
        </w:tc>
        <w:tc>
          <w:tcPr>
            <w:tcW w:w="20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290,292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147,025</w:t>
            </w:r>
          </w:p>
        </w:tc>
        <w:tc>
          <w:tcPr>
            <w:tcW w:w="3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64,947</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145,617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80,670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1,627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82,814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89,571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Gross profit</w:t>
            </w:r>
          </w:p>
        </w:tc>
        <w:tc>
          <w:tcPr>
            <w:tcW w:w="20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57,454</w:t>
            </w:r>
          </w:p>
        </w:tc>
        <w:tc>
          <w:tcPr>
            <w:tcW w:w="3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Total net revenue increased by $147.0 million, or 103%, for the year ended December 31, 2020 compared to the year ended December 31, 2019, of which $117.7 million was generated by Square. The increase was primarily driven by a 177% increase in TPV. This increase was due to a 170% increase in processing volume generated from Square, and a 188% increase in processing volume generated from all other programs, excluding Square. This increase in TPV drove a $117.9 million, or 101%, increase in net Interchange Fees. In relation to the growth in TPV, net revenue grew slower in the year ended December 31, 2020, due primarily to the change in processing mix. Specifically, the consumer card processing volume and PIN network volume, which generates lower Interchange Fees, grew faster than the commercial processing volume, which typically generates higher Interchange Fees. The increase in TPV also drove a 161% increase in Revenue Share in the year ended December 31, 2020 compared to the year ended December 31, 2019. Processing and other fees increased $26.9 million, or 129%, in the year ended December 31, 2020 compared to the year ended December 31, 2019, due to an increase in automated teller machine processing volume.</w:t>
      </w:r>
    </w:p>
    <w:p>
      <w:pPr>
        <w:spacing w:after="0" w:line="18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Costs of revenue increased by $89.6 million, or 108%, for the year ended December 31, 2020 compared to the year ended December 31, 2019. The increase was primarily due to increased Card Network fees as the result of the 177% increase in TPV and 112% increase in the number of transactions. Such fees are net of monetary incentives from Card Networks for processing volume via the respective Card Networks during the period. Issuing Bank fees are typically structured based on volume tiers; as our processing volumes grow, these fees as a percentage of processing volume decline. Issuing Bank fees increased $7.3 million, or 58%, which was lower than the percentage of increase in TPV as a result of volume tiers being met at Sutton Bank.</w:t>
      </w:r>
    </w:p>
    <w:p>
      <w:pPr>
        <w:spacing w:after="0" w:line="16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a result of the increases in net revenue and cost of revenue discussed above, gross profit increased by $57.5 million, or 95%, for the year ended December 31, 2020 compared to the year ended December 31,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Gross margin decreased from 42% during the year ended December 31, 2019 to 41% during the year ended December 31, 2020, primarily due to the increase in Revenue Share amounts paid to Customers.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Benefits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vMerge w:val="continue"/>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benefits and payroll taxes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$33,901</w:t>
            </w:r>
          </w:p>
        </w:tc>
        <w:tc>
          <w:tcPr>
            <w:tcW w:w="7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21,757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28,211</w:t>
            </w:r>
          </w:p>
        </w:tc>
        <w:tc>
          <w:tcPr>
            <w:tcW w:w="1620" w:type="dxa"/>
            <w:vAlign w:val="bottom"/>
            <w:gridSpan w:val="3"/>
          </w:tcPr>
          <w:p>
            <w:pPr>
              <w:jc w:val="right"/>
              <w:ind w:right="650"/>
              <w:spacing w:after="0"/>
              <w:rPr>
                <w:sz w:val="20"/>
                <w:szCs w:val="20"/>
                <w:color w:val="auto"/>
              </w:rPr>
            </w:pPr>
            <w:r>
              <w:rPr>
                <w:rFonts w:ascii="Arial" w:cs="Arial" w:eastAsia="Arial" w:hAnsi="Arial"/>
                <w:sz w:val="18"/>
                <w:szCs w:val="18"/>
                <w:color w:val="auto"/>
              </w:rPr>
              <w:t>6,454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and benefits</w:t>
            </w:r>
          </w:p>
        </w:tc>
        <w:tc>
          <w:tcPr>
            <w:tcW w:w="1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86,506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126,861</w:t>
            </w:r>
          </w:p>
        </w:tc>
        <w:tc>
          <w:tcPr>
            <w:tcW w:w="162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40,355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Percentage of net revenue</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7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Average full time employees during the period</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w:t>
            </w:r>
          </w:p>
        </w:tc>
        <w:tc>
          <w:tcPr>
            <w:tcW w:w="162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131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Compensation and benefits expenses increased by $40.4 million, or 47%, for the year ended December 31, 2020 compared to the year ended December 31, 2019. The increase was primarily due to a $33.9 million increase in employee-related costs due to an increase in the number of employees, and a $6.5 million increase in share-based compensation related to employees’ stock options and secondary common stock sale transactions.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employees grouped by functional area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8"/>
          </w:tcPr>
          <w:p>
            <w:pPr>
              <w:ind w:left="600"/>
              <w:spacing w:after="0"/>
              <w:rPr>
                <w:sz w:val="20"/>
                <w:szCs w:val="20"/>
                <w:color w:val="auto"/>
              </w:rPr>
            </w:pPr>
            <w:r>
              <w:rPr>
                <w:rFonts w:ascii="Arial" w:cs="Arial" w:eastAsia="Arial" w:hAnsi="Arial"/>
                <w:sz w:val="14"/>
                <w:szCs w:val="14"/>
                <w:b w:val="1"/>
                <w:bCs w:val="1"/>
                <w:color w:val="auto"/>
              </w:rPr>
              <w:t>As of December 31,</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gridSpan w:val="2"/>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Product &amp; Technology</w:t>
            </w: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149</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Payment Operations</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8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Professional Services</w:t>
            </w: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24"/>
                <w:szCs w:val="24"/>
                <w:color w:val="auto"/>
              </w:rPr>
            </w:pPr>
          </w:p>
        </w:tc>
        <w:tc>
          <w:tcPr>
            <w:tcW w:w="302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8,960</w:t>
            </w:r>
          </w:p>
        </w:tc>
        <w:tc>
          <w:tcPr>
            <w:tcW w:w="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00" w:type="dxa"/>
            <w:vAlign w:val="bottom"/>
            <w:vMerge w:val="continue"/>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92"/>
              </w:rPr>
              <w:t>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Professional services expenses increased by $1.2 million, or 13%, for the year ended December 31, 2020 compared to the year ended December 31, 2019. The increase was primarily due to a $1.2 million increase in accounting, consulting, and legal fees, and a $0.9 million increase in contractors fees, which were partially offset by a $0.9 million decrease in recruiting fees.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7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3"/>
              </w:rPr>
              <w:t>$ 5,443</w:t>
            </w:r>
          </w:p>
        </w:tc>
        <w:tc>
          <w:tcPr>
            <w:tcW w:w="5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Technology expenses increased by $5.4 million, or 70%, for the year ended December 31, 2020 compared to the year ended December 31, 2019. The increase was primarily due to a $3.3 million increase in hosting costs to support our continued growth and increase in TPV and a $2.1 million increase in software licensing costs.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Occupancy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Occupancy</w:t>
            </w:r>
          </w:p>
        </w:tc>
        <w:tc>
          <w:tcPr>
            <w:tcW w:w="18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3,777</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Occupancy expense increased by $0.6 million, or 15%, for the year ended December 31, 2020 compared to the year ended December 31, 2019. The increase was primarily due to an increase in rent and related charges for an office space that we committed to add, prior to the enactment of shelter-in-place orders, as a result of the expected increase in the number of employees. With the increase of the number of our employees working remotely, we will continue to evaluate the need for additional office space.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and Amortization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640" w:type="dxa"/>
            <w:vAlign w:val="bottom"/>
            <w:vMerge w:val="restart"/>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3,080</w:t>
            </w: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6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Depreciation and amortization increased by $0.4 million, or 14%, for the year ended December 31, 2020 compared to the year ended December 31, 2019. The increase was primarily due to depreciation on fixed assets used to support continued headcount and business growth.</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31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7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Marketing and advertising expenses decreased by $0.4 million, or 20%, for the year ended December 31, 2020 compared to the year ended December 31, 2019. The decrease was primarily due to participation in fewer trade shows and conferences as a result of the COVID-19 pandemic. We continue to monitor the pandemic situation and if authorities continue to loosen restrictions related to COVID-19, we expect these expenses to increase.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vMerge w:val="restart"/>
          </w:tcPr>
          <w:p>
            <w:pPr>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29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9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7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(1,857)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Other operating expenses decreased by $1.9 million, or 26%, for the year ended December 31, 2020 compared to the year ended December 31, 2019. The decrease was primarily due to reduced travel and office related expenses as a result of the shelter-in-place orders instituted in response to the spread of COVID-19. In March 2020, we closed our offices and ceased all employee business travel. These actions reduced employee travel and related expenses by $2.2 million and reduced office meals by $1.2 million during the year ended December 31, 2020 compared to the year ended December 31, 2019. When shelter-in-place orders are lifted, and we open our offices and allow business travel, we expect these expenses to increase. The decrease was partially offset by an increase in various state and local taxes of $0.8 million, an increase in charitable donations of $0.5 million and an increase in other miscellaneous operating expenses of $0.2 million.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solutions are helping to power market disruptors, with scalable card issuing programs that have experienced rapid adoption. The outperformance of innovators such as Square has underpinned our rapid growth, while we add new innovators to our Platform.</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an indicator of the strength of our relationships, we achieved dollar-based net revenue retention</w:t>
      </w:r>
      <w:r>
        <w:rPr>
          <w:rFonts w:ascii="Arial" w:cs="Arial" w:eastAsia="Arial" w:hAnsi="Arial"/>
          <w:sz w:val="15"/>
          <w:szCs w:val="15"/>
          <w:color w:val="auto"/>
        </w:rPr>
        <w:t>3</w:t>
      </w:r>
      <w:r>
        <w:rPr>
          <w:rFonts w:ascii="Arial" w:cs="Arial" w:eastAsia="Arial" w:hAnsi="Arial"/>
          <w:sz w:val="18"/>
          <w:szCs w:val="18"/>
          <w:color w:val="auto"/>
        </w:rPr>
        <w:t xml:space="preserve"> of over 200% for each of the years ended December 31, 2019 and 2020.</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we continue to onboard new Customers and they begin to increase their processing volumes on our Platform, we expect meaningful processing volume and net revenue diversification over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2020, we generated 60% and 70% of our net revenue from our largest Customer,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jc w:val="both"/>
        <w:ind w:left="440" w:right="20" w:hanging="324"/>
        <w:spacing w:after="0" w:line="264" w:lineRule="auto"/>
        <w:tabs>
          <w:tab w:leader="none" w:pos="440" w:val="left"/>
        </w:tabs>
        <w:numPr>
          <w:ilvl w:val="0"/>
          <w:numId w:val="40"/>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processing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December 31, 2020,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Jun 30,</w:t>
            </w:r>
          </w:p>
        </w:tc>
        <w:tc>
          <w:tcPr>
            <w:tcW w:w="8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8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Dec 31,</w:t>
            </w: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8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Sep 30,</w:t>
            </w:r>
          </w:p>
        </w:tc>
        <w:tc>
          <w:tcPr>
            <w:tcW w:w="6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r>
      <w:tr>
        <w:trPr>
          <w:trHeight w:val="171"/>
        </w:trPr>
        <w:tc>
          <w:tcPr>
            <w:tcW w:w="3360" w:type="dxa"/>
            <w:vAlign w:val="bottom"/>
          </w:tcPr>
          <w:p>
            <w:pPr>
              <w:spacing w:after="0"/>
              <w:rPr>
                <w:sz w:val="14"/>
                <w:szCs w:val="14"/>
                <w:color w:val="auto"/>
              </w:rPr>
            </w:pPr>
          </w:p>
        </w:tc>
        <w:tc>
          <w:tcPr>
            <w:tcW w:w="1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7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3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$ 25,705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$ 35,572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$ 39,184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$ 42,806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$ 48,388</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$69,402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$ 84,306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$ 88,196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Costs of revenue</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25,297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29,826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41,785</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49,024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51,750</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27,617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36,446</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14,610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30,493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24,982</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25,901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38,231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2,038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2,502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2,137</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2,283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2,132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2,001</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2,439</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2,660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4,708</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824</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951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1,087</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1,080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1,100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1,070</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w:t>
            </w:r>
          </w:p>
        </w:tc>
      </w:tr>
      <w:tr>
        <w:trPr>
          <w:trHeight w:val="216"/>
        </w:trPr>
        <w:tc>
          <w:tcPr>
            <w:tcW w:w="33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310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454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1,098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343</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371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618</w:t>
            </w:r>
          </w:p>
        </w:tc>
      </w:tr>
      <w:tr>
        <w:trPr>
          <w:trHeight w:val="216"/>
        </w:trPr>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1,414</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1,526</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1,287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w:t>
            </w:r>
          </w:p>
        </w:tc>
      </w:tr>
      <w:tr>
        <w:trPr>
          <w:trHeight w:val="230"/>
        </w:trPr>
        <w:tc>
          <w:tcPr>
            <w:tcW w:w="3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49,551</w:t>
            </w:r>
          </w:p>
        </w:tc>
        <w:tc>
          <w:tcPr>
            <w:tcW w:w="12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(11,721)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(22,342)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(10,695)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(14,105)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(15,013)</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(6,797)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496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(83)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(14,325)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(14,518)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(7,092)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(12,255)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(13,743)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3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(11,879)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(10,115)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(14,360)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(14,530)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 (7,107)</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(13,760)</w:t>
            </w:r>
          </w:p>
        </w:tc>
      </w:tr>
      <w:tr>
        <w:trPr>
          <w:trHeight w:val="20"/>
        </w:trPr>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5"/>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Jun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88"/>
              <w:spacing w:after="0" w:line="119" w:lineRule="exact"/>
              <w:rPr>
                <w:sz w:val="20"/>
                <w:szCs w:val="20"/>
                <w:color w:val="auto"/>
              </w:rPr>
            </w:pPr>
            <w:r>
              <w:rPr>
                <w:rFonts w:ascii="Arial" w:cs="Arial" w:eastAsia="Arial" w:hAnsi="Arial"/>
                <w:sz w:val="13"/>
                <w:szCs w:val="13"/>
                <w:b w:val="1"/>
                <w:bCs w:val="1"/>
                <w:color w:val="auto"/>
                <w:w w:val="87"/>
              </w:rPr>
              <w:t>Sep 30,</w:t>
            </w:r>
          </w:p>
        </w:tc>
        <w:tc>
          <w:tcPr>
            <w:tcW w:w="820" w:type="dxa"/>
            <w:vAlign w:val="bottom"/>
            <w:gridSpan w:val="5"/>
          </w:tcPr>
          <w:p>
            <w:pPr>
              <w:jc w:val="right"/>
              <w:ind w:right="360"/>
              <w:spacing w:after="0" w:line="119" w:lineRule="exact"/>
              <w:rPr>
                <w:sz w:val="20"/>
                <w:szCs w:val="20"/>
                <w:color w:val="auto"/>
              </w:rPr>
            </w:pPr>
            <w:r>
              <w:rPr>
                <w:rFonts w:ascii="Arial" w:cs="Arial" w:eastAsia="Arial" w:hAnsi="Arial"/>
                <w:sz w:val="13"/>
                <w:szCs w:val="13"/>
                <w:b w:val="1"/>
                <w:bCs w:val="1"/>
                <w:color w:val="auto"/>
                <w:w w:val="96"/>
              </w:rPr>
              <w:t>Dec 31,</w:t>
            </w:r>
          </w:p>
        </w:tc>
        <w:tc>
          <w:tcPr>
            <w:tcW w:w="740" w:type="dxa"/>
            <w:vAlign w:val="bottom"/>
            <w:gridSpan w:val="4"/>
          </w:tcPr>
          <w:p>
            <w:pPr>
              <w:jc w:val="right"/>
              <w:ind w:right="26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40" w:type="dxa"/>
            <w:vAlign w:val="bottom"/>
            <w:gridSpan w:val="4"/>
          </w:tcPr>
          <w:p>
            <w:pPr>
              <w:jc w:val="right"/>
              <w:ind w:right="213"/>
              <w:spacing w:after="0" w:line="119" w:lineRule="exact"/>
              <w:rPr>
                <w:sz w:val="20"/>
                <w:szCs w:val="20"/>
                <w:color w:val="auto"/>
              </w:rPr>
            </w:pPr>
            <w:r>
              <w:rPr>
                <w:rFonts w:ascii="Arial" w:cs="Arial" w:eastAsia="Arial" w:hAnsi="Arial"/>
                <w:sz w:val="13"/>
                <w:szCs w:val="13"/>
                <w:b w:val="1"/>
                <w:bCs w:val="1"/>
                <w:color w:val="auto"/>
                <w:w w:val="98"/>
              </w:rPr>
              <w:t>Jun 30,</w:t>
            </w:r>
          </w:p>
        </w:tc>
        <w:tc>
          <w:tcPr>
            <w:tcW w:w="80" w:type="dxa"/>
            <w:vAlign w:val="bottom"/>
          </w:tcPr>
          <w:p>
            <w:pPr>
              <w:spacing w:after="0"/>
              <w:rPr>
                <w:sz w:val="10"/>
                <w:szCs w:val="10"/>
                <w:color w:val="auto"/>
              </w:rPr>
            </w:pPr>
          </w:p>
        </w:tc>
        <w:tc>
          <w:tcPr>
            <w:tcW w:w="60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100%</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100%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5"/>
              </w:rPr>
              <w:t>100%</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Costs of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60</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59</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40</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37</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4</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4</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2</w:t>
            </w:r>
          </w:p>
        </w:tc>
        <w:tc>
          <w:tcPr>
            <w:tcW w:w="68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r>
      <w:tr>
        <w:trPr>
          <w:trHeight w:val="216"/>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2</w:t>
            </w:r>
          </w:p>
        </w:tc>
        <w:tc>
          <w:tcPr>
            <w:tcW w:w="6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r>
      <w:tr>
        <w:trPr>
          <w:trHeight w:val="230"/>
        </w:trPr>
        <w:tc>
          <w:tcPr>
            <w:tcW w:w="28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3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34"/>
        </w:trPr>
        <w:tc>
          <w:tcPr>
            <w:tcW w:w="5180" w:type="dxa"/>
            <w:vAlign w:val="bottom"/>
            <w:gridSpan w:val="10"/>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1"/>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19"/>
        </w:trPr>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90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60" w:type="dxa"/>
            <w:vAlign w:val="bottom"/>
            <w:gridSpan w:val="5"/>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Sep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48"/>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5"/>
          </w:tcPr>
          <w:p>
            <w:pPr>
              <w:jc w:val="right"/>
              <w:ind w:right="160"/>
              <w:spacing w:after="0" w:line="119" w:lineRule="exact"/>
              <w:rPr>
                <w:sz w:val="20"/>
                <w:szCs w:val="20"/>
                <w:color w:val="auto"/>
              </w:rPr>
            </w:pPr>
            <w:r>
              <w:rPr>
                <w:rFonts w:ascii="Arial" w:cs="Arial" w:eastAsia="Arial" w:hAnsi="Arial"/>
                <w:sz w:val="13"/>
                <w:szCs w:val="13"/>
                <w:b w:val="1"/>
                <w:bCs w:val="1"/>
                <w:color w:val="auto"/>
              </w:rPr>
              <w:t>Jun 30,</w:t>
            </w:r>
          </w:p>
        </w:tc>
        <w:tc>
          <w:tcPr>
            <w:tcW w:w="300" w:type="dxa"/>
            <w:vAlign w:val="bottom"/>
          </w:tcPr>
          <w:p>
            <w:pPr>
              <w:spacing w:after="0"/>
              <w:rPr>
                <w:sz w:val="10"/>
                <w:szCs w:val="10"/>
                <w:color w:val="auto"/>
              </w:rPr>
            </w:pPr>
          </w:p>
        </w:tc>
        <w:tc>
          <w:tcPr>
            <w:tcW w:w="960" w:type="dxa"/>
            <w:vAlign w:val="bottom"/>
            <w:gridSpan w:val="5"/>
          </w:tcPr>
          <w:p>
            <w:pPr>
              <w:jc w:val="right"/>
              <w:ind w:right="460"/>
              <w:spacing w:after="0" w:line="119"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56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r>
      <w:tr>
        <w:trPr>
          <w:trHeight w:val="171"/>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r>
      <w:tr>
        <w:trPr>
          <w:trHeight w:val="182"/>
        </w:trPr>
        <w:tc>
          <w:tcPr>
            <w:tcW w:w="2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Processing Volume (TPV) (in</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5,922</w:t>
            </w:r>
          </w:p>
        </w:tc>
        <w:tc>
          <w:tcPr>
            <w:tcW w:w="240" w:type="dxa"/>
            <w:vAlign w:val="bottom"/>
            <w:shd w:val="clear" w:color="auto" w:fill="CCEEFF"/>
          </w:tcPr>
          <w:p>
            <w:pPr>
              <w:spacing w:after="0"/>
              <w:rPr>
                <w:sz w:val="20"/>
                <w:szCs w:val="20"/>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7,105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8,996</w:t>
            </w:r>
          </w:p>
        </w:tc>
        <w:tc>
          <w:tcPr>
            <w:tcW w:w="200" w:type="dxa"/>
            <w:vAlign w:val="bottom"/>
            <w:shd w:val="clear" w:color="auto" w:fill="CCEEFF"/>
          </w:tcPr>
          <w:p>
            <w:pPr>
              <w:spacing w:after="0"/>
              <w:rPr>
                <w:sz w:val="20"/>
                <w:szCs w:val="20"/>
                <w:color w:val="auto"/>
              </w:rPr>
            </w:pPr>
          </w:p>
        </w:tc>
        <w:tc>
          <w:tcPr>
            <w:tcW w:w="7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$15,082</w:t>
            </w:r>
          </w:p>
        </w:tc>
        <w:tc>
          <w:tcPr>
            <w:tcW w:w="11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$ 17,250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18,748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loss (in thousands)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(21,846)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(10,115)</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8"/>
              <w:spacing w:after="0"/>
              <w:rPr>
                <w:sz w:val="20"/>
                <w:szCs w:val="20"/>
                <w:color w:val="auto"/>
              </w:rPr>
            </w:pPr>
            <w:r>
              <w:rPr>
                <w:rFonts w:ascii="Arial" w:cs="Arial" w:eastAsia="Arial" w:hAnsi="Arial"/>
                <w:sz w:val="18"/>
                <w:szCs w:val="18"/>
                <w:color w:val="auto"/>
                <w:w w:val="89"/>
              </w:rPr>
              <w:t>(14,360)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11"/>
              <w:spacing w:after="0"/>
              <w:rPr>
                <w:sz w:val="20"/>
                <w:szCs w:val="20"/>
                <w:color w:val="auto"/>
              </w:rPr>
            </w:pPr>
            <w:r>
              <w:rPr>
                <w:rFonts w:ascii="Arial" w:cs="Arial" w:eastAsia="Arial" w:hAnsi="Arial"/>
                <w:sz w:val="18"/>
                <w:szCs w:val="18"/>
                <w:color w:val="auto"/>
                <w:w w:val="89"/>
              </w:rPr>
              <w:t>(14,530)</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 (7,107)</w:t>
            </w:r>
          </w:p>
        </w:tc>
        <w:tc>
          <w:tcPr>
            <w:tcW w:w="1100" w:type="dxa"/>
            <w:vAlign w:val="bottom"/>
            <w:gridSpan w:val="5"/>
          </w:tcPr>
          <w:p>
            <w:pPr>
              <w:jc w:val="right"/>
              <w:ind w:right="30"/>
              <w:spacing w:after="0"/>
              <w:rPr>
                <w:sz w:val="20"/>
                <w:szCs w:val="20"/>
                <w:color w:val="auto"/>
              </w:rPr>
            </w:pPr>
            <w:r>
              <w:rPr>
                <w:rFonts w:ascii="Arial" w:cs="Arial" w:eastAsia="Arial" w:hAnsi="Arial"/>
                <w:sz w:val="18"/>
                <w:szCs w:val="18"/>
                <w:color w:val="auto"/>
              </w:rPr>
              <w:t>$(12,298)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(13,760)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Borders>
              <w:right w:val="single" w:sz="8" w:color="CCEEFF"/>
            </w:tcBorders>
            <w:gridSpan w:val="7"/>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90"/>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(8,325)</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8"/>
              <w:spacing w:after="0"/>
              <w:rPr>
                <w:sz w:val="20"/>
                <w:szCs w:val="20"/>
                <w:color w:val="auto"/>
              </w:rPr>
            </w:pPr>
            <w:r>
              <w:rPr>
                <w:rFonts w:ascii="Arial" w:cs="Arial" w:eastAsia="Arial" w:hAnsi="Arial"/>
                <w:sz w:val="18"/>
                <w:szCs w:val="18"/>
                <w:color w:val="auto"/>
              </w:rPr>
              <w:t>(9,789)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11"/>
              <w:spacing w:after="0"/>
              <w:rPr>
                <w:sz w:val="20"/>
                <w:szCs w:val="20"/>
                <w:color w:val="auto"/>
              </w:rPr>
            </w:pPr>
            <w:r>
              <w:rPr>
                <w:rFonts w:ascii="Arial" w:cs="Arial" w:eastAsia="Arial" w:hAnsi="Arial"/>
                <w:sz w:val="18"/>
                <w:szCs w:val="18"/>
                <w:color w:val="auto"/>
                <w:w w:val="89"/>
              </w:rPr>
              <w:t>(10,411)</w:t>
            </w: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 (3,029)</w:t>
            </w:r>
          </w:p>
        </w:tc>
        <w:tc>
          <w:tcPr>
            <w:tcW w:w="580" w:type="dxa"/>
            <w:vAlign w:val="bottom"/>
            <w:gridSpan w:val="2"/>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(2,624)</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4"/>
            <w:shd w:val="clear" w:color="auto" w:fill="CCEEFF"/>
          </w:tcPr>
          <w:p>
            <w:pPr>
              <w:jc w:val="right"/>
              <w:ind w:right="91"/>
              <w:spacing w:after="0"/>
              <w:rPr>
                <w:sz w:val="20"/>
                <w:szCs w:val="20"/>
                <w:color w:val="auto"/>
              </w:rPr>
            </w:pPr>
            <w:r>
              <w:rPr>
                <w:rFonts w:ascii="Arial" w:cs="Arial" w:eastAsia="Arial" w:hAnsi="Arial"/>
                <w:sz w:val="18"/>
                <w:szCs w:val="18"/>
                <w:color w:val="auto"/>
                <w:w w:val="89"/>
              </w:rPr>
              <w:t>(4)%</w:t>
            </w:r>
          </w:p>
        </w:tc>
        <w:tc>
          <w:tcPr>
            <w:tcW w:w="2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365"/>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138"/>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December 31, 2020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ind w:right="31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980" w:type="dxa"/>
            <w:vAlign w:val="bottom"/>
            <w:gridSpan w:val="2"/>
          </w:tcPr>
          <w:p>
            <w:pPr>
              <w:jc w:val="right"/>
              <w:ind w:right="45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880" w:type="dxa"/>
            <w:vAlign w:val="bottom"/>
            <w:gridSpan w:val="2"/>
          </w:tcPr>
          <w:p>
            <w:pPr>
              <w:jc w:val="right"/>
              <w:ind w:right="330"/>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1080" w:type="dxa"/>
            <w:vAlign w:val="bottom"/>
            <w:gridSpan w:val="2"/>
          </w:tcPr>
          <w:p>
            <w:pPr>
              <w:jc w:val="right"/>
              <w:ind w:right="430"/>
              <w:spacing w:after="0" w:line="119" w:lineRule="exact"/>
              <w:rPr>
                <w:sz w:val="20"/>
                <w:szCs w:val="20"/>
                <w:color w:val="auto"/>
              </w:rPr>
            </w:pPr>
            <w:r>
              <w:rPr>
                <w:rFonts w:ascii="Arial" w:cs="Arial" w:eastAsia="Arial" w:hAnsi="Arial"/>
                <w:sz w:val="13"/>
                <w:szCs w:val="13"/>
                <w:b w:val="1"/>
                <w:bCs w:val="1"/>
                <w:color w:val="auto"/>
              </w:rPr>
              <w:t>Mar 31,</w:t>
            </w: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9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Sep 30,</w:t>
            </w:r>
          </w:p>
        </w:tc>
        <w:tc>
          <w:tcPr>
            <w:tcW w:w="100" w:type="dxa"/>
            <w:vAlign w:val="bottom"/>
          </w:tcPr>
          <w:p>
            <w:pPr>
              <w:spacing w:after="0"/>
              <w:rPr>
                <w:sz w:val="10"/>
                <w:szCs w:val="10"/>
                <w:color w:val="auto"/>
              </w:rPr>
            </w:pPr>
          </w:p>
        </w:tc>
        <w:tc>
          <w:tcPr>
            <w:tcW w:w="5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w w:val="92"/>
              </w:rPr>
              <w:t>Dec 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69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25,705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35,572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8"/>
              </w:rPr>
              <w:t>39,184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8"/>
              </w:rPr>
              <w:t>42,806</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$ 48,388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$69,402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84,306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88,196</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(11,879)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(21,846)</w:t>
            </w:r>
          </w:p>
        </w:tc>
        <w:tc>
          <w:tcPr>
            <w:tcW w:w="100" w:type="dxa"/>
            <w:vAlign w:val="bottom"/>
          </w:tcPr>
          <w:p>
            <w:pPr>
              <w:spacing w:after="0"/>
              <w:rPr>
                <w:sz w:val="18"/>
                <w:szCs w:val="18"/>
                <w:color w:val="auto"/>
              </w:rPr>
            </w:pPr>
          </w:p>
        </w:tc>
        <w:tc>
          <w:tcPr>
            <w:tcW w:w="980" w:type="dxa"/>
            <w:vAlign w:val="bottom"/>
            <w:gridSpan w:val="2"/>
          </w:tcPr>
          <w:p>
            <w:pPr>
              <w:jc w:val="right"/>
              <w:ind w:right="270"/>
              <w:spacing w:after="0"/>
              <w:rPr>
                <w:sz w:val="20"/>
                <w:szCs w:val="20"/>
                <w:color w:val="auto"/>
              </w:rPr>
            </w:pPr>
            <w:r>
              <w:rPr>
                <w:rFonts w:ascii="Arial" w:cs="Arial" w:eastAsia="Arial" w:hAnsi="Arial"/>
                <w:sz w:val="18"/>
                <w:szCs w:val="18"/>
                <w:color w:val="auto"/>
                <w:w w:val="89"/>
              </w:rPr>
              <w:t>(10,115)</w:t>
            </w:r>
          </w:p>
        </w:tc>
        <w:tc>
          <w:tcPr>
            <w:tcW w:w="10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(14,360)</w:t>
            </w:r>
          </w:p>
        </w:tc>
        <w:tc>
          <w:tcPr>
            <w:tcW w:w="1200" w:type="dxa"/>
            <w:vAlign w:val="bottom"/>
            <w:gridSpan w:val="3"/>
          </w:tcPr>
          <w:p>
            <w:pPr>
              <w:jc w:val="right"/>
              <w:ind w:right="270"/>
              <w:spacing w:after="0"/>
              <w:rPr>
                <w:sz w:val="20"/>
                <w:szCs w:val="20"/>
                <w:color w:val="auto"/>
              </w:rPr>
            </w:pPr>
            <w:r>
              <w:rPr>
                <w:rFonts w:ascii="Arial" w:cs="Arial" w:eastAsia="Arial" w:hAnsi="Arial"/>
                <w:sz w:val="18"/>
                <w:szCs w:val="18"/>
                <w:color w:val="auto"/>
              </w:rPr>
              <w:t>(14,530)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(12,298)</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(13,760)</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855</w:t>
            </w:r>
          </w:p>
        </w:tc>
        <w:tc>
          <w:tcPr>
            <w:tcW w:w="12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2"/>
        </w:trPr>
        <w:tc>
          <w:tcPr>
            <w:tcW w:w="2520" w:type="dxa"/>
            <w:vAlign w:val="bottom"/>
          </w:tcPr>
          <w:p>
            <w:pPr>
              <w:ind w:left="360"/>
              <w:spacing w:after="0" w:line="201" w:lineRule="exact"/>
              <w:rPr>
                <w:sz w:val="20"/>
                <w:szCs w:val="20"/>
                <w:color w:val="auto"/>
              </w:rPr>
            </w:pPr>
            <w:r>
              <w:rPr>
                <w:rFonts w:ascii="Arial" w:cs="Arial" w:eastAsia="Arial" w:hAnsi="Arial"/>
                <w:sz w:val="18"/>
                <w:szCs w:val="18"/>
                <w:color w:val="auto"/>
                <w:w w:val="97"/>
              </w:rPr>
              <w:t>Share-based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20"/>
                <w:szCs w:val="20"/>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3,461</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3,745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11,957</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219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(495)</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52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33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(9,789)</w:t>
            </w:r>
          </w:p>
        </w:tc>
        <w:tc>
          <w:tcPr>
            <w:tcW w:w="12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w w:val="99"/>
              </w:rPr>
              <w:t>$ (10,411)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 (3,029)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net revenue increased in each of the quarters presented and is generally highly correlated to TPV. Net revenue for the second quarter of 2020 increased significantly due to additional processing volume from on-demand delivery Customers as a result of the changing spending patterns caused by the COVID-19 pandemic. See the section titled “Impact of COVID-19” for further discussion.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processing volume and can fluctuate period to period due to the timing of Card Network incentives, as incentives arrangements are typically structured based on volume tiers.</w:t>
      </w:r>
    </w:p>
    <w:p>
      <w:pPr>
        <w:spacing w:after="0" w:line="170"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gross profit also increased in each of the quarters presented with a significant increase in the quarter ended June 30, 2020 due to the impact of the COVID-19 pandemic on some of our largest on-demand delivery Customers discussed above. Net revenue and gross profit were each negatively affected by service level agreement payments to Customers that totaled $2.8 million in the quarter ended March 31, 2019.</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Gross margin fluctuated across the quarters presented. The declining gross margin in the quarter ended June 30, 2020 was a function of increased processing volume and the Revenue Share arrangements with Customers that provide increased rates of Revenue Share when processing volumes reach specified volume tiers.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major component of our operating expenses is compensation and benefits. Over the last eight quarters we have invested heavily in product development, operations, customer delivery, and general and administrative functions, and as such, compensation and benefits expense has grown. In the second quarter of 2019 and the third and fourth quarters of 2020, compensation and benefits includes share-based compensation of $13.7 million,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$9.0 million and $6.8 million, respectively, related to secondary sales of common stock by our employees and former employees that were purchased by our existing stockholders. In the fourth quarter of 2020, as a result of our continuous expansion and growth, professional services expenses increased due to the hiring of additional contractors and consultants as well as full-time employees that resulted in an increase of recruiting fees. Our technology cost increased during the fourth quarter of 2020 as a result of the increase in our costs of cloud computing services and software licenses driven by increase in TPV. As we continue investing in our Platform infrastructure, we expect those costs to continue to increase. For the fourth quarter of 2019, marketing and advertising expenses increased due to our participation in Money20/20, an annual global fintech conference. We expect such increase in marketing and advertising expenses to occur every fourth quarter because of the conference, other than in the fourth quarter of 2020 during which, due to the COVID-19 pandemic, only a few virtual events were held. Our marketing and advertising expenses increased in the fourth quarter of 2020 as we invested in marketing and promotional campaigns to grow our brand and increase engagement with potential customers.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income (expense), net reflects interest income on our marketable securities portfolio, that commenced in the second quarter of 2019, interest expense from a bank loan that was paid off in the fourth quarter of 2019, an impairment loss on an equity method investment of $0.8 million in the fourth quarter of 2019, and the expense related to the change in the fair value of the redeemable convertible preferred stock warrant liabilities that significantly increased in the second, third, and fourth quarters of 2020 to reach $0.9 million in the fourth quarter of 2020.</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have experienced increases in TPV over the years ended December 31, 2019 and 2020 as we continue to add new Customers and as our existing Customers grow their businesses. Our adjusted EBITDA margin has generally improved across the periods demonstrating the leverage in our operating model as we have been able to grow revenue and gross profit at a faster pace than operating expenses. TPV, adjusted EBITDA, and adjusted EBITDA margin for the second, third, and fourth quarters of 2020 were positively affected by increased processing volumes from on-demand delivery Customers as a result of the changing spending patterns caused by the COVID-19 pandemic. See the section titled “Impact of COVID-19” for further discussion.</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Net Loss Per Share</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calculation of pro forma net loss per share attributable to common stockholders gives effect to the conversion of our redeemable convertible preferred stock using the if-converted method as though the conversion had occurred as of the beginning of the period or on the date of issuance, if later. The pro forma share amounts also give effect to the RSUs subject to both a service condition and a liquidity condition for which the service condition has been satisfied as of December 31, 2020 on a weighted-average basis.</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net loss used in computing unaudited pro forma basic net loss per share gives effect to losses resulting from the remeasurement of the redeemable convertible preferred stock warrant liabilities. The net loss used in computing unaudited pro forma basic net loss per share also gives effect to the share-based compensation expense associated with our RSUs. If a qualifying liquidity condition had occurred on December 31, 2020, the Company would have recognized approximately $9.8 million of cumulative share-based compensation on that date. Unaudited pro forma diluted net loss per share is the same as the unaudited pro forma basic net loss per share for the period as the impact of any potentially dilutive securities was anti-dilutive.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calculated unaudited pro forma basic and diluted net loss per share is as follows (in thousands, except share and per share amounts):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9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9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convertible preferred stock warrant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Share-based compensation expense for RSUs with vesting conditions contingent upon a liquidity condition</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(9,795)</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(55,542)</w:t>
            </w: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122,932,556</w:t>
            </w:r>
          </w:p>
        </w:tc>
      </w:tr>
      <w:tr>
        <w:trPr>
          <w:trHeight w:val="202"/>
        </w:trPr>
        <w:tc>
          <w:tcPr>
            <w:tcW w:w="9900" w:type="dxa"/>
            <w:vAlign w:val="bottom"/>
          </w:tcPr>
          <w:p>
            <w:pPr>
              <w:spacing w:after="0" w:line="201" w:lineRule="exact"/>
              <w:rPr>
                <w:sz w:val="20"/>
                <w:szCs w:val="20"/>
                <w:color w:val="auto"/>
              </w:rPr>
            </w:pPr>
            <w:r>
              <w:rPr>
                <w:rFonts w:ascii="Arial" w:cs="Arial" w:eastAsia="Arial" w:hAnsi="Arial"/>
                <w:sz w:val="18"/>
                <w:szCs w:val="18"/>
                <w:color w:val="auto"/>
              </w:rPr>
              <w:t>Pro forma adjustment for the automatic conversion of all outstanding shares of redeemable convertible preferred stock into</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shares of common stock</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346,203,754</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the vesting of RSUs with vesting conditions contingent upon a liquidity condition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223,856</w:t>
            </w:r>
          </w:p>
        </w:tc>
      </w:tr>
      <w:tr>
        <w:trPr>
          <w:trHeight w:val="209"/>
        </w:trPr>
        <w:tc>
          <w:tcPr>
            <w:tcW w:w="9900" w:type="dxa"/>
            <w:vAlign w:val="bottom"/>
          </w:tcPr>
          <w:p>
            <w:pPr>
              <w:spacing w:after="0"/>
              <w:rPr>
                <w:sz w:val="20"/>
                <w:szCs w:val="20"/>
                <w:color w:val="auto"/>
              </w:rPr>
            </w:pPr>
            <w:r>
              <w:rPr>
                <w:rFonts w:ascii="Arial" w:cs="Arial" w:eastAsia="Arial" w:hAnsi="Arial"/>
                <w:sz w:val="18"/>
                <w:szCs w:val="18"/>
                <w:color w:val="auto"/>
                <w:w w:val="97"/>
              </w:rPr>
              <w:t>Pro forma weighted-average shares used in computing pro forma net loss per share attributable to common stockholders, basic</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469,360,166</w:t>
            </w:r>
          </w:p>
        </w:tc>
      </w:tr>
      <w:tr>
        <w:trPr>
          <w:trHeight w:val="27"/>
        </w:trPr>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Since our inception through December 31, 2020, we have financed our operations primarily through private sales of equity securities for net proceeds of $422.1 million and, to a lesser extent, bank debt financing of $20.0 million. As of December 31, 2020, our principal sources of liquidity included cash, cash equivalents, and marketable securities totaling $370.3 million,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as reflected in our accumulated deficit. We expect to continue to incur operating losses for the foreseeable future.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8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$7.8 million in restricted cash. This restricted cash includes $6.3 million held at our Issuing Banks to provide the Issuing Bank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9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9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6"/>
          </w:tcPr>
          <w:p>
            <w:pPr>
              <w:jc w:val="right"/>
              <w:ind w:right="3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50,273</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(100,318)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(57,562)</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139,049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167,378</w:t>
            </w:r>
          </w:p>
        </w:tc>
      </w:tr>
      <w:tr>
        <w:trPr>
          <w:trHeight w:val="223"/>
        </w:trPr>
        <w:tc>
          <w:tcPr>
            <w:tcW w:w="90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160,089</w:t>
            </w:r>
          </w:p>
        </w:tc>
        <w:tc>
          <w:tcPr>
            <w:tcW w:w="12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Card Network and Issuing Bank fees, and employee-related expenditures.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16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2020, cash provided by operating activities was $50.3 million primarily due to our net loss of $47.7 million, adjusted for non-cash charges of $36.2 million and net cash inflows of $61.8 million provided by changes in our operating assets and liabilities. Non-cash charges primarily consisted of share-based compensation and depreciation and amortization of property and equipment. The changes in operating assets and liabilities were commensurate with the increased processing volume and activities of our business and primarily related to a $48.4 million increase in Revenue Share payable and a $35.0 million increase in accrued expenses and other current liabilities, partially offset by a $9.4 million increase in network incentives receivable, a $4.5 million increase in accounts receivable and a $3.0 million increase in settlements receivable.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property and equipment, and strategic investments of $5.6 million, partially offset by maturities of marketable securities of $433.6 million.</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2020 of $57.6 million was primarily attributable to purchases of marketable securities of $216.2 million and purchases of property and equipment of $2.4 million, partially offset by sales and maturities of marketable securities of $161.0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preferred stock, net of issuance costs, and $1.0 million in proceeds from the exercise of stock options, partially offset by the bank loan repayment of $5.0 million.</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2020 of $167.4 million was primarily the result of $166.9 million in net proceeds from the issuance of Series E-1 redeemable convertible preferred stock, net of issuance costs and $3.2 million in proceeds from the exercise of stock options, partially offset by the payment of deferred offering costs of $2.7 million.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3 to 5</w:t>
            </w: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1 year</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years</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than 5 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$12,823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$22,283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11,609</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1,478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5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280" w:type="dxa"/>
            <w:vAlign w:val="bottom"/>
            <w:gridSpan w:val="2"/>
            <w:shd w:val="clear" w:color="auto" w:fill="CCEEFF"/>
          </w:tcPr>
          <w:p>
            <w:pPr>
              <w:ind w:left="22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15,690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14,301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5,929</w:t>
            </w:r>
          </w:p>
        </w:tc>
        <w:tc>
          <w:tcPr>
            <w:tcW w:w="56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35,920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jc w:val="both"/>
        <w:ind w:left="660" w:right="20" w:hanging="544"/>
        <w:spacing w:after="0" w:line="278"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to certain service providers and Issuing Banks. These purchase obligations generally represent minimum commitments for cloud-computing services and Issuing Bank processing fees over the fixed, non-cancellable respective contract terms.</w:t>
      </w:r>
    </w:p>
    <w:p>
      <w:pPr>
        <w:spacing w:after="0" w:line="18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We had cash, cash equivalents, and marketable securities totaling $370.3 million as of December 31, 2020. Such amounts included cash deposits, money market funds, U.S. government securities, commercial paper, asset-backed securities, and corporate debt securities. The fair value of our cash, cash equivalents, and marketable securities would not be significantly affected by either an increase 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Most of our sales and operating expenses are denominated in U.S. dollars, and therefore our results of operations are not currently subject to significant foreign currency risk. During the year ended December 31, 2020, a hypothetical 10% change in foreign currency exchange rates applicable to our business would not have had a material impact on our consolidated financial statements.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all the periods presented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14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judgement.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Marqeta. In addition, we have considered the impact on our valuation estimates from secondary transactions and given weighting to such transactions in our common stock fair value estimates. We considered the facts and circumstances of each secondary transaction including the different buyers and sellers, transaction volume, timing relative to the valuation date, and whether the transaction involved investors with access to our financial information.</w:t>
      </w:r>
    </w:p>
    <w:p>
      <w:pPr>
        <w:spacing w:after="0" w:line="18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 Such estimates will not be necessary upon completion of this offering as we will be using the fair value of our publicly traded shares.</w:t>
      </w:r>
    </w:p>
    <w:p>
      <w:pPr>
        <w:spacing w:after="0" w:line="176"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certain stockholders acquired outstanding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stockholder, and the extent the sale price per share exceeds our estimated fair value per share. We recorded share-based compensation expense for the difference between the price paid and the estimated fair value on the date of the transaction of $14.8 million and $17.3 million during the years ended December 31, 2019 and 2020, respectively. Such amounts were recorded in compensation and benefits expense on the statements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or Klarna, modern card issuing helps move money to the payment card that Affirm or Klarna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Marqeta’s modern card issuing platform, or our Platform, empowers our Customers—which include businesses like Affirm, DoorDash, Instacart, and Klarna—to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103% for the year ended December 31, 2020 and our dollar-based net revenue retention of over 200% for each of the years ended December 31, 2019 and 2020.</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the Marqeta Platform processed $60.1 billion of TPV, up 177% from $21.7 billion in 2019. The full year 2020 TPV is less than 1% of the annual $6.7 trillion of transaction volume conducted through U.S. issuers in 2020,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9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$290.3 million for the years ended December 31, 2019 and 2020, respectively, an increase of 103%. We incurred net losses of $58.2 million and $47.7 million for the years ended December 31, 2019 and 2020, respectively, a decrease of 18%.</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projects electronic payments will represent 46% of the total global transaction volume by 2025, up from 31% in 2017. We believe that the COVID-19 pandemic has accelerated these shifts to digital payments. Indeed, Bain &amp; Company estimates that because of the effects of the COVID-19 pandemic, the percentage of global digital transaction volumes in 2025 will increase from 57% to 67%. According to McKinsey, a half-decade of change has happened in a few months as a result of the COVID-19 pandemic,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TPV across the Marqeta Platform.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According to McKinsey, 60% of global digital commerce is expected to be made up of alternative payments by 2023. With this evolution, software companies are partnering with payments companies to provide simple, scalable, and configurable payment services across multiple geographies to meet their end users’ needs.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the COVID-19 pandemic,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8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1371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 card</w:t>
      </w:r>
      <w:r>
        <w:rPr>
          <w:rFonts w:ascii="Arial" w:cs="Arial" w:eastAsia="Arial" w:hAnsi="Arial"/>
          <w:sz w:val="18"/>
          <w:szCs w:val="18"/>
          <w:i w:val="1"/>
          <w:iCs w:val="1"/>
          <w:color w:val="auto"/>
        </w:rPr>
        <w:t xml:space="preserve"> </w:t>
      </w:r>
      <w:r>
        <w:rPr>
          <w:rFonts w:ascii="Arial" w:cs="Arial" w:eastAsia="Arial" w:hAnsi="Arial"/>
          <w:sz w:val="18"/>
          <w:szCs w:val="18"/>
          <w:color w:val="auto"/>
        </w:rPr>
        <w:t>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right="20" w:firstLine="551"/>
        <w:spacing w:after="0" w:line="259" w:lineRule="auto"/>
        <w:rPr>
          <w:sz w:val="20"/>
          <w:szCs w:val="20"/>
          <w:color w:val="auto"/>
        </w:rPr>
      </w:pPr>
      <w:r>
        <w:rPr>
          <w:rFonts w:ascii="Arial" w:cs="Arial" w:eastAsia="Arial" w:hAnsi="Arial"/>
          <w:sz w:val="18"/>
          <w:szCs w:val="18"/>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processing platform that overcomes legacy technology constraints while also being able to integrate seamlessly with Issuing Banks and Card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183515</wp:posOffset>
            </wp:positionV>
            <wp:extent cx="5186045" cy="2125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 control and configurability, and with the highest standards of reliability and security. Our Platform is designed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4085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 developer-friendly user experiences. We provide direct integrations with the Card Networks, including Visa, Mastercard, and PULSE, which is part of the Discover Global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63"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 confidence.</w:t>
      </w:r>
      <w:r>
        <w:rPr>
          <w:rFonts w:ascii="Arial" w:cs="Arial" w:eastAsia="Arial" w:hAnsi="Arial"/>
          <w:sz w:val="18"/>
          <w:szCs w:val="18"/>
          <w:i w:val="1"/>
          <w:iCs w:val="1"/>
          <w:color w:val="auto"/>
        </w:rPr>
        <w:t xml:space="preserve"> </w:t>
      </w:r>
      <w:r>
        <w:rPr>
          <w:rFonts w:ascii="Arial" w:cs="Arial" w:eastAsia="Arial" w:hAnsi="Arial"/>
          <w:sz w:val="18"/>
          <w:szCs w:val="18"/>
          <w:color w:val="auto"/>
        </w:rPr>
        <w:t>As a global platform built on a single codebase to support our Customers worldwide, we have a build-once, deploy-anywhere model, offering seamless integration with global and local Card Networks. Our cloud-based solution is designed for high volumes as evidenced by our rapid TPV growth from $1.9 billion in 2017 to $60.1 billion in 2020 and reliable performance with 99.995% uptime in 2020. Our Customers can create and deploy new card programs in days, not months or years.</w:t>
      </w:r>
    </w:p>
    <w:p>
      <w:pPr>
        <w:spacing w:after="0" w:line="80" w:lineRule="exact"/>
        <w:rPr>
          <w:sz w:val="20"/>
          <w:szCs w:val="20"/>
          <w:color w:val="auto"/>
        </w:rPr>
      </w:pPr>
    </w:p>
    <w:p>
      <w:pPr>
        <w:jc w:val="both"/>
        <w:ind w:left="440" w:right="20"/>
        <w:spacing w:after="0" w:line="255"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w:t>
      </w:r>
    </w:p>
    <w:p>
      <w:pPr>
        <w:spacing w:after="0" w:line="3" w:lineRule="exact"/>
        <w:rPr>
          <w:sz w:val="20"/>
          <w:szCs w:val="20"/>
          <w:color w:val="auto"/>
        </w:rPr>
      </w:pPr>
    </w:p>
    <w:p>
      <w:pPr>
        <w:jc w:val="both"/>
        <w:ind w:left="440" w:right="20"/>
        <w:spacing w:after="0" w:line="255" w:lineRule="auto"/>
        <w:rPr>
          <w:sz w:val="20"/>
          <w:szCs w:val="20"/>
          <w:color w:val="auto"/>
        </w:rPr>
      </w:pPr>
      <w:r>
        <w:rPr>
          <w:rFonts w:ascii="Arial" w:cs="Arial" w:eastAsia="Arial" w:hAnsi="Arial"/>
          <w:sz w:val="18"/>
          <w:szCs w:val="18"/>
          <w:color w:val="auto"/>
        </w:rPr>
        <w:t>solve complex payment needs. Developers choose from hundreds of our open API endpoints to easily enable custom features such as spend, authorization, and issuing controls, JIT Funding, and application tools that are PCI compliant, allowing maximum configurability to meet their business needs.</w:t>
      </w:r>
    </w:p>
    <w:p>
      <w:pPr>
        <w:spacing w:after="0" w:line="82"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 controls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to operate with unmatched speed and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spacing w:after="0" w:line="257" w:lineRule="auto"/>
        <w:rPr>
          <w:sz w:val="20"/>
          <w:szCs w:val="20"/>
          <w:color w:val="auto"/>
        </w:rPr>
      </w:pPr>
      <w:r>
        <w:rPr>
          <w:rFonts w:ascii="Arial" w:cs="Arial" w:eastAsia="Arial" w:hAnsi="Arial"/>
          <w:sz w:val="18"/>
          <w:szCs w:val="18"/>
          <w:color w:val="auto"/>
        </w:rPr>
        <w:t>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 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8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processing volume spikes.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3257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949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right="20" w:firstLine="551"/>
        <w:spacing w:after="0" w:line="263" w:lineRule="auto"/>
        <w:rPr>
          <w:sz w:val="20"/>
          <w:szCs w:val="20"/>
          <w:color w:val="auto"/>
        </w:rPr>
      </w:pPr>
      <w:r>
        <w:rPr>
          <w:rFonts w:ascii="Arial" w:cs="Arial" w:eastAsia="Arial" w:hAnsi="Arial"/>
          <w:sz w:val="18"/>
          <w:szCs w:val="18"/>
          <w:color w:val="auto"/>
        </w:rPr>
        <w:t>We enable our Customers to issue physical, virtual, and tokenized cards. With approximately 275 million cards issued through the Marqeta Platform as of December 31, 2020, across a deep and varied Customer base, we have significant industry experience supporting card programs of multiple types and sizes. We offer fulfillment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76"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79"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 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79"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develop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money they earned is reflected in their account balance, they can immediately spend that money through their Square Card—without waiting 1-2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promotions to its customers.</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5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Configurable spend controls: </w:t>
      </w:r>
      <w:r>
        <w:rPr>
          <w:rFonts w:ascii="Arial" w:cs="Arial" w:eastAsia="Arial" w:hAnsi="Arial"/>
          <w:sz w:val="17"/>
          <w:szCs w:val="17"/>
          <w:color w:val="auto"/>
        </w:rPr>
        <w:t>Customers can reduce fraud by limiting where and how their end users can transact. Transactions can be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custom rules configured through the Marqeta Platform, 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134620</wp:posOffset>
            </wp:positionV>
            <wp:extent cx="4826000" cy="31629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260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For example, when Instacart shoppers use a physical Marqeta card at the point-of-sale to purchase groceries at retail locations, Instacart can leverage our JIT Funding with each card maintaining a zero-dollar balance until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color w:val="auto"/>
        </w:rPr>
        <w:t>the card is used. Upon transaction initiation, transactions flow to Marqeta for validation. Instacart uses our Platform’s JIT Funding capabilities to combine Marqeta’s inherent validation checks and data insights with Instacart’s proprietary data inputs such as merchant checks, whether the Instacart shopper is on-shift, expected transaction amount, and merchant location, to further validate transactions. Once all validations are confirmed, the Marqeta Platform automatically sends an authorization message to the merchant through the Card Network, and then moves funds from the funding source into the appropriate account to settle the transaction. By configuring these transaction validation parameters using the data provided by the Marqeta Platform, Instacart can ensure a seamless checkout process and significantly reduce the likelihood of fraud.</w:t>
      </w:r>
    </w:p>
    <w:p>
      <w:pPr>
        <w:spacing w:after="0" w:line="56" w:lineRule="exact"/>
        <w:rPr>
          <w:sz w:val="20"/>
          <w:szCs w:val="20"/>
          <w:color w:val="auto"/>
        </w:rPr>
      </w:pPr>
    </w:p>
    <w:p>
      <w:pPr>
        <w:jc w:val="both"/>
        <w:ind w:left="440"/>
        <w:spacing w:after="0" w:line="289" w:lineRule="auto"/>
        <w:rPr>
          <w:sz w:val="20"/>
          <w:szCs w:val="20"/>
          <w:color w:val="auto"/>
        </w:rPr>
      </w:pPr>
      <w:r>
        <w:rPr>
          <w:rFonts w:ascii="Arial" w:cs="Arial" w:eastAsia="Arial" w:hAnsi="Arial"/>
          <w:sz w:val="16"/>
          <w:szCs w:val="16"/>
          <w:i w:val="1"/>
          <w:iCs w:val="1"/>
          <w:color w:val="auto"/>
        </w:rPr>
        <w:t xml:space="preserve">Real-time notifications: </w:t>
      </w:r>
      <w:r>
        <w:rPr>
          <w:rFonts w:ascii="Arial" w:cs="Arial" w:eastAsia="Arial" w:hAnsi="Arial"/>
          <w:sz w:val="16"/>
          <w:szCs w:val="16"/>
          <w:color w:val="auto"/>
        </w:rPr>
        <w:t>Our Platform delivers rich functionality built around our core capabilities in issuing and processing. Customers can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 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5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187960</wp:posOffset>
            </wp:positionV>
            <wp:extent cx="42862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8625" cy="20574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428625"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8625" cy="2654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91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351155"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76"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Reduce and mitigate fraud: </w:t>
      </w:r>
      <w:r>
        <w:rPr>
          <w:rFonts w:ascii="Arial" w:cs="Arial" w:eastAsia="Arial" w:hAnsi="Arial"/>
          <w:sz w:val="16"/>
          <w:szCs w:val="16"/>
          <w:color w:val="auto"/>
        </w:rPr>
        <w:t>We offer unique functionality to help card issuers combat fraud. Using Marqeta’s powerful authorization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decisioning engine, Customers can configure rules using a variety of inputs that approve or decline transactions based on real-time and dynamic parameters. This along with our KYC, 3D Secure, and dispute management services provide a multi-layer security framework, helping our Customers detect and prevent unauthorized, fraudulent activities, while empowering them to create frictionless experiences for their customers.</w:t>
      </w:r>
    </w:p>
    <w:p>
      <w:pPr>
        <w:spacing w:after="0" w:line="49"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76"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5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14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Our applications are integrated into some of the largest global innovators. We help Klarna improve shopping experiences as they offer payment, social shopping, and personal financing services to over 250,000 merchants and 90 million consumers. With Marqeta, Klarna is able to offer consumers alternative ways to pay with its Pay Later offering by instantly issuing a one-time-use card at checkout. Our Platform enables Klarna to both influence the transaction and generate incremental revenue. Using the applications on the Marqeta Platform, Klarna’s developers use our private sandbox to test and launch programs with an accelerated time-to-market, while the breadth and simplicity of our APIs enables Klarna to make modifications and iterate rapidly once launched. The data insights offered by our Platform enable Klarna to execute targeted promotions to its customers and manage cases and chargebacks autonomously.</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4</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processing volume,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5"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Banks provide that we receive 100% of the Interchange Fees for processing our Customers’ card transactions. Our Customer contracts typically include provisions under which we share a portion of Interchange Fees with our Customers, referred to as “Revenue Share.” As Customers increase processing volumes on our Platform, they may earn an increased percentage of Revenue Share. Sharing an increased percentage of Interchange Fees with our Customers aligns our interests with our Customers’ growth and builds deeper customer relationships.</w:t>
      </w:r>
    </w:p>
    <w:p>
      <w:pPr>
        <w:spacing w:after="0" w:line="17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processing volume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Platform enables new and existing Customers to create innovative and configurable card issuing programs and to increase their processing volumes. Additionally, as we expand our use cases, product offerings, and global footprint, we help our Customers expand into new verticals, programs, markets, and geographies. We have experienced significant success with this strategy to date. We achieved year-over-year net revenue growth of 103% for the year ended December 31, 2020 and dollar-based net revenue retention of over 200% for each of the years ended December 31, 2019 and 2020.</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i w:val="1"/>
          <w:iCs w:val="1"/>
          <w:color w:val="auto"/>
        </w:rPr>
        <w:t xml:space="preserve">Enduring Customer Relationships: </w:t>
      </w:r>
      <w:r>
        <w:rPr>
          <w:rFonts w:ascii="Arial" w:cs="Arial" w:eastAsia="Arial" w:hAnsi="Arial"/>
          <w:sz w:val="16"/>
          <w:szCs w:val="16"/>
          <w:color w:val="auto"/>
        </w:rPr>
        <w:t>Our dollar-based net revenue retention was 200% for each of the years ended December 31, 2019 and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illustrating the 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b w:val="1"/>
          <w:bCs w:val="1"/>
          <w:i w:val="1"/>
          <w:iCs w:val="1"/>
          <w:color w:val="auto"/>
        </w:rPr>
        <w:t xml:space="preserve">People-centric Culture and Values: </w:t>
      </w:r>
      <w:r>
        <w:rPr>
          <w:rFonts w:ascii="Arial" w:cs="Arial" w:eastAsia="Arial" w:hAnsi="Arial"/>
          <w:sz w:val="17"/>
          <w:szCs w:val="17"/>
          <w:color w:val="auto"/>
        </w:rPr>
        <w:t>Nothing is more powerful than a unified team focused on collective results. We believe our culture of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7"/>
          <w:szCs w:val="17"/>
          <w:i w:val="1"/>
          <w:iCs w:val="1"/>
          <w:color w:val="auto"/>
        </w:rPr>
        <w:t>building innovative products and serving their customers</w:t>
      </w:r>
      <w:r>
        <w:rPr>
          <w:rFonts w:ascii="Arial" w:cs="Arial" w:eastAsia="Arial" w:hAnsi="Arial"/>
          <w:sz w:val="17"/>
          <w:szCs w:val="17"/>
          <w:color w:val="auto"/>
        </w:rPr>
        <w:t>. We also believe our culture helps us hire and retain best-in-class talent. We believe we have created an environment where everyone belongs, and employees are empowered to do the best work of their lives.</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believe the opportunity within payments and modern card issuing is tremendous. Euromonitor projects that global money movement will exceed $74 trillion in 2021, representing approximately 4 trillion individual payment transactions. The Nilson Report estimates that in 2019, approximately one-tenth of these transactions was carried out across global network cards, representing approximately $30 trillion of value exchanged. In 2020, the Marqeta Platform processed $60.1 billion of volume. This is less than 1% of the annual $6.7 trillion of transaction volume conducted through U.S. issuers in 2020, as estimated by The Nilson Report. We believe that our share of this massive opportunity will continue to increase due to our unique Platform, competitive advantages, and a strong culture of innovation.</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transaction volumes today. Based on the Edgar Dunn study, these new verticals represented over $2 trillion of card transaction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on our Platform and TPV both rapidly grow. Today, the top 20 U.S. issuers support the processing of more than $4.5 trillion in annual transaction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Grow With Our Existing Customers. </w:t>
      </w:r>
      <w:r>
        <w:rPr>
          <w:rFonts w:ascii="Arial" w:cs="Arial" w:eastAsia="Arial" w:hAnsi="Arial"/>
          <w:sz w:val="18"/>
          <w:szCs w:val="18"/>
          <w:color w:val="auto"/>
        </w:rPr>
        <w:t>Our current Customers include some of today’s leading commerce disruptors, digital banks, tech giants, and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institutions. Many of these Customers are experiencing rapid growth on our Platform. We participate in our Customers’ growth alongside them because as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Customers’ businesses scale and their processing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5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Onboard New Customers. </w:t>
      </w:r>
      <w:r>
        <w:rPr>
          <w:rFonts w:ascii="Arial" w:cs="Arial" w:eastAsia="Arial" w:hAnsi="Arial"/>
          <w:sz w:val="17"/>
          <w:szCs w:val="17"/>
          <w:color w:val="auto"/>
        </w:rPr>
        <w:t>We believe our opportunity to attract new Customers to our Platform is massive. Market shifts towards digitization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for modern card issuing and transaction processing is increasingly becoming a necessity for a greater number and variety of businesses globally. We intend to solidify our reach in existing categories and expand to new use cases and industry verticals. Our sales teams focus on 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6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are currently certified to operate in 36 countries across North America, Europe, and Asia-Pacific and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our international expansion in the future. Because our 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8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Develop New Products and Services. </w:t>
      </w:r>
      <w:r>
        <w:rPr>
          <w:rFonts w:ascii="Arial" w:cs="Arial" w:eastAsia="Arial" w:hAnsi="Arial"/>
          <w:sz w:val="17"/>
          <w:szCs w:val="17"/>
          <w:color w:val="auto"/>
        </w:rPr>
        <w:t>Our closely integrated relationships with our Customers and deep insight into our Customers’ transaction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We also intend to build out full credit servicing capabilities that we believe will unlock significant market and customer opportunities.</w:t>
      </w:r>
    </w:p>
    <w:p>
      <w:pPr>
        <w:spacing w:after="0" w:line="6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Everyone Belongs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368300" cy="403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3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Build One Marqeta</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368300"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do what’s right for all of us, not one of us. We succeed together. We center our products and services around openness, accessibility, and simplicity. Our relationships are with partners who align with our values of trust, transparency, and inclusiveness.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Connect the Customer</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68300" cy="377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3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 Innovation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368300" cy="386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 Results</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368300" cy="394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83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keep it simple and find a solution. We act like owners and deliver the best outcome for the Customer. We are reliable and consistent.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First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360045" cy="386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00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Cares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360045" cy="3600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donor-advised fund that we believe represented a fair market value of approximately 40,000 shares. Finally, we are also partnering with Pledge 1%, an advisory non-profit organization that assists companies in donating to charitable causes.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We had over 130 and over 160 Customers as of December 31, 2019 and 2020, respectively. Currently, we provide solutions in the following verticals:</w:t>
      </w:r>
    </w:p>
    <w:p>
      <w:pPr>
        <w:spacing w:after="0" w:line="89"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540" w:hanging="223"/>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Large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Square</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On April 18, 2016, we entered into a master services agreement with Square, subsequently amended, which provides for the commercial terms of our relationship with Square. Pursuant to the terms of the agreement, we have agreed to manage Square’s Square Card and Cash App card issuing programs. Under the agreement to manage these card programs, we agree to share with Square a portion of the net interchange revenue that we earn from processing the volume of these programs. The Revenue Share provisions include increased rates of Revenue Share when processing volumes reach specified volume tiers. Additionally, the Company generates revenue from other processing services under the agreement. In addition, on March 13, 2021, and as specified in our agreement with Square, we granted Square a warrant to purchase up to 1,100,000 shares of our common stock at an exercise price of $0.01 per share, which is exercisable upon attaining certain milestones. The current term of our agreement with Square for Cash App expires in March 2024, the current term of our agreement with Square for Square Card expires in December 2024, and each agreement automatically renews thereafter for successive one-year periods, unless terminated earlier by either party. Either we or Square may terminate the master services agreement under certain specified circumstances, including upon a material breach. The agreement also provides for certain other terms, including representations and warranties of the parties, intellectual property rights, data ownership and security, limitations on liability, confidentiality and indemnification rights, and other covenants.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171"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Issuing Banks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Sutton Bank</w:t>
      </w:r>
    </w:p>
    <w:p>
      <w:pPr>
        <w:spacing w:after="0" w:line="117"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On April 1, 2016, we entered into a prepaid card program manager agreement with Sutton Bank. Under the terms of the agreement, Sutton Bank settles payment transactions for us and provides prepaid card and other related services to us, including the issuance of cards for approved card programs. The agreement provides that we pay Sutton Bank a fee based on a percentage of the value of transactions processed. Under this agreement we are entitled to receive 100% of the Interchange Fees for processing our Customers’ card transactions. The agreement also provides for the payment of termination fees, including fees and costs to Sutton Bank, in the case of early termination by us. The current term of the agreement expires in 2027, after which it automatically renews on the same terms and conditions for a two-year renewal term, unless either party provides written notice of its intent not to renew at least 180 days prior to the expiration of the then-current term. Either we or Sutton Bank may terminate the agreement under certain specified circumstances, including if the other party commits a material breach that is not cured within 30 days.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Card Networks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PULSE, which is part of the Discover Global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Network. Additionally, we partner with Card Networks to develop our processing capabilities in international locations as we expand globally.</w:t>
      </w:r>
    </w:p>
    <w:p>
      <w:pPr>
        <w:spacing w:after="0" w:line="23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Mastercard</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2020, we entered into a strategic relationship agreement with Mastercard. We have also entered into a number of subsequent arrangements with Mastercard, including certain brand agreements. Under these agreements, we have agreed to cooperate with Mastercard on a number of initiatives, including international expansion, product, marketing and business development collaboration. The contracts provide Marqeta with tiered incentives based on the processing volume of our Customers’ transactions routed through Mastercard and its affiliated networks. The current term of the strategic relationship agreement expires in 2028 or at an earlier date if Marqeta achieves a certain processing volume milestone through the Mastercard network. Either party may terminate the agreements under specified circumstances, including upon a material breach that remains uncured for a specified period of time.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Visa</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2017, we entered into a strategic alliance framework agreement with Visa, subsequently amended. We have also entered into a number of subsequent arrangements with Visa, as governed by the strategic alliance framework agreement, including a service evaluation agreement and certain brand agreements. Under these agreements, we have agreed to cooperate with Visa on a number of initiatives, including international expansion, product, marketing and business development collaboration. The contracts provide Marqeta with tiered incentives based on the processing volume of our Customers’ transactions routed through Visa and its affiliated networks. The current term of the strategic alliance framework agreement expires in 2022 and automatically renews annually thereafter. Either party may terminate the agreements under specified circumstances, including upon a material breach that remains uncured for a specified period of time. Visa may also elect to terminate the agreements prior to the natural expiration of the then-current term due to our failure to meet certain performance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Pulse Network</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2013, we entered into a direct processor agreement with Pulse Network LLC, or Pulse, subsequently amended. The contract provides Marqeta with tiered incentives based on the processing volume of our Customers’ transactions routed through Pulse and its affiliated networks. The contract is currently under a renewal term, which automatically renews annually, unless either party provides written notice of its intent not to renew. Either party may terminate the agreement under specified circumstances, including upon a material breach that remains uncured for a specified period of time.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 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complement these marketing, business development, and sales activities with a focus on Customer experience and Customer success. We believe that highly responsive and effective support and education are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December 31, 2020, we had 260 employees in our research and development organization, defined as our Product &amp; Technology organization. We intend to continue to invest in our research and development capabilities to extend our Platform. The technical operations team in our Product &amp; Technology organization also works to ensure the successful deployment and monitoring of our Platform.</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 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Factors—Risks Relating to Our Business—Regulations and industry standards related to privacy and data protection could adversely affect our ability to effectively provide our services.”</w:t>
      </w:r>
    </w:p>
    <w:p>
      <w:pPr>
        <w:spacing w:after="0" w:line="188"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Our Issuing Banks must comply with the bylaws, regulations, and requirements that are set forth by the Card Networks, including PCI DSS and other applicable data-security program requirements. To the extent that we 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78"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 implementation of the Dodd-Frank Act is ongoing, and as a result, its overall impact remains unclear. Its provisions, however, are sufficiently far reaching that it is possible that we could be further directly or indirectly impacted.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16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 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660" w:hanging="54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Kevin Doerr</w:t>
      </w:r>
      <w:r>
        <w:rPr>
          <w:rFonts w:ascii="Arial" w:cs="Arial" w:eastAsia="Arial" w:hAnsi="Arial"/>
          <w:sz w:val="18"/>
          <w:szCs w:val="18"/>
          <w:color w:val="auto"/>
        </w:rPr>
        <w:t>. Mr. Doerr has served as our Chief Product Officer since March 2020. Since May 2010, Mr. Doerr has served as the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of Archimedes Labs, Inc., a venture-based incubation firm focused on consumer mobile services. From June 2016 to March 2020, Mr. Doerr served as the Senior Vice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President and General Manager of Domains and Security of GoDaddy, Inc., a publicly traded internet domain 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88"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Vidya Peters</w:t>
      </w:r>
      <w:r>
        <w:rPr>
          <w:rFonts w:ascii="Arial" w:cs="Arial" w:eastAsia="Arial" w:hAnsi="Arial"/>
          <w:sz w:val="17"/>
          <w:szCs w:val="17"/>
          <w:color w:val="auto"/>
        </w:rPr>
        <w:t>. 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7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7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i w:val="1"/>
          <w:iCs w:val="1"/>
          <w:color w:val="auto"/>
        </w:rPr>
        <w:t>Brian Kieley</w:t>
      </w:r>
      <w:r>
        <w:rPr>
          <w:rFonts w:ascii="Arial" w:cs="Arial" w:eastAsia="Arial" w:hAnsi="Arial"/>
          <w:sz w:val="16"/>
          <w:szCs w:val="16"/>
          <w:color w:val="auto"/>
        </w:rPr>
        <w:t>. Mr. Kieley has served as our Senior Vice President of Program Management since February 2019, and he served as our Head of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January 2014, Mr. Kieley held a variety of customer service, operations, and product development roles at Visa 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i w:val="1"/>
          <w:iCs w:val="1"/>
          <w:color w:val="auto"/>
        </w:rPr>
        <w:t>Martha Cummings</w:t>
      </w:r>
      <w:r>
        <w:rPr>
          <w:rFonts w:ascii="Arial" w:cs="Arial" w:eastAsia="Arial" w:hAnsi="Arial"/>
          <w:sz w:val="18"/>
          <w:szCs w:val="18"/>
          <w:color w:val="auto"/>
        </w:rPr>
        <w:t>. Ms. Cummings has served as a member of our board of directors since January 2021. From July 2018 to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1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Arnon Dinur</w:t>
      </w:r>
      <w:r>
        <w:rPr>
          <w:rFonts w:ascii="Arial" w:cs="Arial" w:eastAsia="Arial" w:hAnsi="Arial"/>
          <w:sz w:val="18"/>
          <w:szCs w:val="18"/>
          <w:color w:val="auto"/>
        </w:rPr>
        <w:t>. Mr. Dinur has served as a member of our board of directors since September 2013. Since June 2009, Mr. Dinur has served as a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directors of a number of privately held companies. Mr. Dinur holds a Master of Business Administration from the University of Texas at Austin and a Bachelor of Laws and a Bachelor of Arts in Accounting from Tel Aviv University.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Dr. Linville has served as a member of our board of directors since May 2020. Since October 2019, Dr. Linville has served as a Senior</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Dr.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Dr. Linville currently serves as a member of the Board of Visitors of Duke University’s Fuqua School of Business and as a member of the Board of Trustees of Lafayette College. Dr.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Dr.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our board of directors will adopt a code of conduct that will apply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w:t>
      </w:r>
    </w:p>
    <w:p>
      <w:pPr>
        <w:jc w:val="both"/>
        <w:ind w:left="120"/>
        <w:spacing w:after="0" w:line="260" w:lineRule="auto"/>
        <w:rPr>
          <w:sz w:val="20"/>
          <w:szCs w:val="20"/>
          <w:color w:val="auto"/>
        </w:rPr>
      </w:pPr>
      <w:r>
        <w:rPr>
          <w:rFonts w:ascii="Arial" w:cs="Arial" w:eastAsia="Arial" w:hAnsi="Arial"/>
          <w:sz w:val="18"/>
          <w:szCs w:val="18"/>
          <w:color w:val="auto"/>
        </w:rPr>
        <w:t>prior to the completion of this offering. Our board of directors consists of directors, of whom will qualify as “independent” under Nasdaq listing standards.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ectPr>
          <w:pgSz w:w="11900" w:h="16838" w:orient="portrait"/>
          <w:cols w:equalWidth="0" w:num="1">
            <w:col w:w="11140"/>
          </w:cols>
          <w:pgMar w:left="320" w:top="459" w:right="439" w:bottom="1440" w:gutter="0" w:footer="0" w:header="0"/>
        </w:sectPr>
      </w:pPr>
    </w:p>
    <w:p>
      <w:pPr>
        <w:spacing w:after="0" w:line="92"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2022;</w:t>
      </w:r>
    </w:p>
    <w:p>
      <w:pPr>
        <w:spacing w:after="0" w:line="153" w:lineRule="exact"/>
        <w:rPr>
          <w:sz w:val="20"/>
          <w:szCs w:val="20"/>
          <w:color w:val="auto"/>
        </w:rPr>
      </w:pPr>
    </w:p>
    <w:p>
      <w:pPr>
        <w:sectPr>
          <w:pgSz w:w="11900" w:h="16838" w:orient="portrait"/>
          <w:cols w:equalWidth="0" w:num="4">
            <w:col w:w="2840" w:space="540"/>
            <w:col w:w="60" w:space="540"/>
            <w:col w:w="260" w:space="540"/>
            <w:col w:w="6360"/>
          </w:cols>
          <w:pgMar w:left="320" w:top="459" w:right="439" w:bottom="1440" w:gutter="0" w:footer="0" w:header="0"/>
          <w:type w:val="continuous"/>
        </w:sect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2023;</w:t>
      </w:r>
    </w:p>
    <w:p>
      <w:pPr>
        <w:spacing w:after="0" w:line="45" w:lineRule="exact"/>
        <w:rPr>
          <w:sz w:val="20"/>
          <w:szCs w:val="20"/>
          <w:color w:val="auto"/>
        </w:rPr>
      </w:pPr>
    </w:p>
    <w:p>
      <w:pPr>
        <w:sectPr>
          <w:pgSz w:w="11900" w:h="16838" w:orient="portrait"/>
          <w:cols w:equalWidth="0" w:num="4">
            <w:col w:w="2920" w:space="580"/>
            <w:col w:w="40" w:space="580"/>
            <w:col w:w="260" w:space="580"/>
            <w:col w:w="618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140"/>
          </w:cols>
          <w:pgMar w:left="320" w:top="459" w:right="439" w:bottom="1440" w:gutter="0" w:footer="0" w:header="0"/>
          <w:type w:val="continuous"/>
        </w:sectPr>
      </w:pPr>
    </w:p>
    <w:p>
      <w:pPr>
        <w:spacing w:after="0" w:line="15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2024.</w:t>
      </w:r>
    </w:p>
    <w:p>
      <w:pPr>
        <w:spacing w:after="0" w:line="222" w:lineRule="exact"/>
        <w:rPr>
          <w:sz w:val="20"/>
          <w:szCs w:val="20"/>
          <w:color w:val="auto"/>
        </w:rPr>
      </w:pPr>
    </w:p>
    <w:p>
      <w:pPr>
        <w:sectPr>
          <w:pgSz w:w="11900" w:h="16838" w:orient="portrait"/>
          <w:cols w:equalWidth="0" w:num="4">
            <w:col w:w="2960" w:space="540"/>
            <w:col w:w="60" w:space="540"/>
            <w:col w:w="260" w:space="520"/>
            <w:col w:w="6260"/>
          </w:cols>
          <w:pgMar w:left="320" w:top="459" w:right="439" w:bottom="1440" w:gutter="0" w:footer="0" w:header="0"/>
          <w:type w:val="continuous"/>
        </w:sectPr>
      </w:pPr>
    </w:p>
    <w:p>
      <w:pPr>
        <w:spacing w:after="0" w:line="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w:t>
      </w:r>
    </w:p>
    <w:p>
      <w:pPr>
        <w:spacing w:after="0" w:line="46"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her background, employment, and affiliations, our board of directors has determined that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board of directors has established or will establish, effective prior to the completion of this offering,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tabs>
          <w:tab w:leader="none" w:pos="7680" w:val="left"/>
          <w:tab w:leader="none" w:pos="9020" w:val="left"/>
        </w:tabs>
        <w:rPr>
          <w:sz w:val="20"/>
          <w:szCs w:val="20"/>
          <w:color w:val="auto"/>
        </w:rPr>
      </w:pPr>
      <w:r>
        <w:rPr>
          <w:rFonts w:ascii="Arial" w:cs="Arial" w:eastAsia="Arial" w:hAnsi="Arial"/>
          <w:sz w:val="18"/>
          <w:szCs w:val="18"/>
          <w:color w:val="auto"/>
        </w:rPr>
        <w:t>Immediately following the completion of this offering, our audit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Chairperson. The</w:t>
      </w:r>
    </w:p>
    <w:p>
      <w:pPr>
        <w:spacing w:after="0" w:line="23" w:lineRule="exact"/>
        <w:rPr>
          <w:sz w:val="20"/>
          <w:szCs w:val="20"/>
          <w:color w:val="auto"/>
        </w:rPr>
      </w:pPr>
    </w:p>
    <w:p>
      <w:pPr>
        <w:jc w:val="both"/>
        <w:ind w:left="120"/>
        <w:spacing w:after="0" w:line="281" w:lineRule="auto"/>
        <w:rPr>
          <w:sz w:val="20"/>
          <w:szCs w:val="20"/>
          <w:color w:val="auto"/>
        </w:rPr>
      </w:pPr>
      <w:r>
        <w:rPr>
          <w:rFonts w:ascii="Arial" w:cs="Arial" w:eastAsia="Arial" w:hAnsi="Arial"/>
          <w:sz w:val="16"/>
          <w:szCs w:val="16"/>
          <w:color w:val="auto"/>
        </w:rPr>
        <w:t>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w:t>
      </w:r>
    </w:p>
    <w:p>
      <w:pPr>
        <w:spacing w:after="0" w:line="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determined that is an audit committee financial expert within the meaning of Item 407(d) of Regulation S-K under the Securities Act. Our audit committee will, among other things:</w:t>
      </w:r>
    </w:p>
    <w:p>
      <w:pPr>
        <w:spacing w:after="0" w:line="91" w:lineRule="exact"/>
        <w:rPr>
          <w:sz w:val="20"/>
          <w:szCs w:val="20"/>
          <w:color w:val="auto"/>
        </w:rPr>
      </w:pPr>
    </w:p>
    <w:p>
      <w:pPr>
        <w:ind w:left="5480" w:right="1860" w:hanging="4824"/>
        <w:spacing w:after="0" w:line="449" w:lineRule="auto"/>
        <w:tabs>
          <w:tab w:leader="none" w:pos="8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 122</w:t>
      </w:r>
    </w:p>
    <w:p>
      <w:pPr>
        <w:sectPr>
          <w:pgSz w:w="11900" w:h="16838" w:orient="portrait"/>
          <w:cols w:equalWidth="0" w:num="1">
            <w:col w:w="11140"/>
          </w:cols>
          <w:pgMar w:left="320" w:top="459" w:right="4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tabs>
          <w:tab w:leader="none" w:pos="8000" w:val="left"/>
          <w:tab w:leader="none" w:pos="9060" w:val="left"/>
        </w:tabs>
        <w:rPr>
          <w:sz w:val="20"/>
          <w:szCs w:val="20"/>
          <w:color w:val="auto"/>
        </w:rPr>
      </w:pPr>
      <w:r>
        <w:rPr>
          <w:rFonts w:ascii="Arial" w:cs="Arial" w:eastAsia="Arial" w:hAnsi="Arial"/>
          <w:sz w:val="18"/>
          <w:szCs w:val="18"/>
          <w:color w:val="auto"/>
        </w:rPr>
        <w:t>Immediately following the completion of this offering, our compensation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Chairperson. The</w:t>
      </w:r>
    </w:p>
    <w:p>
      <w:pPr>
        <w:spacing w:after="0" w:line="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8"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rules of the SEC and the listing standards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tabs>
          <w:tab w:leader="none" w:pos="9560" w:val="left"/>
          <w:tab w:leader="none" w:pos="10580" w:val="left"/>
        </w:tabs>
        <w:rPr>
          <w:sz w:val="20"/>
          <w:szCs w:val="20"/>
          <w:color w:val="auto"/>
        </w:rPr>
      </w:pPr>
      <w:r>
        <w:rPr>
          <w:rFonts w:ascii="Arial" w:cs="Arial" w:eastAsia="Arial" w:hAnsi="Arial"/>
          <w:sz w:val="18"/>
          <w:szCs w:val="18"/>
          <w:color w:val="auto"/>
        </w:rPr>
        <w:t>Immediately following the completion of this offering, our nominating and corporate governance committee will consist of</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w:t>
      </w:r>
    </w:p>
    <w:p>
      <w:pPr>
        <w:spacing w:after="0" w:line="23"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as Chairperson. The composition of our nominating and corporate governance committee meets the requirements for independence under Nasdaq listing standards and SEC rules and regulations. Our nominating and corporate governance committee will, among other things:</w:t>
      </w:r>
    </w:p>
    <w:p>
      <w:pPr>
        <w:spacing w:after="0" w:line="67" w:lineRule="exact"/>
        <w:rPr>
          <w:sz w:val="20"/>
          <w:szCs w:val="20"/>
          <w:color w:val="auto"/>
        </w:rPr>
      </w:pPr>
    </w:p>
    <w:p>
      <w:pPr>
        <w:ind w:left="880" w:right="20" w:hanging="224"/>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nominating and corporate governance committee will operate under a written charter, to be effective prior to the completion of this offering, that satisfies the applicable listing requirements and rules of Nasdaq.</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Except as set forth in the table, none of our directors held options to purchase our common stock or any other stock awards as of December 31, 2020.</w:t>
      </w:r>
    </w:p>
    <w:p>
      <w:pPr>
        <w:spacing w:after="0" w:line="33" w:lineRule="exact"/>
        <w:rPr>
          <w:rFonts w:ascii="Arial" w:cs="Arial" w:eastAsia="Arial" w:hAnsi="Arial"/>
          <w:sz w:val="15"/>
          <w:szCs w:val="15"/>
          <w:color w:val="auto"/>
        </w:rPr>
      </w:pPr>
    </w:p>
    <w:p>
      <w:pPr>
        <w:ind w:left="660" w:right="20" w:hanging="544"/>
        <w:spacing w:after="0" w:line="288"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 Standards Board, or FASB,</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7"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spacing w:after="0" w:line="1" w:lineRule="exact"/>
        <w:rPr>
          <w:sz w:val="20"/>
          <w:szCs w:val="20"/>
          <w:color w:val="auto"/>
        </w:rPr>
      </w:pPr>
    </w:p>
    <w:p>
      <w:pPr>
        <w:jc w:val="both"/>
        <w:ind w:left="660" w:hanging="544"/>
        <w:spacing w:after="0" w:line="26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hanging="544"/>
        <w:spacing w:after="0" w:line="26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Pursuant to the board of director agreement we entered into with Ms. Riley on May 12, 2020, in consideration for her service as a non-employee director, she was granted an award of Class B common stock.</w:t>
      </w:r>
    </w:p>
    <w:p>
      <w:pPr>
        <w:jc w:val="both"/>
        <w:ind w:left="660" w:hanging="544"/>
        <w:spacing w:after="0" w:line="27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Pursuant to the board of director agreement we entered into with Mr. Linville on May 12, 2020, in consideration for his service as a non-employee director, he was granted an award of Class B common stock.</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Immediately prior to the completion of this offering, we intend to implement a formal policy pursuant to which our non-employee directors will be eligible to receive the following cash retainers and equity awards: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2260" w:type="dxa"/>
            <w:vAlign w:val="bottom"/>
            <w:shd w:val="clear" w:color="auto" w:fill="CCEEFF"/>
          </w:tcPr>
          <w:p>
            <w:pPr>
              <w:spacing w:after="0"/>
              <w:rPr>
                <w:sz w:val="18"/>
                <w:szCs w:val="18"/>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94"/>
        </w:trPr>
        <w:tc>
          <w:tcPr>
            <w:tcW w:w="876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Annual Retainer for Committee Membership</w:t>
            </w:r>
          </w:p>
        </w:tc>
        <w:tc>
          <w:tcPr>
            <w:tcW w:w="226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nominating and corporate governance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nominating and corporate governance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Our policy will provide that, upon initial election to our board of directors, each non-employee director will be granted , or the Initial Grant. Furthermore, on the date of each of our annual meetings of stockholders following the completion of this offering, each non-employee director who will</w:t>
      </w:r>
    </w:p>
    <w:p>
      <w:pPr>
        <w:ind w:left="120" w:right="20"/>
        <w:spacing w:after="0" w:line="255" w:lineRule="auto"/>
        <w:rPr>
          <w:sz w:val="20"/>
          <w:szCs w:val="20"/>
          <w:color w:val="auto"/>
        </w:rPr>
      </w:pPr>
      <w:r>
        <w:rPr>
          <w:rFonts w:ascii="Arial" w:cs="Arial" w:eastAsia="Arial" w:hAnsi="Arial"/>
          <w:sz w:val="18"/>
          <w:szCs w:val="18"/>
          <w:color w:val="auto"/>
        </w:rPr>
        <w:t>continue as a non-employee director following such meeting will be granted , or the Annual Grant. The Annual Grant will vest in full on the earlier of , subject to continued service as a director through the applicable vesting date. The Initial Grant will vest in , subject to continued service as a director through the applicable vesting date.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Jason Gardner, our Chief Executive Officer;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Omri Dahan, our Chief Revenue Officer (resigned from such position in February 2021);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Salary</w:t>
            </w: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8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0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8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4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9"/>
              </w:rPr>
              <w:t>350,000</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307,518</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1,692,518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(4)</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350,000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412,059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1,702,109</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2,538,000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238,432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3,052,333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right="100" w:hanging="544"/>
        <w:spacing w:after="0" w:line="269"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7" w:lineRule="exact"/>
        <w:rPr>
          <w:sz w:val="20"/>
          <w:szCs w:val="20"/>
          <w:color w:val="auto"/>
        </w:rPr>
      </w:pPr>
    </w:p>
    <w:p>
      <w:pPr>
        <w:ind w:left="660" w:hanging="544"/>
        <w:spacing w:after="0" w:line="26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Mr. Dahan resigned as our Chief Revenue Officer in February 2021.</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For fiscal year 2020, Mr. Doerr’s bonus was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June 9, 2011, we entered into an employment offer letter with Mr. Dahan for the position of Vice President of Business Development; Mr. Dahan subsequently served as our Chief Revenue Officer, a position he held until February 1,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March 2021, we entered into a separation agreement with Mr. Dahan whereby we mutually agreed that his employment with us as our Chief Revenue Officer ended on February 1, 2021, and that thereafter he would serve as a non-executive employee at his current annual salary and benefits until the first to occur of (i) April 1, 2021, or (ii) a certain project renewal by us (the Separation Date). In connection with the separation agreement, Mr. Dahan will receive (1) a one-time lump sum payment of $262,500; (2) accelerated vesting of his outstanding option awards equal to that number of shares that, absent his separation, were scheduled to become vested through April 1, 2021; and, (3) continuation of health insurance under COBRA or Cal-COBRA for nine months following the Separation Date.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right="20" w:hanging="544"/>
        <w:spacing w:after="0" w:line="26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560" w:type="dxa"/>
            <w:vAlign w:val="bottom"/>
            <w:gridSpan w:val="2"/>
          </w:tcPr>
          <w:p>
            <w:pPr>
              <w:spacing w:after="0"/>
              <w:rPr>
                <w:sz w:val="17"/>
                <w:szCs w:val="17"/>
                <w:color w:val="auto"/>
              </w:rPr>
            </w:pPr>
          </w:p>
        </w:tc>
        <w:tc>
          <w:tcPr>
            <w:tcW w:w="3200" w:type="dxa"/>
            <w:vAlign w:val="bottom"/>
          </w:tcPr>
          <w:p>
            <w:pPr>
              <w:spacing w:after="0"/>
              <w:rPr>
                <w:sz w:val="17"/>
                <w:szCs w:val="17"/>
                <w:color w:val="auto"/>
              </w:rPr>
            </w:pPr>
          </w:p>
        </w:tc>
      </w:tr>
      <w:tr>
        <w:trPr>
          <w:trHeight w:val="493"/>
        </w:trPr>
        <w:tc>
          <w:tcPr>
            <w:tcW w:w="7920" w:type="dxa"/>
            <w:vAlign w:val="bottom"/>
            <w:gridSpan w:val="3"/>
          </w:tcPr>
          <w:p>
            <w:pPr>
              <w:spacing w:after="0"/>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Index to Financial Statements</w:t>
              </w:r>
            </w:hyperlink>
          </w:p>
        </w:tc>
        <w:tc>
          <w:tcPr>
            <w:tcW w:w="3200" w:type="dxa"/>
            <w:vAlign w:val="bottom"/>
          </w:tcPr>
          <w:p>
            <w:pPr>
              <w:spacing w:after="0"/>
              <w:rPr>
                <w:sz w:val="24"/>
                <w:szCs w:val="24"/>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5620" w:type="dxa"/>
            <w:vAlign w:val="bottom"/>
          </w:tcPr>
          <w:p>
            <w:pPr>
              <w:ind w:left="1980"/>
              <w:spacing w:after="0"/>
              <w:rPr>
                <w:sz w:val="20"/>
                <w:szCs w:val="20"/>
                <w:color w:val="auto"/>
              </w:rPr>
            </w:pPr>
            <w:r>
              <w:rPr>
                <w:rFonts w:ascii="Arial" w:cs="Arial" w:eastAsia="Arial" w:hAnsi="Arial"/>
                <w:sz w:val="18"/>
                <w:szCs w:val="18"/>
                <w:b w:val="1"/>
                <w:bCs w:val="1"/>
                <w:color w:val="auto"/>
              </w:rPr>
              <w:t>Employee Benefits and Stock Plans</w:t>
            </w:r>
          </w:p>
        </w:tc>
        <w:tc>
          <w:tcPr>
            <w:tcW w:w="3200" w:type="dxa"/>
            <w:vAlign w:val="bottom"/>
          </w:tcPr>
          <w:p>
            <w:pPr>
              <w:spacing w:after="0"/>
              <w:rPr>
                <w:sz w:val="24"/>
                <w:szCs w:val="24"/>
                <w:color w:val="auto"/>
              </w:rPr>
            </w:pPr>
          </w:p>
        </w:tc>
      </w:tr>
      <w:tr>
        <w:trPr>
          <w:trHeight w:val="432"/>
        </w:trPr>
        <w:tc>
          <w:tcPr>
            <w:tcW w:w="792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tc>
        <w:tc>
          <w:tcPr>
            <w:tcW w:w="3200" w:type="dxa"/>
            <w:vAlign w:val="bottom"/>
          </w:tcPr>
          <w:p>
            <w:pPr>
              <w:spacing w:after="0"/>
              <w:rPr>
                <w:sz w:val="24"/>
                <w:szCs w:val="24"/>
                <w:color w:val="auto"/>
              </w:rPr>
            </w:pPr>
          </w:p>
        </w:tc>
      </w:tr>
      <w:tr>
        <w:trPr>
          <w:trHeight w:val="324"/>
        </w:trPr>
        <w:tc>
          <w:tcPr>
            <w:tcW w:w="7920" w:type="dxa"/>
            <w:vAlign w:val="bottom"/>
            <w:gridSpan w:val="3"/>
          </w:tcPr>
          <w:p>
            <w:pPr>
              <w:ind w:left="120"/>
              <w:spacing w:after="0"/>
              <w:rPr>
                <w:sz w:val="20"/>
                <w:szCs w:val="20"/>
                <w:color w:val="auto"/>
              </w:rPr>
            </w:pPr>
            <w:r>
              <w:rPr>
                <w:rFonts w:ascii="Arial" w:cs="Arial" w:eastAsia="Arial" w:hAnsi="Arial"/>
                <w:sz w:val="18"/>
                <w:szCs w:val="18"/>
                <w:color w:val="auto"/>
                <w:w w:val="93"/>
              </w:rPr>
              <w:t>Our 2021 Plan was adopted by our board of directors and subsequently approved by our stockholders in</w:t>
            </w:r>
          </w:p>
        </w:tc>
        <w:tc>
          <w:tcPr>
            <w:tcW w:w="3200" w:type="dxa"/>
            <w:vAlign w:val="bottom"/>
          </w:tcPr>
          <w:p>
            <w:pPr>
              <w:ind w:left="280"/>
              <w:spacing w:after="0"/>
              <w:rPr>
                <w:sz w:val="20"/>
                <w:szCs w:val="20"/>
                <w:color w:val="auto"/>
              </w:rPr>
            </w:pPr>
            <w:r>
              <w:rPr>
                <w:rFonts w:ascii="Arial" w:cs="Arial" w:eastAsia="Arial" w:hAnsi="Arial"/>
                <w:sz w:val="18"/>
                <w:szCs w:val="18"/>
                <w:color w:val="auto"/>
                <w:w w:val="88"/>
              </w:rPr>
              <w:t>, and became effective on the day before</w:t>
            </w:r>
          </w:p>
        </w:tc>
      </w:tr>
    </w:tbl>
    <w:p>
      <w:pPr>
        <w:jc w:val="both"/>
        <w:ind w:left="120" w:right="2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on which the registration statement of which this prospectus forms part was declared effective by the SEC. Our 2021 Plan will replace our 2011 Plan, as our board of directors is expected to determine not to make additional awards under our 2011 Plan following the completion of our initial public offering. However, our 2011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61"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shares of our Class A common stock for the issuance of awards under our 2021 Plan. Our 2021</w:t>
      </w:r>
      <w:r>
        <w:rPr>
          <w:rFonts w:ascii="Arial" w:cs="Arial" w:eastAsia="Arial" w:hAnsi="Arial"/>
          <w:sz w:val="17"/>
          <w:szCs w:val="17"/>
          <w:i w:val="1"/>
          <w:iCs w:val="1"/>
          <w:color w:val="auto"/>
        </w:rPr>
        <w:t xml:space="preserve"> </w:t>
      </w:r>
      <w:r>
        <w:rPr>
          <w:rFonts w:ascii="Arial" w:cs="Arial" w:eastAsia="Arial" w:hAnsi="Arial"/>
          <w:sz w:val="17"/>
          <w:szCs w:val="17"/>
          <w:color w:val="auto"/>
        </w:rPr>
        <w:t>Plan will provide that the number of shares reserved and available for issuance under our 2021 Plan will automatically increase each January 1,</w:t>
      </w:r>
    </w:p>
    <w:p>
      <w:pPr>
        <w:jc w:val="both"/>
        <w:ind w:left="120"/>
        <w:spacing w:after="0" w:line="281" w:lineRule="auto"/>
        <w:rPr>
          <w:sz w:val="20"/>
          <w:szCs w:val="20"/>
          <w:color w:val="auto"/>
        </w:rPr>
      </w:pPr>
      <w:r>
        <w:rPr>
          <w:rFonts w:ascii="Arial" w:cs="Arial" w:eastAsia="Arial" w:hAnsi="Arial"/>
          <w:sz w:val="16"/>
          <w:szCs w:val="16"/>
          <w:color w:val="auto"/>
        </w:rPr>
        <w:t>beginning on January 1, 2022, by %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will be added back to the shares of Class A common stock available for issuance under our 2021 Plan (after being converted from Class B common stock into Class A common stock). The maximum number of shares of Class A common stock that may be</w:t>
      </w:r>
    </w:p>
    <w:p>
      <w:pPr>
        <w:spacing w:after="0" w:line="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issued as incentive stock options in any one calendar year period may not exceed , cumulatively increased on January 1, 2022 and on each January 1 thereafter by the lesser of % of the number of outstanding shares of Class A and Class B common stock as of the immediately preceding December 31, or shares of Class A common stock.</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will permit the granting of both options to purchase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Our compensation committee will be able to award stock appreciation rights subject to such conditions and restrictions as it</w:t>
      </w:r>
      <w:r>
        <w:rPr>
          <w:rFonts w:ascii="Arial" w:cs="Arial" w:eastAsia="Arial" w:hAnsi="Arial"/>
          <w:sz w:val="16"/>
          <w:szCs w:val="16"/>
          <w:i w:val="1"/>
          <w:iCs w:val="1"/>
          <w:color w:val="auto"/>
        </w:rPr>
        <w:t xml:space="preserve"> </w:t>
      </w:r>
      <w:r>
        <w:rPr>
          <w:rFonts w:ascii="Arial" w:cs="Arial" w:eastAsia="Arial" w:hAnsi="Arial"/>
          <w:sz w:val="16"/>
          <w:szCs w:val="16"/>
          <w:color w:val="auto"/>
        </w:rPr>
        <w:t>may 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45"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grant. The term of each stock appreciation right will be fixed by our compensation committee and may not exceed 10 years from the date of grant.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will determine at what time or times each stock appreciation right may be exercised.</w:t>
      </w:r>
    </w:p>
    <w:p>
      <w:pPr>
        <w:spacing w:after="0" w:line="21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will be able to award restricted shares of Class A common stock and RSUs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will be able to grant dividend equivalent rights to participants that entitle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credits for dividends that would be paid if the recipient had held a specified number of shares of Class A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will be able to grant cash bonuses under our 2021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will provide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will be able to amend or discontinue our 2021 Plan and our compensation committee will be able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 as amended</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 our board of directors in January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December 31, 2020,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 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9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affection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 our board of directors and our stockholders approved our ESPP. The ESPP will become effective immediately prior to the time that the registration statement of which this prospectus forms a part is declared effective by the SEC. The ESPP will initially reserve and authorize the issuance</w:t>
      </w:r>
    </w:p>
    <w:p>
      <w:pPr>
        <w:jc w:val="both"/>
        <w:ind w:left="120" w:right="20"/>
        <w:spacing w:after="0" w:line="265" w:lineRule="auto"/>
        <w:rPr>
          <w:sz w:val="20"/>
          <w:szCs w:val="20"/>
          <w:color w:val="auto"/>
        </w:rPr>
      </w:pPr>
      <w:r>
        <w:rPr>
          <w:rFonts w:ascii="Arial" w:cs="Arial" w:eastAsia="Arial" w:hAnsi="Arial"/>
          <w:sz w:val="17"/>
          <w:szCs w:val="17"/>
          <w:color w:val="auto"/>
        </w:rPr>
        <w:t>of up to a total of shares of common stock to participating employees. The ESPP will provide that the number of shares reserved and available for issuance will automatically increase each January 1, beginning on January 1, 2022, by the lesser of shares of our common stock, 1% of the</w:t>
      </w:r>
    </w:p>
    <w:p>
      <w:pPr>
        <w:jc w:val="both"/>
        <w:ind w:left="120"/>
        <w:spacing w:after="0" w:line="323" w:lineRule="auto"/>
        <w:rPr>
          <w:sz w:val="20"/>
          <w:szCs w:val="20"/>
          <w:color w:val="auto"/>
        </w:rPr>
      </w:pPr>
      <w:r>
        <w:rPr>
          <w:rFonts w:ascii="Arial" w:cs="Arial" w:eastAsia="Arial" w:hAnsi="Arial"/>
          <w:sz w:val="16"/>
          <w:szCs w:val="16"/>
          <w:color w:val="auto"/>
        </w:rPr>
        <w:t>outstanding number of shares of our common stock on the immediately preceding December 31, or such lesser number of shares as determined by our compensation committee. This number will be subject to adjustment in the event of a stock split, stock dividend or other change in our capitalization.</w:t>
      </w:r>
    </w:p>
    <w:p>
      <w:pPr>
        <w:spacing w:after="0" w:line="1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employees are eligible to participate in the ESPP. Any employee who owns 5% or more of the total combined voting power or value of all classes of stock will not be eligible to purchase shares under the ESPP.</w:t>
      </w:r>
    </w:p>
    <w:p>
      <w:pPr>
        <w:spacing w:after="0" w:line="170"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will make one or more offerings, consisting of one or more purchase periods, each year to our employees to purchase shares under the ESPP. The first offering will begin on the effective date of the registration statement of which this prospectus is part and, unless otherwise determined by the administrator of the ESPP, will end on the date that is approximately six months following such date. Each eligible employee as of the effective date of the registration statement for the offering will be deemed to be a participant in the ESPP at that time and must authorize payroll deductions or other contributions by submitting an enrollment form by the deadline specified by the plan administrator. Subsequent offerings will usually begin every six months and will continue for six month periods, referred to as offering periods. Each eligible employee may elect to participate in any subsequent offering by submitting an enrollment form at least 15 days before the relevant offering date.</w:t>
      </w:r>
    </w:p>
    <w:p>
      <w:pPr>
        <w:spacing w:after="0" w:line="17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Each employee who is a participant in the ESPP may purchase shares by authorizing contributions of up to 15% of his or her compensation during an offering period. Unless the participating employee has previously withdrawn from the offering, his or her accumulated contributions will be used to purchase shares on the last business day of the purchase period at a price equal to 85% of the fair market value of the shares on the first business day of the offering period or the last business day of the purchase period, whichever is lower, provided that no more than shares of common stock (or a lesser number as established by the plan administrator in advance of the purchase period) may be purchased by any one employee during each purchase period. Under applicable tax rules, an employee may purchase no more than $25,000 worth of shares of common stock, valued at the start of the offering period, under the ESPP for each calendar year in which a purchase right is outstanding.</w:t>
      </w:r>
    </w:p>
    <w:p>
      <w:pPr>
        <w:spacing w:after="0" w:line="17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accumulated contributions of any employee who is not a participant on the last day of a purchase period will be refunded. An employee’s rights under the ESPP terminate upon voluntary withdrawal from the plan or when the employee ceases employment with us for any reason.</w:t>
      </w:r>
    </w:p>
    <w:p>
      <w:pPr>
        <w:spacing w:after="0" w:line="14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ESPP may be terminated or amended by our board of directors at any time but shall automatically terminate on the 10 year anniversary of this offering. An amendment that increases the number of shares of common stock that are authorized under the ESPP and certain other amendments will require the approval of our stockholders. The plan administrator may adopt subplans under the ESPP for employees of our non U.S. subsidiaries who may participate in the ESPP and may permit such employees to participate in the ESPP on different terms, to the extent permitted by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 our board of directors adopted the Senior Executive Cash Incentive Bonus Plan, or the Bonus Plan. The Bonus Plan will become effective on the day before the date on which the registration statement of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6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cash flow (including, but not limited to, achievement of specified research and development, publication, clinical, and/or regulatory milestones; operating cash flow and adjusted free cash flow); earnings before interest, taxes, depreciation, and amortization;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8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259"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from 83North II Limited Partnership, a holder of more than 5% of our outstanding capital stock, The 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83North, DFS Services LLC, Granite Ventures, ICONIQ Capital, and Coatue,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15, 2021,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the liquidity condition had been achieved, within 60 days of March 15, 2021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95"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have based percentage ownership of our common stock before this offering on 484,262,601 shares of our common stock outstanding as of March 15, 2021, which includes 351,844,340 shares of Class B common stock resulting from the automatic conversion and reclassification of all outstanding shares of our redeemable convertible preferred stock immediately prior to the completion of this offering, as if this conversion and reclassification had</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occurred as of March 15, 2021. Percentage ownership of our common stock after this offering assumes our sale of shares of Class A common stock in this offering.</w:t>
      </w:r>
    </w:p>
    <w:p>
      <w:pPr>
        <w:spacing w:after="0" w:line="1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3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Shares Beneficially</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Shares Beneficially Owned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0" w:type="dxa"/>
            <w:vAlign w:val="bottom"/>
            <w:gridSpan w:val="2"/>
          </w:tcPr>
          <w:p>
            <w:pPr>
              <w:jc w:val="center"/>
              <w:ind w:left="601"/>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Voting</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380" w:type="dxa"/>
            <w:vAlign w:val="bottom"/>
            <w:gridSpan w:val="4"/>
          </w:tcPr>
          <w:p>
            <w:pPr>
              <w:jc w:val="center"/>
              <w:ind w:right="500"/>
              <w:spacing w:after="0" w:line="129" w:lineRule="exact"/>
              <w:rPr>
                <w:sz w:val="20"/>
                <w:szCs w:val="20"/>
                <w:color w:val="auto"/>
              </w:rPr>
            </w:pPr>
            <w:r>
              <w:rPr>
                <w:rFonts w:ascii="Arial" w:cs="Arial" w:eastAsia="Arial" w:hAnsi="Arial"/>
                <w:sz w:val="14"/>
                <w:szCs w:val="14"/>
                <w:b w:val="1"/>
                <w:bCs w:val="1"/>
                <w:color w:val="auto"/>
                <w:w w:val="96"/>
              </w:rPr>
              <w:t>Prior to the Offering</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4"/>
          </w:tcPr>
          <w:p>
            <w:pPr>
              <w:jc w:val="right"/>
              <w:ind w:right="660"/>
              <w:spacing w:after="0" w:line="129" w:lineRule="exact"/>
              <w:rPr>
                <w:sz w:val="20"/>
                <w:szCs w:val="20"/>
                <w:color w:val="auto"/>
              </w:rPr>
            </w:pPr>
            <w:r>
              <w:rPr>
                <w:rFonts w:ascii="Arial" w:cs="Arial" w:eastAsia="Arial" w:hAnsi="Arial"/>
                <w:sz w:val="14"/>
                <w:szCs w:val="14"/>
                <w:b w:val="1"/>
                <w:bCs w:val="1"/>
                <w:color w:val="auto"/>
              </w:rPr>
              <w:t>After the Offering</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Class A</w:t>
            </w:r>
          </w:p>
        </w:tc>
        <w:tc>
          <w:tcPr>
            <w:tcW w:w="188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38,778,289</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5.4%</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26,267,862</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11.2%</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54,261,696</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8.7%</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42,093,869</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5.3%</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25,444,638</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51,668,583</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10.6%</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51,668,583</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9,915,454</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9,915,454</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2,051,463</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2,051,463</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300,000</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600,000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Arnon Dinur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(13)</w:t>
            </w: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500,000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11.2%</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54,382,234</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All directors and executive officers as a group (14</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00" w:type="dxa"/>
            <w:vAlign w:val="bottom"/>
          </w:tcPr>
          <w:p>
            <w:pPr>
              <w:ind w:left="160"/>
              <w:spacing w:after="0"/>
              <w:rPr>
                <w:sz w:val="20"/>
                <w:szCs w:val="20"/>
                <w:color w:val="auto"/>
              </w:rPr>
            </w:pPr>
            <w:r>
              <w:rPr>
                <w:rFonts w:ascii="Arial" w:cs="Arial" w:eastAsia="Arial" w:hAnsi="Arial"/>
                <w:sz w:val="16"/>
                <w:szCs w:val="16"/>
                <w:color w:val="auto"/>
              </w:rPr>
              <w:t>persons)</w:t>
            </w:r>
            <w:r>
              <w:rPr>
                <w:rFonts w:ascii="Arial" w:cs="Arial" w:eastAsia="Arial" w:hAnsi="Arial"/>
                <w:sz w:val="27"/>
                <w:szCs w:val="27"/>
                <w:color w:val="auto"/>
                <w:vertAlign w:val="superscript"/>
              </w:rPr>
              <w:t>(15)</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130,819,378</w:t>
            </w:r>
          </w:p>
        </w:tc>
        <w:tc>
          <w:tcPr>
            <w:tcW w:w="36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26.1%</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w w:val="92"/>
              </w:rPr>
              <w:t>130,819,378</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Class B common stock, as a single class. The holders of our Class B common stock are entitled to 10 votes per share, and holders of our Class A common stock are entitled to one vote per share. See the section titled “Description of Capital Stock—Voting Rights” for more information about the voting rights of our Class A common stock and Class B common stock.</w:t>
      </w:r>
    </w:p>
    <w:p>
      <w:pPr>
        <w:jc w:val="both"/>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w:t>
      </w:r>
    </w:p>
    <w:p>
      <w:pPr>
        <w:jc w:val="both"/>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39,980,053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2,438,530 shares of Class B common stock subject to outstanding options that are exercisable within 60 days of March 15, 2021 by Mr. Gardner. Mr. Gardner disclaims beneficial ownership of the shares held in the trusts for the benefit of Mr. Gardner’s children.</w:t>
      </w:r>
    </w:p>
    <w:p>
      <w:pPr>
        <w:spacing w:after="0" w:line="1" w:lineRule="exact"/>
        <w:rPr>
          <w:rFonts w:ascii="Arial" w:cs="Arial" w:eastAsia="Arial" w:hAnsi="Arial"/>
          <w:sz w:val="13"/>
          <w:szCs w:val="13"/>
          <w:color w:val="auto"/>
        </w:rPr>
      </w:pPr>
    </w:p>
    <w:p>
      <w:pPr>
        <w:jc w:val="both"/>
        <w:ind w:left="660" w:hanging="544"/>
        <w:spacing w:after="0" w:line="238" w:lineRule="auto"/>
        <w:tabs>
          <w:tab w:leader="none" w:pos="6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Consists of (i) 4,289,244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2,850,000 shares of Class B common stock held of record by Graeme Rael as trustee for trusts for the benefit of Mr. Dahan’s family,</w:t>
      </w:r>
    </w:p>
    <w:p>
      <w:pPr>
        <w:ind w:left="660" w:right="20"/>
        <w:spacing w:after="0" w:line="221" w:lineRule="auto"/>
        <w:rPr>
          <w:rFonts w:ascii="Arial" w:cs="Arial" w:eastAsia="Arial" w:hAnsi="Arial"/>
          <w:sz w:val="13"/>
          <w:szCs w:val="13"/>
          <w:color w:val="auto"/>
        </w:rPr>
      </w:pPr>
      <w:r>
        <w:rPr>
          <w:rFonts w:ascii="Arial" w:cs="Arial" w:eastAsia="Arial" w:hAnsi="Arial"/>
          <w:sz w:val="14"/>
          <w:szCs w:val="14"/>
          <w:color w:val="auto"/>
        </w:rPr>
        <w:t>(v) 299,909 shares of Class B common stock, and (vi) 876,301 shares of Class B common stock subject to outstanding options that are exercisable within 60 days of March 15, 2021 by Mr. Dahan. As of March 13, 2021, Mr. Dahan was no longer employed by us.</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2,051,463 shares of Class B common stock subject to outstanding options that are exercisable within 60 days of March 15, 2021.</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19,000 shares of Class B common stock and (ii) 281,000 shares of Class B common stock subject to outstanding options that are exercisable within 60 days of March 15, 2021.</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March 15, 2021.</w:t>
      </w:r>
    </w:p>
    <w:p>
      <w:pPr>
        <w:ind w:left="66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500,000 shares of Class B common stock subject to outstanding options that are exercisable within 60 days of March 15, 2021.</w:t>
      </w:r>
    </w:p>
    <w:p>
      <w:pPr>
        <w:ind w:left="660" w:right="20" w:hanging="544"/>
        <w:spacing w:after="0" w:line="221"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right="20" w:hanging="544"/>
        <w:spacing w:after="0" w:line="237"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Consists of (i) 112,655,933 shares of Class B common stock beneficially owned by our current directors and executive officers and (ii) 17,538,445 shares of Class B common stock subject to outstanding options that are exercisable within 60 days of March 15,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Delaware law. Immediately following the completion of this offering, our authorized capital stock will consist of shares of Class A common stock, $0.0001 par value per share, shares of Class B common stock, $0.0001 par value per share, and shares of undesignated preferred stock, $0.0001 par value per share.</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Assuming the conversion of all outstanding shares of our redeemable convertible preferred stock into shares of our Class B common stock, which will occur immediately prior to the completion of this offering, as of December 31, 2020, there were no outstanding shares of Class A common stock and 482,157,178 shares of our Class B common stock outstanding, held by 477 stockholders of record, and no shares of our redeemable convertible preferred stock outstanding. Our board of directors is authorized, without stockholder approval except as required by the listing standards of Nasdaq, to issue additional shares of our capital stock.</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880" w:right="20" w:hanging="22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hanging="224"/>
        <w:spacing w:after="0" w:line="26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w:t>
      </w:r>
    </w:p>
    <w:p>
      <w:pPr>
        <w:spacing w:after="0" w:line="35" w:lineRule="exact"/>
        <w:rPr>
          <w:sz w:val="20"/>
          <w:szCs w:val="20"/>
          <w:color w:val="auto"/>
        </w:rPr>
      </w:pPr>
    </w:p>
    <w:p>
      <w:pPr>
        <w:ind w:left="120"/>
        <w:spacing w:after="0"/>
        <w:tabs>
          <w:tab w:leader="none" w:pos="3560" w:val="left"/>
        </w:tabs>
        <w:rPr>
          <w:sz w:val="20"/>
          <w:szCs w:val="20"/>
          <w:color w:val="auto"/>
        </w:rPr>
      </w:pPr>
      <w:r>
        <w:rPr>
          <w:rFonts w:ascii="Arial" w:cs="Arial" w:eastAsia="Arial" w:hAnsi="Arial"/>
          <w:sz w:val="18"/>
          <w:szCs w:val="18"/>
          <w:color w:val="auto"/>
        </w:rPr>
        <w:t>affirmative vote of the holders of at least</w:t>
      </w:r>
      <w:r>
        <w:rPr>
          <w:sz w:val="20"/>
          <w:szCs w:val="20"/>
          <w:color w:val="auto"/>
        </w:rPr>
        <w:tab/>
      </w:r>
      <w:r>
        <w:rPr>
          <w:rFonts w:ascii="Arial" w:cs="Arial" w:eastAsia="Arial" w:hAnsi="Arial"/>
          <w:sz w:val="16"/>
          <w:szCs w:val="16"/>
          <w:color w:val="auto"/>
        </w:rPr>
        <w:t>of the outstanding shares of Class B common stock, voting as a single class.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w:t>
      </w:r>
    </w:p>
    <w:p>
      <w:pPr>
        <w:spacing w:after="0" w:line="46"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the earlier of the date that is years from the date of this prospectus or the date the holders of at least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we had outstanding options to purchase an aggregate of 23,421,374 shares of our Class B common stock, with a weighted-average exercise price of $1.35 pursuant to our 2011 Plan, which was adopted in February 2011, most recently amended and restated by our board of directors in January 2021.</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we had outstanding RSUs representing 4,430,336 shares of our Class B common stock, issued pursuant to our 2011 Plan.</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warrants to purchase an aggregate of 203,610 shares of our redeemable convertible preferred stock, with a weighted-average exercise price of $0.295 per share, and warrants to purchase an aggregate of 1,602,414 shares of our common stock, with a weighted-average exercise price of $0.033 per share, were outstanding. The warrants will be automatically converted into warrants for Class B common stock upon the completion of this offering.</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will</w:t>
      </w:r>
    </w:p>
    <w:p>
      <w:pPr>
        <w:jc w:val="both"/>
        <w:ind w:left="120" w:right="20"/>
        <w:spacing w:after="0" w:line="260" w:lineRule="auto"/>
        <w:rPr>
          <w:sz w:val="20"/>
          <w:szCs w:val="20"/>
          <w:color w:val="auto"/>
        </w:rPr>
      </w:pPr>
      <w:r>
        <w:rPr>
          <w:rFonts w:ascii="Arial" w:cs="Arial" w:eastAsia="Arial" w:hAnsi="Arial"/>
          <w:sz w:val="18"/>
          <w:szCs w:val="18"/>
          <w:color w:val="auto"/>
        </w:rPr>
        <w:t>agree not to sell or otherwise dispose of any securities without the prior written consent of for a period of days after the date of this prospectus, subject to certain terms and conditions. See the section titled “Underwriting” for more information regarding such restrictions.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After the completion of this offering, the holders of up to approximately 358,036,944 shares of our Class B common stock will be entitled to certain demand 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approximately 358,036,944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After the completion of this offering, the holders of up to approximately 358,036,944 shares of our Class B common stock will be entitled to certain Form S-3 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p>
    <w:p>
      <w:pPr>
        <w:spacing w:after="0" w:line="46"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7"/>
          <w:szCs w:val="17"/>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8" w:lineRule="exact"/>
        <w:rPr>
          <w:sz w:val="20"/>
          <w:szCs w:val="20"/>
          <w:color w:val="auto"/>
        </w:rPr>
      </w:pPr>
    </w:p>
    <w:p>
      <w:pPr>
        <w:jc w:val="both"/>
        <w:ind w:left="880" w:hanging="224"/>
        <w:spacing w:after="0" w:line="286"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completion of this offering, the transfer agent and registrar for our Class A common stock and Class B common stock will be Computershare Trust Company, N.A. The transfer agent’s address is 150 Royal Street, Canton, MA 02021.</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list our Class A common stock on Nasdaq under the symbol “MQ.”</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December 31, 2020, we will have a total</w:t>
      </w:r>
    </w:p>
    <w:p>
      <w:pPr>
        <w:spacing w:after="0" w:line="46" w:lineRule="exact"/>
        <w:rPr>
          <w:sz w:val="20"/>
          <w:szCs w:val="20"/>
          <w:color w:val="auto"/>
        </w:rPr>
      </w:pPr>
    </w:p>
    <w:p>
      <w:pPr>
        <w:jc w:val="both"/>
        <w:ind w:left="120"/>
        <w:spacing w:after="0" w:line="265" w:lineRule="auto"/>
        <w:rPr>
          <w:sz w:val="20"/>
          <w:szCs w:val="20"/>
          <w:color w:val="auto"/>
        </w:rPr>
      </w:pPr>
      <w:r>
        <w:rPr>
          <w:rFonts w:ascii="Arial" w:cs="Arial" w:eastAsia="Arial" w:hAnsi="Arial"/>
          <w:sz w:val="17"/>
          <w:szCs w:val="17"/>
          <w:color w:val="auto"/>
        </w:rPr>
        <w:t>of shares of our Class A common stock and 482,157,178 shares of our Class B common stock outstanding, assuming (i) the automatic conversion and reclassification of all outstanding shares of our redeemable convertible preferred stock into 351,844,340 shares of our Class B common</w:t>
      </w:r>
    </w:p>
    <w:p>
      <w:pPr>
        <w:jc w:val="both"/>
        <w:ind w:left="120" w:right="20"/>
        <w:spacing w:after="0" w:line="265" w:lineRule="auto"/>
        <w:rPr>
          <w:sz w:val="20"/>
          <w:szCs w:val="20"/>
          <w:color w:val="auto"/>
        </w:rPr>
      </w:pPr>
      <w:r>
        <w:rPr>
          <w:rFonts w:ascii="Arial" w:cs="Arial" w:eastAsia="Arial" w:hAnsi="Arial"/>
          <w:sz w:val="17"/>
          <w:szCs w:val="17"/>
          <w:color w:val="auto"/>
        </w:rPr>
        <w:t>stock, (ii) the net issuance of shares of our common stock issuable pursuant to the vesting and settlement of 505,993 RSUs subject to liquidity conditions outstanding as of December 31, 2020, and (iii) the reclassification of our outstanding common stock as Class B common stock, all</w:t>
      </w:r>
    </w:p>
    <w:p>
      <w:pPr>
        <w:jc w:val="both"/>
        <w:ind w:left="120"/>
        <w:spacing w:after="0" w:line="255" w:lineRule="auto"/>
        <w:rPr>
          <w:sz w:val="20"/>
          <w:szCs w:val="20"/>
          <w:color w:val="auto"/>
        </w:rPr>
      </w:pPr>
      <w:r>
        <w:rPr>
          <w:rFonts w:ascii="Arial" w:cs="Arial" w:eastAsia="Arial" w:hAnsi="Arial"/>
          <w:sz w:val="18"/>
          <w:szCs w:val="18"/>
          <w:color w:val="auto"/>
        </w:rPr>
        <w:t>immediately prior to the completion of this offering. Of these outstanding shares, all of the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90"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w:t>
      </w:r>
    </w:p>
    <w:p>
      <w:pPr>
        <w:spacing w:after="0" w:line="4"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“Description of Capital Stock—Registration Rights,” subject to the provisions of Rule 144 or Rule 701, based on an assumed offering date of , shares will be available for sale in the public market as follows:</w:t>
      </w:r>
    </w:p>
    <w:p>
      <w:pPr>
        <w:sectPr>
          <w:pgSz w:w="11900" w:h="16838" w:orient="portrait"/>
          <w:cols w:equalWidth="0" w:num="1">
            <w:col w:w="11140"/>
          </w:cols>
          <w:pgMar w:left="320" w:top="459" w:right="439" w:bottom="1440" w:gutter="0" w:footer="0" w:header="0"/>
        </w:sectPr>
      </w:pPr>
    </w:p>
    <w:p>
      <w:pPr>
        <w:spacing w:after="0" w:line="91" w:lineRule="exact"/>
        <w:rPr>
          <w:sz w:val="20"/>
          <w:szCs w:val="20"/>
          <w:color w:val="auto"/>
        </w:rPr>
      </w:pPr>
    </w:p>
    <w:p>
      <w:pPr>
        <w:ind w:left="880" w:right="40" w:hanging="219"/>
        <w:spacing w:after="0" w:line="308" w:lineRule="auto"/>
        <w:tabs>
          <w:tab w:leader="none" w:pos="860" w:val="left"/>
        </w:tabs>
        <w:rPr>
          <w:sz w:val="20"/>
          <w:szCs w:val="20"/>
          <w:color w:val="auto"/>
        </w:rPr>
      </w:pPr>
      <w:r>
        <w:rPr>
          <w:rFonts w:ascii="Arial" w:cs="Arial" w:eastAsia="Arial" w:hAnsi="Arial"/>
          <w:sz w:val="17"/>
          <w:szCs w:val="17"/>
          <w:color w:val="auto"/>
        </w:rPr>
        <w:t>•</w:t>
        <w:tab/>
        <w:t>beginning on the date of this prospectus, the sale in the public market;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w:t>
      </w:r>
    </w:p>
    <w:p>
      <w:pPr>
        <w:spacing w:after="0" w:line="369" w:lineRule="exact"/>
        <w:rPr>
          <w:sz w:val="20"/>
          <w:szCs w:val="20"/>
          <w:color w:val="auto"/>
        </w:rPr>
      </w:pPr>
    </w:p>
    <w:p>
      <w:pPr>
        <w:sectPr>
          <w:pgSz w:w="11900" w:h="16838" w:orient="portrait"/>
          <w:cols w:equalWidth="0" w:num="2">
            <w:col w:w="4120" w:space="720"/>
            <w:col w:w="6300"/>
          </w:cols>
          <w:pgMar w:left="320" w:top="459" w:right="439" w:bottom="1440" w:gutter="0" w:footer="0" w:header="0"/>
          <w:type w:val="continuous"/>
        </w:sectPr>
      </w:pPr>
    </w:p>
    <w:p>
      <w:pPr>
        <w:ind w:left="880" w:hanging="219"/>
        <w:spacing w:after="0" w:line="258" w:lineRule="auto"/>
        <w:tabs>
          <w:tab w:leader="none" w:pos="860" w:val="left"/>
        </w:tabs>
        <w:rPr>
          <w:sz w:val="20"/>
          <w:szCs w:val="20"/>
          <w:color w:val="auto"/>
        </w:rPr>
      </w:pPr>
      <w:r>
        <w:rPr>
          <w:rFonts w:ascii="Arial" w:cs="Arial" w:eastAsia="Arial" w:hAnsi="Arial"/>
          <w:sz w:val="18"/>
          <w:szCs w:val="18"/>
          <w:color w:val="auto"/>
        </w:rPr>
        <w:t>•</w:t>
        <w:tab/>
        <w:t>beginning days after the date of this prospectus, subject to certain exceptions as described in the section titled below, additional shares of Class B common stock will become eligible for sale in the public market, of which</w:t>
      </w:r>
    </w:p>
    <w:p>
      <w:pPr>
        <w:spacing w:after="0" w:line="20" w:lineRule="exact"/>
        <w:rPr>
          <w:sz w:val="20"/>
          <w:szCs w:val="20"/>
          <w:color w:val="auto"/>
        </w:rPr>
      </w:pPr>
      <w:r>
        <w:rPr>
          <w:sz w:val="20"/>
          <w:szCs w:val="20"/>
          <w:color w:val="auto"/>
        </w:rPr>
        <w:br w:type="column"/>
      </w:r>
    </w:p>
    <w:p>
      <w:pPr>
        <w:jc w:val="right"/>
        <w:ind w:right="20"/>
        <w:spacing w:after="0" w:line="274" w:lineRule="auto"/>
        <w:rPr>
          <w:sz w:val="20"/>
          <w:szCs w:val="20"/>
          <w:color w:val="auto"/>
        </w:rPr>
      </w:pPr>
      <w:r>
        <w:rPr>
          <w:rFonts w:ascii="Arial" w:cs="Arial" w:eastAsia="Arial" w:hAnsi="Arial"/>
          <w:sz w:val="17"/>
          <w:szCs w:val="17"/>
          <w:color w:val="auto"/>
        </w:rPr>
        <w:t>“Underwriting” shares will</w:t>
      </w:r>
    </w:p>
    <w:p>
      <w:pPr>
        <w:spacing w:after="0" w:line="1" w:lineRule="exact"/>
        <w:rPr>
          <w:sz w:val="20"/>
          <w:szCs w:val="20"/>
          <w:color w:val="auto"/>
        </w:rPr>
      </w:pPr>
    </w:p>
    <w:p>
      <w:pPr>
        <w:sectPr>
          <w:pgSz w:w="11900" w:h="16838" w:orient="portrait"/>
          <w:cols w:equalWidth="0" w:num="2">
            <w:col w:w="9900" w:space="100"/>
            <w:col w:w="114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be held by affiliates and subject to the volume and other restrictions of Rule 144, as described below; and</w:t>
      </w:r>
    </w:p>
    <w:p>
      <w:pPr>
        <w:spacing w:after="0" w:line="116" w:lineRule="exact"/>
        <w:rPr>
          <w:sz w:val="20"/>
          <w:szCs w:val="20"/>
          <w:color w:val="auto"/>
        </w:rPr>
      </w:pPr>
    </w:p>
    <w:p>
      <w:pPr>
        <w:ind w:left="880" w:right="20" w:hanging="224"/>
        <w:spacing w:after="0" w:line="277"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our executive officers, directors and holders of substantially all of our Class B common stock and securities convertible into or exchangeable for our Class B common stock, have agreed or will agree that, subject to certain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3"/>
        </w:trPr>
        <w:tc>
          <w:tcPr>
            <w:tcW w:w="230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166">
              <w:r>
                <w:rPr>
                  <w:rFonts w:ascii="Arial" w:cs="Arial" w:eastAsia="Arial" w:hAnsi="Arial"/>
                  <w:sz w:val="18"/>
                  <w:szCs w:val="18"/>
                  <w:b w:val="1"/>
                  <w:bCs w:val="1"/>
                  <w:color w:val="0000EE"/>
                  <w:w w:val="89"/>
                </w:rPr>
                <w:t>Index to Financial Statements</w:t>
              </w:r>
            </w:hyperlink>
          </w:p>
        </w:tc>
        <w:tc>
          <w:tcPr>
            <w:tcW w:w="5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33"/>
        </w:trPr>
        <w:tc>
          <w:tcPr>
            <w:tcW w:w="9640" w:type="dxa"/>
            <w:vAlign w:val="bottom"/>
            <w:gridSpan w:val="5"/>
          </w:tcPr>
          <w:p>
            <w:pPr>
              <w:ind w:left="120"/>
              <w:spacing w:after="0"/>
              <w:rPr>
                <w:sz w:val="20"/>
                <w:szCs w:val="20"/>
                <w:color w:val="auto"/>
              </w:rPr>
            </w:pPr>
            <w:r>
              <w:rPr>
                <w:rFonts w:ascii="Arial" w:cs="Arial" w:eastAsia="Arial" w:hAnsi="Arial"/>
                <w:sz w:val="18"/>
                <w:szCs w:val="18"/>
                <w:color w:val="auto"/>
                <w:w w:val="98"/>
              </w:rPr>
              <w:t>exceptions, for a period of  days from the date of this prospectus, we and they will not, without the prior written consent of</w:t>
            </w:r>
          </w:p>
        </w:tc>
        <w:tc>
          <w:tcPr>
            <w:tcW w:w="1480" w:type="dxa"/>
            <w:vAlign w:val="bottom"/>
          </w:tcPr>
          <w:p>
            <w:pPr>
              <w:jc w:val="right"/>
              <w:spacing w:after="0"/>
              <w:rPr>
                <w:sz w:val="20"/>
                <w:szCs w:val="20"/>
                <w:color w:val="auto"/>
              </w:rPr>
            </w:pPr>
            <w:r>
              <w:rPr>
                <w:rFonts w:ascii="Arial" w:cs="Arial" w:eastAsia="Arial" w:hAnsi="Arial"/>
                <w:sz w:val="18"/>
                <w:szCs w:val="18"/>
                <w:color w:val="auto"/>
              </w:rPr>
              <w:t>, dispose of or</w:t>
            </w:r>
          </w:p>
        </w:tc>
      </w:tr>
      <w:tr>
        <w:trPr>
          <w:trHeight w:val="230"/>
        </w:trPr>
        <w:tc>
          <w:tcPr>
            <w:tcW w:w="7600" w:type="dxa"/>
            <w:vAlign w:val="bottom"/>
            <w:gridSpan w:val="3"/>
          </w:tcPr>
          <w:p>
            <w:pPr>
              <w:ind w:left="120"/>
              <w:spacing w:after="0"/>
              <w:rPr>
                <w:sz w:val="20"/>
                <w:szCs w:val="20"/>
                <w:color w:val="auto"/>
              </w:rPr>
            </w:pPr>
            <w:r>
              <w:rPr>
                <w:rFonts w:ascii="Arial" w:cs="Arial" w:eastAsia="Arial" w:hAnsi="Arial"/>
                <w:sz w:val="18"/>
                <w:szCs w:val="18"/>
                <w:color w:val="auto"/>
                <w:w w:val="94"/>
              </w:rPr>
              <w:t>hedge any shares or any securities convertible into or exchangeable for shares of our capital stock.</w:t>
            </w:r>
          </w:p>
        </w:tc>
        <w:tc>
          <w:tcPr>
            <w:tcW w:w="980" w:type="dxa"/>
            <w:vAlign w:val="bottom"/>
          </w:tcPr>
          <w:p>
            <w:pPr>
              <w:ind w:left="380"/>
              <w:spacing w:after="0"/>
              <w:rPr>
                <w:sz w:val="20"/>
                <w:szCs w:val="20"/>
                <w:color w:val="auto"/>
              </w:rPr>
            </w:pPr>
            <w:r>
              <w:rPr>
                <w:rFonts w:ascii="Arial" w:cs="Arial" w:eastAsia="Arial" w:hAnsi="Arial"/>
                <w:sz w:val="18"/>
                <w:szCs w:val="18"/>
                <w:color w:val="auto"/>
              </w:rPr>
              <w:t>, in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discretion, may release any of</w:t>
            </w:r>
          </w:p>
        </w:tc>
      </w:tr>
    </w:tbl>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subject to these lock-up agreements at any time. This agreement is further described as set forth in the section titled “Underwriting.”</w:t>
      </w:r>
    </w:p>
    <w:p>
      <w:pPr>
        <w:spacing w:after="0" w:line="22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140"/>
          </w:cols>
          <w:pgMar w:left="320" w:top="446" w:right="439" w:bottom="1440" w:gutter="0" w:footer="0" w:header="0"/>
        </w:sectPr>
      </w:pPr>
    </w:p>
    <w:p>
      <w:pPr>
        <w:spacing w:after="0" w:line="52" w:lineRule="exact"/>
        <w:rPr>
          <w:sz w:val="20"/>
          <w:szCs w:val="20"/>
          <w:color w:val="auto"/>
        </w:rPr>
      </w:pPr>
    </w:p>
    <w:p>
      <w:pPr>
        <w:ind w:left="880" w:right="180" w:hanging="219"/>
        <w:spacing w:after="0" w:line="277" w:lineRule="auto"/>
        <w:tabs>
          <w:tab w:leader="none" w:pos="860" w:val="left"/>
        </w:tabs>
        <w:rPr>
          <w:sz w:val="20"/>
          <w:szCs w:val="20"/>
          <w:color w:val="auto"/>
        </w:rPr>
      </w:pPr>
      <w:r>
        <w:rPr>
          <w:rFonts w:ascii="Arial" w:cs="Arial" w:eastAsia="Arial" w:hAnsi="Arial"/>
          <w:sz w:val="18"/>
          <w:szCs w:val="18"/>
          <w:color w:val="auto"/>
        </w:rPr>
        <w:t>•</w:t>
        <w:tab/>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2">
            <w:col w:w="9000" w:space="720"/>
            <w:col w:w="1420"/>
          </w:cols>
          <w:pgMar w:left="320" w:top="446" w:right="439" w:bottom="1440" w:gutter="0" w:footer="0" w:header="0"/>
          <w:type w:val="continuous"/>
        </w:sectPr>
      </w:pPr>
    </w:p>
    <w:p>
      <w:pPr>
        <w:ind w:left="880" w:right="20" w:hanging="224"/>
        <w:spacing w:after="0" w:line="277"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investor rights agreement, the holders of up to 358,036,944 shares of our Class B common stock (including shares issuable upon the conversion of our outstanding redeemable convertible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46" w:right="4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intend to file a registration statement on Form S-8 under the Securities Act to register all of the shares of our Class A common stock and Class B common stock issued or reserved for issuance under our 2011 Plan, our 2021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December 31, 2020, RSUs and options to purchase a total of 27,851,710 shares of our Class B common stock pursuant to our 2011 Plan were outstanding and no options or other equity awards were outstanding or exercisable under our 2021 Plan.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55"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9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10080" w:type="dxa"/>
            <w:vAlign w:val="bottom"/>
          </w:tcPr>
          <w:p>
            <w:pPr>
              <w:jc w:val="center"/>
              <w:ind w:left="93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10080" w:type="dxa"/>
            <w:vAlign w:val="bottom"/>
          </w:tcPr>
          <w:p>
            <w:pPr>
              <w:jc w:val="center"/>
              <w:ind w:left="934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 Seelaus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Siebert Williams Shank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wp:posOffset>
            </wp:positionV>
            <wp:extent cx="4540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25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w w:val="96"/>
              </w:rPr>
              <w:t>assuming both no exercise and full exercise of the underwriters’ option to purchase</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w w:val="90"/>
              </w:rPr>
              <w:t>additional shares of our Class A common stock.</w:t>
            </w:r>
          </w:p>
        </w:tc>
        <w:tc>
          <w:tcPr>
            <w:tcW w:w="820" w:type="dxa"/>
            <w:vAlign w:val="bottom"/>
          </w:tcPr>
          <w:p>
            <w:pPr>
              <w:spacing w:after="0"/>
              <w:rPr>
                <w:sz w:val="20"/>
                <w:szCs w:val="20"/>
                <w:color w:val="auto"/>
              </w:rPr>
            </w:pPr>
          </w:p>
        </w:tc>
      </w:tr>
      <w:tr>
        <w:trPr>
          <w:trHeight w:val="377"/>
        </w:trPr>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and our officers, directors and holders of substantially all of our common stock and securities convertible into or exchangeable for shares of our common stock have agreed with the underwriters of this offering that, subject to certain exceptions, we and they will not dispose of or hedge any shares of common stock or securities convertible into or exchangeable for shares of common stock during the period from the date of this prospectus</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continuing through the date days after the date of this prospectus, except with the prior written consent of . This agreement does not apply to any existing employee benefit plans. See the section titled “Shares Eligible for Future Sale” for a discussion of certain transfer restrictions.</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Prior to the offering, there has been no public market for our Class A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apply to list our Class A common stock on Nasdaq 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 million. We will agree to reimburse the underwriters for expenses related to any applicable state securities filings incurred by them in connection with this offering in an amount up to $ .</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at December 31, 2019 and 2020, and for each of the two years in the period ended December 31, 2020, as set forth in their report. We have included our financial statements in the prospectus and elsewhere in the registration statement in reliance on Ernst &amp; Young LLP’s report, given on their authority as experts in accounting and auditing.</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Report of Independent Registered Public Accounting Firm</w:t>
              </w:r>
            </w:hyperlink>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71">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Marqeta, Inc. (the Company) as of December 31, 2019 and 2020, the related consolidated statements of operations, comprehensive loss, redeemable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220,433</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7,800</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95,225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149,903</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3,974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8,420</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12,867</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10,622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20,022</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11,461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197,205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430,906</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10,520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9,477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15,248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13,411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3,886</w:t>
            </w: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223,191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457,680</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2,362</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29,749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78,191</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60,545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141,098</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17,669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15,449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10,452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169,516</w:t>
            </w:r>
          </w:p>
        </w:tc>
        <w:tc>
          <w:tcPr>
            <w:tcW w:w="120" w:type="dxa"/>
            <w:vAlign w:val="bottom"/>
          </w:tcPr>
          <w:p>
            <w:pPr>
              <w:spacing w:after="0"/>
              <w:rPr>
                <w:sz w:val="19"/>
                <w:szCs w:val="19"/>
                <w:color w:val="auto"/>
              </w:rPr>
            </w:pPr>
          </w:p>
        </w:tc>
      </w:tr>
      <w:tr>
        <w:trPr>
          <w:trHeight w:val="115"/>
        </w:trPr>
        <w:tc>
          <w:tcPr>
            <w:tcW w:w="8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Commitments and contingencies (Note 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10"/>
        </w:trPr>
        <w:tc>
          <w:tcPr>
            <w:tcW w:w="8980" w:type="dxa"/>
            <w:vAlign w:val="bottom"/>
          </w:tcPr>
          <w:p>
            <w:pPr>
              <w:spacing w:after="0"/>
              <w:rPr>
                <w:sz w:val="20"/>
                <w:szCs w:val="20"/>
                <w:color w:val="auto"/>
              </w:rPr>
            </w:pPr>
            <w:r>
              <w:rPr>
                <w:rFonts w:ascii="Arial" w:cs="Arial" w:eastAsia="Arial" w:hAnsi="Arial"/>
                <w:sz w:val="18"/>
                <w:szCs w:val="18"/>
                <w:color w:val="auto"/>
              </w:rPr>
              <w:t>Redeemable convertible preferred stock, $0.0001 par value; 337,047,188 and 352,047,950 shares authorized;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w w:val="98"/>
              </w:rPr>
              <w:t>336,843,578 and 351,844,340 shares issued and outstanding; aggregate liquidation preference of $378,707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$552,868 as of December 31, 2019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w w:val="95"/>
              </w:rPr>
              <w:t>335,748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501,881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980" w:type="dxa"/>
            <w:vAlign w:val="bottom"/>
          </w:tcPr>
          <w:p>
            <w:pPr>
              <w:spacing w:after="0" w:line="201" w:lineRule="exact"/>
              <w:rPr>
                <w:sz w:val="20"/>
                <w:szCs w:val="20"/>
                <w:color w:val="auto"/>
              </w:rPr>
            </w:pPr>
            <w:r>
              <w:rPr>
                <w:rFonts w:ascii="Arial" w:cs="Arial" w:eastAsia="Arial" w:hAnsi="Arial"/>
                <w:sz w:val="18"/>
                <w:szCs w:val="18"/>
                <w:color w:val="auto"/>
                <w:w w:val="97"/>
              </w:rPr>
              <w:t>Common stock, $0.0001 par value; 503,000,000 and 545,000,000 shares authorized, 118,430,031 and 130,312,838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2019 and 2020,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39,769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88"/>
              </w:rPr>
              <w:t>(205,829)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(253,524)</w:t>
            </w: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(198,406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(213,717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223,191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457,680</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6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Costs of revenue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82,814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172,385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60,453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117,907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86,506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126,861</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8,960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7,796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30"/>
        </w:trPr>
        <w:tc>
          <w:tcPr>
            <w:tcW w:w="7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(58,863)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(47,087)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(47,608)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(122,349)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Weighted-average shares used in computing net loss per share attributable to common stockholders,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113,851,714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122,932,556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$(58,200)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$(47,695)</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3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Change in unrealized gain on marketable securities</w:t>
            </w:r>
          </w:p>
        </w:tc>
        <w:tc>
          <w:tcPr>
            <w:tcW w:w="26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r>
      <w:tr>
        <w:trPr>
          <w:trHeight w:val="27"/>
        </w:trPr>
        <w:tc>
          <w:tcPr>
            <w:tcW w:w="66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(58,153)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(47,716)</w:t>
            </w:r>
          </w:p>
        </w:tc>
      </w:tr>
      <w:tr>
        <w:trPr>
          <w:trHeight w:val="20"/>
        </w:trPr>
        <w:tc>
          <w:tcPr>
            <w:tcW w:w="6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3040" w:type="dxa"/>
            <w:vAlign w:val="bottom"/>
          </w:tcPr>
          <w:p>
            <w:pPr>
              <w:spacing w:after="0"/>
              <w:rPr>
                <w:sz w:val="2"/>
                <w:szCs w:val="2"/>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040" w:type="dxa"/>
            <w:vAlign w:val="bottom"/>
          </w:tcPr>
          <w:p>
            <w:pPr>
              <w:spacing w:after="0"/>
              <w:rPr>
                <w:sz w:val="11"/>
                <w:szCs w:val="11"/>
                <w:color w:val="auto"/>
              </w:rPr>
            </w:pPr>
          </w:p>
        </w:tc>
        <w:tc>
          <w:tcPr>
            <w:tcW w:w="166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287,216,434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$ 114,842</w:t>
            </w: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w w:val="76"/>
              </w:rPr>
              <w:t>12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38,552,483</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142,990</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11,074,661</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13,767</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9"/>
              </w:rPr>
              <w:t>Deemed dividend upon the exchange of Series A</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w w:val="98"/>
              </w:rPr>
              <w:t>and Series C redeemable convertible preferred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Arial" w:cs="Arial" w:eastAsia="Arial" w:hAnsi="Arial"/>
                <w:sz w:val="14"/>
                <w:szCs w:val="14"/>
                <w:color w:val="auto"/>
              </w:rPr>
              <w:t>stock for Series E redeemable convertible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64,149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336,843,578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335,748</w:t>
            </w: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118,430,031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w w:val="76"/>
              </w:rPr>
              <w:t>12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3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E-1 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at $8.34 per share, net of</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$8,058</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20,989,756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166,942</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Conversion of Series A and Series C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convertible preferred stock to common 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(5,988,994)</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5,988,994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808</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5,236,999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2,472</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130"/>
        </w:trPr>
        <w:tc>
          <w:tcPr>
            <w:tcW w:w="3040" w:type="dxa"/>
            <w:vAlign w:val="bottom"/>
          </w:tcPr>
          <w:p>
            <w:pPr>
              <w:spacing w:after="0" w:line="130" w:lineRule="exact"/>
              <w:rPr>
                <w:sz w:val="20"/>
                <w:szCs w:val="20"/>
                <w:color w:val="auto"/>
              </w:rPr>
            </w:pPr>
            <w:r>
              <w:rPr>
                <w:rFonts w:ascii="Arial" w:cs="Arial" w:eastAsia="Arial" w:hAnsi="Arial"/>
                <w:sz w:val="14"/>
                <w:szCs w:val="14"/>
                <w:color w:val="auto"/>
                <w:w w:val="98"/>
              </w:rPr>
              <w:t>Issuance of common stock upon early exercise of</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140"/>
              <w:spacing w:after="0"/>
              <w:rPr>
                <w:sz w:val="20"/>
                <w:szCs w:val="20"/>
                <w:color w:val="auto"/>
              </w:rPr>
            </w:pPr>
            <w:r>
              <w:rPr>
                <w:rFonts w:ascii="Arial" w:cs="Arial" w:eastAsia="Arial" w:hAnsi="Arial"/>
                <w:sz w:val="14"/>
                <w:szCs w:val="14"/>
                <w:color w:val="auto"/>
              </w:rPr>
              <w:t>unvested options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847,184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(190,370)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742</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common stock warrants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28,211</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28,211</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(47,695)</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351,844,340</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501,881</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130,312,838</w:t>
            </w:r>
          </w:p>
        </w:tc>
        <w:tc>
          <w:tcPr>
            <w:tcW w:w="4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39,769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(253,524)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(213,717)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Non-cash operating leases expense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(Accretion) Amortization of discount on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equity method investment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(4,485)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receivable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Network incentives receivable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share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(used in) /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(528,300)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(216,200)</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Sales of marketable securities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71,981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433,640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89,032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 of equity method investment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(57,562)</w:t>
            </w:r>
          </w:p>
        </w:tc>
        <w:tc>
          <w:tcPr>
            <w:tcW w:w="0" w:type="dxa"/>
            <w:vAlign w:val="bottom"/>
          </w:tcPr>
          <w:p>
            <w:pPr>
              <w:spacing w:after="0"/>
              <w:rPr>
                <w:sz w:val="1"/>
                <w:szCs w:val="1"/>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142,990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166,942</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Repayment of bank loan and related fees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including early exercised stock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early exercised unvested options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139,049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167,378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160,089</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44,841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68,144</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228,233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220,433</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228,233</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5380"/>
              <w:spacing w:after="0"/>
              <w:rPr>
                <w:sz w:val="20"/>
                <w:szCs w:val="20"/>
                <w:color w:val="auto"/>
              </w:rPr>
            </w:pPr>
            <w:r>
              <w:rPr>
                <w:rFonts w:ascii="Arial" w:cs="Arial" w:eastAsia="Arial" w:hAnsi="Arial"/>
                <w:sz w:val="18"/>
                <w:szCs w:val="18"/>
                <w:color w:val="auto"/>
              </w:rPr>
              <w:t>F-7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317</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159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w w:val="95"/>
              </w:rPr>
              <w:t>Deemed dividend upon the exchange for Series A and Series C redeemable convertible preferred stock for Series E</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80"/>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64,149</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convertible preferred stock to common stock</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809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Vesting of early exercised stock options</w:t>
            </w: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not yet paid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426</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The Company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Generally Accepted Accounting Principles (GAAP). All intercompany balances and transactions have been eliminated in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preparation of the financial statements requires management to make estimates and assumptions relating to reported amounts of assets and liabilities,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lease liabilities, the fair value of equity awards and warrants, and share-based compensation. Actual results could differ materially from these estimates.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 has incurred net losses since its inception. For the year ended December 31, 2020, the Company incurred a net loss of $47.7 million, and had an accumulated deficit of $253.5 million as of December 31, 2020. The Company expects losses from operations to continue for the foreseeable future as it incurs costs and expenses related to acquiring new Customers, developing its brand, expanding into new geographies, developing the existing Platform infrastructure, and creating new products for Customers. The Company believes that its cash and cash equivalents of $220.4 million and marketable securities of $149.9 million as of December 31, 2020 are sufficient to fund its operations through at least the next twelve months from the issuance of these financial statements.</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2020, the World Health Organization declared the outbreak of a novel coronavirus (COVID-19) as a pandemic. Since then, the COVID-19 pandemic has continued to spread throughout the United States. While the Company has not been adversely affected by the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Customers, vendors, and employees.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(i) providing access to the Company’s payment processing Platform and (ii)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generates revenue from providing platform services and other services as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Company’s Platform service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66"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Company allocates variable consideration to the distinct month in which the Platform services are delivered. When pricing terms are not consistent throughout the entire term of the contract, the Company estimates variable consideration in its Customer contracts primarily using the expected value method. The standard term of the Customer contracts is three years, with automatic renewal for successive one-year periods thereafter unless either party provides written notice of its intent not to renew. The Company develops estimates of variable consideration on the basis of both historical information and current trends and does not expect or anticipate significant reversal of revenue in the future periods.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 reduction to net revenue in the consolidated statements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Company’s contracts with Customers typically include provisions under which the Company shares a portion of the Interchange Fees with its Customers, referred to as Revenue Share. Revenue Share payments are incentives to Customers to increase their processing volume on the Company’s Platform. Revenue Share is generally computed as a percentage of the Interchange Fees earned or processing volume and is paid to Customers monthly.</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The Company’s contracts with Card Networks and Issuing Banks typically have terms ranging from three to five years which may be renewed in one-year to two-year increments as agreed by both parties. Issuing Bank costs compensate Issuing Banks for issuing cards to the Company’s Customers and sponsoring the Company’s card programs with the Card Networks and are generally equal to a specified percentage of the processing volume or a fixed amount per transaction, subject to monthly minimum amounts. Card fulfillment costs include physical cards, packaging, and other fulfillment costs.</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allocating resources and evaluating the Company’s financial performance.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years ended December 31, 2019 and 2020, revenue outside of the United States, based on the billing address of the Customer, was not material.</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2020, long-lived assets located outside of the United States were not 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and 2020, the allowance for doubtful accounts receivable was $0.2 million and $0.1 million,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Offering Costs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Deferred offering costs consist primarily of accounting, legal, and other fees related to the Company’s proposed initial public offering (“IPO”). Upon consummation of the IPO, the deferred offering costs will be reclassified to stockholders’ equity (deficit) and recorded net against the proceeds from the offering. In the event the IPO is aborted, deferred offering costs will be expensed. The Company capitalized $3.1 million of deferred offering costs within other assets, noncurrent in the consolidated balance sheet as of December 31, 2020. No offering costs were deferred as of December 31, 2019.</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years ended December 31, 2019 and 2020, the Company did not recognize any impairment of long-lived assets.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225"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expenses advertising costs as they are incurred. Advertising expenses for the years ended December 31, 2019 and 2020 were $1.1 million and $1.4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Research and development costs, which consist primarily of salaries, employees’ benefits, share-based compensation, third-party hosting fees and software licenses were $25.2 million and $34.0 million for the years ended December 31, 2019 and 2020, respectively. Research and development costs are expensed as incurred and are included in compensation and benefits and technology expenses in the consolidated statements of operations.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Black-Scholes-Merton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for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Commencing in 2020, the Company grants restricted stock units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The Company measures the RSU based on the fair value of the underlying common stock on the grant date. As of December 31, 2020, no share-based compensation expense had been recognized for RSUs because the liquidity condition had not occurred. In the period in which a liquidity condition is satisfied, the Company will record cumulative share-based compensation expense using the accelerated attribution method for those RSUs for which the service condition has been satisfied prior to the occurrence of the liquidity event. The Company will record the remaining unrecognized share-based compensation expense over the remainder of the requisite service period.</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the Company records share-based compensation expense for the difference between the price paid and the estimated fair value on the date of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an emerging growth company,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84"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ASU 2016-13 replaces the incurred loss model with the current expected credit loss, or CECL</w:t>
      </w:r>
      <w:r>
        <w:rPr>
          <w:rFonts w:ascii="Arial" w:cs="Arial" w:eastAsia="Arial" w:hAnsi="Arial"/>
          <w:sz w:val="16"/>
          <w:szCs w:val="16"/>
          <w:i w:val="1"/>
          <w:iCs w:val="1"/>
          <w:color w:val="auto"/>
        </w:rPr>
        <w:t xml:space="preserve"> </w:t>
      </w:r>
      <w:r>
        <w:rPr>
          <w:rFonts w:ascii="Arial" w:cs="Arial" w:eastAsia="Arial" w:hAnsi="Arial"/>
          <w:sz w:val="16"/>
          <w:szCs w:val="16"/>
          <w:color w:val="auto"/>
        </w:rPr>
        <w:t>model to estimate credit losses for financial 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(Subtopic 350-40), which aligns the requirements for capitalizing implementation costs incurred in a hosting arrangement that is a service contract with the requirements for capitalizing implementation costs incurred to develop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or obtain internal-use software (and hosting arrangements that include an internal use software license). The accounting for the service element of a hosting arrangement that is a service contract is not affected by the amendments in this ASU. The guidance will be effective for the Company beginning January 1, 2021. Early adoption is permitted. The adoption on January 1, 2021 did not have a material impact on the Company’s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44"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Year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0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$ 137,418</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$ 282,286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Other services revenue</w:t>
            </w:r>
          </w:p>
        </w:tc>
        <w:tc>
          <w:tcPr>
            <w:tcW w:w="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5,849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$ 143,267</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w w:val="97"/>
              </w:rPr>
              <w:t>$ 290,292</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0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00" w:type="dxa"/>
            <w:vAlign w:val="bottom"/>
            <w:gridSpan w:val="5"/>
          </w:tcPr>
          <w:p>
            <w:pPr>
              <w:spacing w:after="0"/>
              <w:rPr>
                <w:sz w:val="20"/>
                <w:szCs w:val="20"/>
                <w:color w:val="auto"/>
              </w:rPr>
            </w:pPr>
            <w:r>
              <w:rPr>
                <w:rFonts w:ascii="Arial" w:cs="Arial" w:eastAsia="Arial" w:hAnsi="Arial"/>
                <w:sz w:val="18"/>
                <w:szCs w:val="18"/>
                <w:color w:val="auto"/>
              </w:rPr>
              <w:t>The following table provides information about contract balances as of:</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 balance</w:t>
            </w:r>
          </w:p>
        </w:tc>
        <w:tc>
          <w:tcPr>
            <w:tcW w:w="2440" w:type="dxa"/>
            <w:vAlign w:val="bottom"/>
            <w:gridSpan w:val="2"/>
            <w:vMerge w:val="restart"/>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Balance sheet line reference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11"/>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Contract assets—current</w:t>
            </w:r>
          </w:p>
        </w:tc>
        <w:tc>
          <w:tcPr>
            <w:tcW w:w="78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top w:val="single" w:sz="8" w:color="auto"/>
            </w:tcBorders>
            <w:gridSpan w:val="2"/>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Contract assets—non-current</w:t>
            </w:r>
          </w:p>
        </w:tc>
        <w:tc>
          <w:tcPr>
            <w:tcW w:w="5000" w:type="dxa"/>
            <w:vAlign w:val="bottom"/>
            <w:gridSpan w:val="2"/>
          </w:tcPr>
          <w:p>
            <w:pPr>
              <w:ind w:left="78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contract assets</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center"/>
              <w:ind w:left="950"/>
              <w:spacing w:after="0"/>
              <w:rPr>
                <w:sz w:val="20"/>
                <w:szCs w:val="20"/>
                <w:color w:val="auto"/>
              </w:rPr>
            </w:pPr>
            <w:r>
              <w:rPr>
                <w:rFonts w:ascii="Arial" w:cs="Arial" w:eastAsia="Arial" w:hAnsi="Arial"/>
                <w:sz w:val="18"/>
                <w:szCs w:val="18"/>
                <w:color w:val="auto"/>
                <w:w w:val="79"/>
              </w:rPr>
              <w:t>$</w:t>
            </w:r>
          </w:p>
        </w:tc>
        <w:tc>
          <w:tcPr>
            <w:tcW w:w="4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Deferred revenue—current</w:t>
            </w:r>
          </w:p>
        </w:tc>
        <w:tc>
          <w:tcPr>
            <w:tcW w:w="5000" w:type="dxa"/>
            <w:vAlign w:val="bottom"/>
            <w:gridSpan w:val="2"/>
          </w:tcPr>
          <w:p>
            <w:pPr>
              <w:ind w:left="780"/>
              <w:spacing w:after="0"/>
              <w:rPr>
                <w:sz w:val="20"/>
                <w:szCs w:val="20"/>
                <w:color w:val="auto"/>
              </w:rPr>
            </w:pPr>
            <w:r>
              <w:rPr>
                <w:rFonts w:ascii="Arial" w:cs="Arial" w:eastAsia="Arial" w:hAnsi="Arial"/>
                <w:sz w:val="18"/>
                <w:szCs w:val="18"/>
                <w:color w:val="auto"/>
              </w:rPr>
              <w:t>Accrued expenses and other current liabilities</w:t>
            </w:r>
          </w:p>
        </w:tc>
        <w:tc>
          <w:tcPr>
            <w:tcW w:w="8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revenue—non-current</w:t>
            </w:r>
          </w:p>
        </w:tc>
        <w:tc>
          <w:tcPr>
            <w:tcW w:w="5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2,922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23"/>
        </w:trPr>
        <w:tc>
          <w:tcPr>
            <w:tcW w:w="3500" w:type="dxa"/>
            <w:vAlign w:val="bottom"/>
            <w:gridSpan w:val="3"/>
          </w:tcPr>
          <w:p>
            <w:pPr>
              <w:ind w:left="360"/>
              <w:spacing w:after="0"/>
              <w:rPr>
                <w:sz w:val="20"/>
                <w:szCs w:val="20"/>
                <w:color w:val="auto"/>
              </w:rPr>
            </w:pPr>
            <w:r>
              <w:rPr>
                <w:rFonts w:ascii="Arial" w:cs="Arial" w:eastAsia="Arial" w:hAnsi="Arial"/>
                <w:sz w:val="18"/>
                <w:szCs w:val="18"/>
                <w:color w:val="auto"/>
              </w:rPr>
              <w:t>Total deferred revenue</w:t>
            </w:r>
          </w:p>
        </w:tc>
        <w:tc>
          <w:tcPr>
            <w:tcW w:w="7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11"/>
          </w:tcPr>
          <w:p>
            <w:pPr>
              <w:ind w:lef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Deferred Revenue</w:t>
            </w:r>
          </w:p>
        </w:tc>
        <w:tc>
          <w:tcPr>
            <w:tcW w:w="238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120" w:type="dxa"/>
            <w:vAlign w:val="bottom"/>
            <w:tcBorders>
              <w:bottom w:val="single" w:sz="8" w:color="auto"/>
            </w:tcBorders>
            <w:gridSpan w:val="2"/>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0" w:type="dxa"/>
            <w:vAlign w:val="bottom"/>
            <w:gridSpan w:val="4"/>
          </w:tcPr>
          <w:p>
            <w:pPr>
              <w:spacing w:after="0"/>
              <w:rPr>
                <w:sz w:val="12"/>
                <w:szCs w:val="12"/>
                <w:color w:val="auto"/>
              </w:rPr>
            </w:pPr>
          </w:p>
        </w:tc>
        <w:tc>
          <w:tcPr>
            <w:tcW w:w="4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at the beginning of the period</w:t>
            </w:r>
          </w:p>
        </w:tc>
        <w:tc>
          <w:tcPr>
            <w:tcW w:w="78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4"/>
            <w:shd w:val="clear" w:color="auto" w:fill="CCEEFF"/>
          </w:tcPr>
          <w:p>
            <w:pPr>
              <w:spacing w:after="0"/>
              <w:rPr>
                <w:sz w:val="17"/>
                <w:szCs w:val="17"/>
                <w:color w:val="auto"/>
              </w:rPr>
            </w:pPr>
          </w:p>
        </w:tc>
        <w:tc>
          <w:tcPr>
            <w:tcW w:w="48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$1,069</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3,606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gridSpan w:val="5"/>
          </w:tcPr>
          <w:p>
            <w:pPr>
              <w:spacing w:after="0"/>
              <w:rPr>
                <w:sz w:val="20"/>
                <w:szCs w:val="20"/>
                <w:color w:val="auto"/>
              </w:rPr>
            </w:pPr>
            <w:r>
              <w:rPr>
                <w:rFonts w:ascii="Arial" w:cs="Arial" w:eastAsia="Arial" w:hAnsi="Arial"/>
                <w:sz w:val="18"/>
                <w:szCs w:val="18"/>
                <w:color w:val="auto"/>
                <w:w w:val="99"/>
              </w:rPr>
              <w:t>Revenue recognized in the period from amounts included in deferred revenue at the beginning of the period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(535)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7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9"/>
            <w:shd w:val="clear" w:color="auto" w:fill="CCEEFF"/>
          </w:tcPr>
          <w:p>
            <w:pPr>
              <w:jc w:val="right"/>
              <w:ind w:right="80"/>
              <w:spacing w:after="0"/>
              <w:rPr>
                <w:sz w:val="20"/>
                <w:szCs w:val="20"/>
                <w:color w:val="auto"/>
              </w:rPr>
            </w:pPr>
            <w:r>
              <w:rPr>
                <w:rFonts w:ascii="Arial" w:cs="Arial" w:eastAsia="Arial" w:hAnsi="Arial"/>
                <w:sz w:val="18"/>
                <w:szCs w:val="18"/>
                <w:color w:val="auto"/>
              </w:rPr>
              <w:t>3,072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spacing w:after="0"/>
              <w:rPr>
                <w:sz w:val="20"/>
                <w:szCs w:val="20"/>
                <w:color w:val="auto"/>
              </w:rPr>
            </w:pPr>
            <w:r>
              <w:rPr>
                <w:rFonts w:ascii="Arial" w:cs="Arial" w:eastAsia="Arial" w:hAnsi="Arial"/>
                <w:sz w:val="18"/>
                <w:szCs w:val="18"/>
                <w:color w:val="auto"/>
              </w:rPr>
              <w:t>Balance at the end of the period</w:t>
            </w:r>
          </w:p>
        </w:tc>
        <w:tc>
          <w:tcPr>
            <w:tcW w:w="7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3,606</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when the Customer utilizes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0" w:type="dxa"/>
            <w:vAlign w:val="bottom"/>
            <w:gridSpan w:val="6"/>
            <w:vMerge w:val="continue"/>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Gain</w:t>
            </w:r>
          </w:p>
        </w:tc>
        <w:tc>
          <w:tcPr>
            <w:tcW w:w="40" w:type="dxa"/>
            <w:vAlign w:val="bottom"/>
          </w:tcPr>
          <w:p>
            <w:pPr>
              <w:spacing w:after="0"/>
              <w:rPr>
                <w:sz w:val="14"/>
                <w:szCs w:val="14"/>
                <w:color w:val="auto"/>
              </w:rPr>
            </w:pPr>
          </w:p>
        </w:tc>
        <w:tc>
          <w:tcPr>
            <w:tcW w:w="460" w:type="dxa"/>
            <w:vAlign w:val="bottom"/>
          </w:tcPr>
          <w:p>
            <w:pPr>
              <w:ind w:left="1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3040" w:type="dxa"/>
            <w:vAlign w:val="bottom"/>
            <w:gridSpan w:val="5"/>
          </w:tcPr>
          <w:p>
            <w:pPr>
              <w:jc w:val="right"/>
              <w:ind w:right="200"/>
              <w:spacing w:after="0"/>
              <w:rPr>
                <w:sz w:val="20"/>
                <w:szCs w:val="20"/>
                <w:color w:val="auto"/>
              </w:rPr>
            </w:pPr>
            <w:r>
              <w:rPr>
                <w:rFonts w:ascii="Arial" w:cs="Arial" w:eastAsia="Arial" w:hAnsi="Arial"/>
                <w:sz w:val="18"/>
                <w:szCs w:val="18"/>
                <w:color w:val="auto"/>
              </w:rPr>
              <w:t>$ 18,049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(1)</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19,237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3040" w:type="dxa"/>
            <w:vAlign w:val="bottom"/>
            <w:gridSpan w:val="5"/>
          </w:tcPr>
          <w:p>
            <w:pPr>
              <w:jc w:val="right"/>
              <w:ind w:right="200"/>
              <w:spacing w:after="0"/>
              <w:rPr>
                <w:sz w:val="20"/>
                <w:szCs w:val="20"/>
                <w:color w:val="auto"/>
              </w:rPr>
            </w:pPr>
            <w:r>
              <w:rPr>
                <w:rFonts w:ascii="Arial" w:cs="Arial" w:eastAsia="Arial" w:hAnsi="Arial"/>
                <w:sz w:val="18"/>
                <w:szCs w:val="18"/>
                <w:color w:val="auto"/>
              </w:rPr>
              <w:t>25,014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(4)</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1"/>
              </w:rPr>
              <w:t>$ 95,156</w:t>
            </w: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79"/>
              </w:rPr>
              <w:t>74</w:t>
            </w:r>
          </w:p>
        </w:tc>
        <w:tc>
          <w:tcPr>
            <w:tcW w:w="1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(5)</w:t>
            </w:r>
          </w:p>
        </w:tc>
        <w:tc>
          <w:tcPr>
            <w:tcW w:w="2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6"/>
              </w:rPr>
              <w:t>December 31, 2020</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10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w:t>
            </w:r>
          </w:p>
        </w:tc>
        <w:tc>
          <w:tcPr>
            <w:tcW w:w="40" w:type="dxa"/>
            <w:vAlign w:val="bottom"/>
          </w:tcPr>
          <w:p>
            <w:pPr>
              <w:spacing w:after="0"/>
              <w:rPr>
                <w:sz w:val="14"/>
                <w:szCs w:val="14"/>
                <w:color w:val="auto"/>
              </w:rPr>
            </w:pPr>
          </w:p>
        </w:tc>
        <w:tc>
          <w:tcPr>
            <w:tcW w:w="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2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3060" w:type="dxa"/>
            <w:vAlign w:val="bottom"/>
            <w:gridSpan w:val="6"/>
          </w:tcPr>
          <w:p>
            <w:pPr>
              <w:jc w:val="right"/>
              <w:ind w:right="20"/>
              <w:spacing w:after="0"/>
              <w:rPr>
                <w:sz w:val="20"/>
                <w:szCs w:val="20"/>
                <w:color w:val="auto"/>
              </w:rPr>
            </w:pPr>
            <w:r>
              <w:rPr>
                <w:rFonts w:ascii="Arial" w:cs="Arial" w:eastAsia="Arial" w:hAnsi="Arial"/>
                <w:sz w:val="18"/>
                <w:szCs w:val="18"/>
                <w:color w:val="auto"/>
              </w:rPr>
              <w:t>$125,823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47</w:t>
            </w: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$125,864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30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4,991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3060" w:type="dxa"/>
            <w:vAlign w:val="bottom"/>
            <w:gridSpan w:val="6"/>
          </w:tcPr>
          <w:p>
            <w:pPr>
              <w:jc w:val="right"/>
              <w:ind w:right="20"/>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380" w:type="dxa"/>
            <w:vAlign w:val="bottom"/>
            <w:gridSpan w:val="3"/>
            <w:shd w:val="clear" w:color="auto" w:fill="CCEEFF"/>
          </w:tcPr>
          <w:p>
            <w:pPr>
              <w:spacing w:after="0"/>
              <w:rPr>
                <w:sz w:val="18"/>
                <w:szCs w:val="18"/>
                <w:color w:val="auto"/>
              </w:rPr>
            </w:pPr>
          </w:p>
        </w:tc>
        <w:tc>
          <w:tcPr>
            <w:tcW w:w="1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3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3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149,791</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4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149,903</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Company had four and six separate marketable securities in unrealized loss positions as of December 31, 2019 and 2020, respectively. The Company did not identify any marketable securities that were other-than-temporarily impaired as of December 31, 2019 and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stated maturities of the Company’s marketable securities: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Borders>
              <w:bottom w:val="single" w:sz="8" w:color="auto"/>
            </w:tcBorders>
            <w:gridSpan w:val="4"/>
          </w:tcPr>
          <w:p>
            <w:pPr>
              <w:jc w:val="right"/>
              <w:ind w:right="60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48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2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$ 84,088</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$ 84,149</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$149,903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11,076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$ 95,156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$ 95,225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149,791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149,903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Company’s financial instruments consist of cash equivalents, marketable securities, accounts receivables,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fair value. Accounts receivables,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0"/>
                <w:szCs w:val="10"/>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$19,047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$ 19,047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18,064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19,237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25,040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32,884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37,111</w:t>
            </w: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79,652</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116,763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$ 569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$ 569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80" w:type="dxa"/>
            <w:vAlign w:val="bottom"/>
          </w:tcPr>
          <w:p>
            <w:pPr>
              <w:spacing w:after="0"/>
              <w:rPr>
                <w:sz w:val="10"/>
                <w:szCs w:val="10"/>
                <w:color w:val="auto"/>
              </w:rPr>
            </w:pPr>
          </w:p>
        </w:tc>
        <w:tc>
          <w:tcPr>
            <w:tcW w:w="9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0"/>
                <w:szCs w:val="10"/>
                <w:color w:val="auto"/>
              </w:rPr>
            </w:pPr>
          </w:p>
        </w:tc>
        <w:tc>
          <w:tcPr>
            <w:tcW w:w="6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0"/>
                <w:szCs w:val="10"/>
                <w:color w:val="auto"/>
              </w:rPr>
            </w:pPr>
          </w:p>
        </w:tc>
        <w:tc>
          <w:tcPr>
            <w:tcW w:w="7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Total 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80" w:type="dxa"/>
            <w:vAlign w:val="bottom"/>
            <w:gridSpan w:val="5"/>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w w:val="84"/>
              </w:rPr>
              <w:t>$ 203,592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$ 203,592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125,864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125,864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auto"/>
              </w:rPr>
              <w:t>4,315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14,733</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$ 329,456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24,039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$ 353,495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2,517</w:t>
            </w:r>
          </w:p>
        </w:tc>
        <w:tc>
          <w:tcPr>
            <w:tcW w:w="100" w:type="dxa"/>
            <w:vAlign w:val="bottom"/>
          </w:tcPr>
          <w:p>
            <w:pPr>
              <w:spacing w:after="0"/>
              <w:rPr>
                <w:sz w:val="18"/>
                <w:szCs w:val="18"/>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2,517</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volatility</w:t>
            </w:r>
          </w:p>
        </w:tc>
        <w:tc>
          <w:tcPr>
            <w:tcW w:w="3400" w:type="dxa"/>
            <w:vAlign w:val="bottom"/>
            <w:gridSpan w:val="3"/>
          </w:tcPr>
          <w:p>
            <w:pPr>
              <w:jc w:val="right"/>
              <w:ind w:right="360"/>
              <w:spacing w:after="0"/>
              <w:rPr>
                <w:sz w:val="20"/>
                <w:szCs w:val="20"/>
                <w:color w:val="auto"/>
              </w:rPr>
            </w:pPr>
            <w:r>
              <w:rPr>
                <w:rFonts w:ascii="Arial" w:cs="Arial" w:eastAsia="Arial" w:hAnsi="Arial"/>
                <w:sz w:val="18"/>
                <w:szCs w:val="18"/>
                <w:color w:val="auto"/>
              </w:rPr>
              <w:t>43.7%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0" w:type="dxa"/>
            <w:vAlign w:val="bottom"/>
            <w:gridSpan w:val="3"/>
          </w:tcPr>
          <w:p>
            <w:pPr>
              <w:jc w:val="right"/>
              <w:ind w:right="36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B redeemable convertible preferred stock</w:t>
            </w:r>
          </w:p>
        </w:tc>
        <w:tc>
          <w:tcPr>
            <w:tcW w:w="3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$3.07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$12.66</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2019 and 2020, there were no transfers of financial instruments between the levels.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2580" w:type="dxa"/>
            <w:vAlign w:val="bottom"/>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$456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569</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2220" w:type="dxa"/>
            <w:vAlign w:val="bottom"/>
            <w:gridSpan w:val="2"/>
          </w:tcPr>
          <w:p>
            <w:pPr>
              <w:spacing w:after="0"/>
              <w:rPr>
                <w:sz w:val="18"/>
                <w:szCs w:val="18"/>
                <w:color w:val="auto"/>
              </w:rPr>
            </w:pPr>
          </w:p>
        </w:tc>
        <w:tc>
          <w:tcPr>
            <w:tcW w:w="500" w:type="dxa"/>
            <w:vAlign w:val="bottom"/>
            <w:gridSpan w:val="4"/>
          </w:tcPr>
          <w:p>
            <w:pPr>
              <w:jc w:val="right"/>
              <w:ind w:right="140"/>
              <w:spacing w:after="0"/>
              <w:rPr>
                <w:sz w:val="20"/>
                <w:szCs w:val="20"/>
                <w:color w:val="auto"/>
              </w:rPr>
            </w:pPr>
            <w:r>
              <w:rPr>
                <w:rFonts w:ascii="Arial" w:cs="Arial" w:eastAsia="Arial" w:hAnsi="Arial"/>
                <w:sz w:val="18"/>
                <w:szCs w:val="18"/>
                <w:color w:val="auto"/>
              </w:rPr>
              <w:t>113</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27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569</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6. Certain Balance Sheet Components</w:t>
            </w: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 as of:</w:t>
            </w: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9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$3,321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$ 6,162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Card programs deposit</w:t>
            </w:r>
          </w:p>
        </w:tc>
        <w:tc>
          <w:tcPr>
            <w:tcW w:w="2580" w:type="dxa"/>
            <w:vAlign w:val="bottom"/>
            <w:gridSpan w:val="5"/>
          </w:tcPr>
          <w:p>
            <w:pPr>
              <w:jc w:val="right"/>
              <w:ind w:right="120"/>
              <w:spacing w:after="0"/>
              <w:rPr>
                <w:sz w:val="20"/>
                <w:szCs w:val="20"/>
                <w:color w:val="auto"/>
              </w:rPr>
            </w:pPr>
            <w:r>
              <w:rPr>
                <w:rFonts w:ascii="Arial" w:cs="Arial" w:eastAsia="Arial" w:hAnsi="Arial"/>
                <w:sz w:val="18"/>
                <w:szCs w:val="18"/>
                <w:color w:val="auto"/>
              </w:rPr>
              <w:t>2,702</w:t>
            </w: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25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9,334</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$ 11,461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340"/>
              <w:spacing w:after="0"/>
              <w:rPr>
                <w:sz w:val="20"/>
                <w:szCs w:val="20"/>
                <w:color w:val="auto"/>
              </w:rPr>
            </w:pPr>
            <w:r>
              <w:rPr>
                <w:rFonts w:ascii="Arial" w:cs="Arial" w:eastAsia="Arial" w:hAnsi="Arial"/>
                <w:sz w:val="18"/>
                <w:szCs w:val="18"/>
                <w:color w:val="auto"/>
              </w:rPr>
              <w:t>F-20</w:t>
            </w:r>
          </w:p>
        </w:tc>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consisted of the following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7,634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r>
      <w:tr>
        <w:trPr>
          <w:trHeight w:val="27"/>
        </w:trPr>
        <w:tc>
          <w:tcPr>
            <w:tcW w:w="9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19,376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(6,572)</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(9,899)</w:t>
            </w:r>
          </w:p>
        </w:tc>
      </w:tr>
      <w:tr>
        <w:trPr>
          <w:trHeight w:val="27"/>
        </w:trPr>
        <w:tc>
          <w:tcPr>
            <w:tcW w:w="9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9,477</w:t>
            </w: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expense for the years ended December 31, 2019 and 2020 was $3.1 million and $3.5 million, respectively.</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the years ended December 31, 2019 and 2020, the Company did not capitalize any internal-use software costs because development costs meeting capitalization criteria were not material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47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$ 10,475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7,617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14,078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contract contingencies and processing errors</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revenue</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53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7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31,673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0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8"/>
                <w:szCs w:val="18"/>
                <w:color w:val="auto"/>
              </w:rPr>
              <w:t>Other liabilities consisted of the following as of:</w:t>
            </w: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gridSpan w:val="2"/>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4860" w:type="dxa"/>
            <w:vAlign w:val="bottom"/>
            <w:gridSpan w:val="2"/>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860" w:type="dxa"/>
            <w:vAlign w:val="bottom"/>
            <w:gridSpan w:val="2"/>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4860" w:type="dxa"/>
            <w:vAlign w:val="bottom"/>
            <w:gridSpan w:val="2"/>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10,452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5640" w:type="dxa"/>
            <w:vAlign w:val="bottom"/>
            <w:gridSpan w:val="4"/>
          </w:tcPr>
          <w:p>
            <w:pPr>
              <w:jc w:val="right"/>
              <w:ind w:right="4660"/>
              <w:spacing w:after="0"/>
              <w:rPr>
                <w:sz w:val="20"/>
                <w:szCs w:val="20"/>
                <w:color w:val="auto"/>
              </w:rPr>
            </w:pPr>
            <w:r>
              <w:rPr>
                <w:rFonts w:ascii="Arial" w:cs="Arial" w:eastAsia="Arial" w:hAnsi="Arial"/>
                <w:sz w:val="18"/>
                <w:szCs w:val="18"/>
                <w:color w:val="auto"/>
              </w:rPr>
              <w:t>F-21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leases expire in February 2026 and include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over base operating expenses as defined in the original lease agreement.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operating lease costs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23"/>
        </w:trPr>
        <w:tc>
          <w:tcPr>
            <w:tcW w:w="894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average discount rate used in the calculation of the Company’s lease assets and lease liabilities were as follows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5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operating lease term</w:t>
            </w:r>
          </w:p>
        </w:tc>
        <w:tc>
          <w:tcPr>
            <w:tcW w:w="52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80" w:type="dxa"/>
            <w:vAlign w:val="bottom"/>
            <w:gridSpan w:val="3"/>
          </w:tcPr>
          <w:p>
            <w:pPr>
              <w:jc w:val="right"/>
              <w:ind w:right="380"/>
              <w:spacing w:after="0"/>
              <w:rPr>
                <w:sz w:val="20"/>
                <w:szCs w:val="20"/>
                <w:color w:val="auto"/>
              </w:rPr>
            </w:pPr>
            <w:r>
              <w:rPr>
                <w:rFonts w:ascii="Arial" w:cs="Arial" w:eastAsia="Arial" w:hAnsi="Arial"/>
                <w:sz w:val="18"/>
                <w:szCs w:val="18"/>
                <w:color w:val="auto"/>
              </w:rPr>
              <w:t>7.8%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350"/>
        </w:trPr>
        <w:tc>
          <w:tcPr>
            <w:tcW w:w="4440" w:type="dxa"/>
            <w:vAlign w:val="bottom"/>
          </w:tcPr>
          <w:p>
            <w:pPr>
              <w:spacing w:after="0"/>
              <w:rPr>
                <w:sz w:val="24"/>
                <w:szCs w:val="24"/>
                <w:color w:val="auto"/>
              </w:rPr>
            </w:pPr>
          </w:p>
        </w:tc>
        <w:tc>
          <w:tcPr>
            <w:tcW w:w="6080" w:type="dxa"/>
            <w:vAlign w:val="bottom"/>
            <w:gridSpan w:val="3"/>
          </w:tcPr>
          <w:p>
            <w:pPr>
              <w:jc w:val="right"/>
              <w:ind w:right="4840"/>
              <w:spacing w:after="0"/>
              <w:rPr>
                <w:sz w:val="20"/>
                <w:szCs w:val="20"/>
                <w:color w:val="auto"/>
              </w:rPr>
            </w:pPr>
            <w:r>
              <w:rPr>
                <w:rFonts w:ascii="Arial" w:cs="Arial" w:eastAsia="Arial" w:hAnsi="Arial"/>
                <w:sz w:val="18"/>
                <w:szCs w:val="18"/>
                <w:color w:val="auto"/>
              </w:rPr>
              <w:t>F-22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operating lease liabilities by year are as follows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22,283</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18,220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Other information related to the Company’s operating leases were as follows:</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Operating cash flows form operating leases</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3,185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2,954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connection with the lease for its corporate headquarters office space,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the Company had non-cancellable purchase commitments with certain service providers and Issuing Banks totaling approximately $13.6 million, payable over the next 4 years. These purchase obligations generally represent minimum commitments for cloud-computing services and Issuing Bank processing fees over the fixed, non-cancellable respective contract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maintains a 401(k) plan that covers substantially all of its U.S. based employees and provides a matching contribution of 50% of the first 6% of compensation that an employee contributes, which matching contribution vests after one year of service. During the years ended December 31, 2019 and 2020, the Company contributed $1.1 million and $1.9 million to the 401(k) plan,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and 2020, there were no legal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 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2020 as it believes it is not probable that the indirect taxes are applicable to the Company. In the event that adverse information is received in response to the Company’s state inquiries, and the Company chooses not to appeal, a potential range of tax liabilities would be $1.2 million to $4.8 million as of December 31,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During the year ended December 31, 2020, the Company sold 20,989,756 shares of Series E-1 redeemable convertible preferred stock at a purchase price of $8.337 per share, for an aggregate purchase price of $175.0 million. Offering costs of $8.1 million were paid and recorded as an offset to these proceeds.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authorized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58,204,440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62,114,648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28,734,078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33,185,680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66,824,303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336,843,578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authorized</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83,471,731</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58,408,050</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58,204,440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60,434,352</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60,434,352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28,734,078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28,734,078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33,185,680</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33,185,680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080" w:type="dxa"/>
            <w:vAlign w:val="bottom"/>
          </w:tcPr>
          <w:p>
            <w:pPr>
              <w:ind w:left="260"/>
              <w:spacing w:after="0"/>
              <w:rPr>
                <w:sz w:val="20"/>
                <w:szCs w:val="20"/>
                <w:color w:val="auto"/>
              </w:rPr>
            </w:pPr>
            <w:r>
              <w:rPr>
                <w:rFonts w:ascii="Arial" w:cs="Arial" w:eastAsia="Arial" w:hAnsi="Arial"/>
                <w:sz w:val="18"/>
                <w:szCs w:val="18"/>
                <w:color w:val="auto"/>
                <w:w w:val="86"/>
              </w:rPr>
              <w:t>66,824,303</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66,824,303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08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86"/>
              </w:rPr>
              <w:t>20,989,756</w:t>
            </w:r>
          </w:p>
        </w:tc>
        <w:tc>
          <w:tcPr>
            <w:tcW w:w="2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20,989,756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7"/>
              </w:rPr>
              <w:t>352,047,950</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351,844,340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422,133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 price of $3.891 per share. The Company did not receive cash for the issuance of these shares of Series E redeemable convertible preferred stock. The Company recorded $13.7 million in share-based compensation expense in 2019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 on the consolidated balance sheet. There were no such transactions in 2020.</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Additionally during April 2019, the Company exchanged 10,771,746 shares and 6,425,413 shares of Series A and Series C redeemable convertible preferred stock, respectively, owned by non-employee stockholders, for 17,197,159 shares of Series E redeemable convertible preferred stock. Third-party investors purchased the Series A and Series C redeemable convertible preferred stock from these non-employee stockholders for the Series E redeemable convertible preferred stock price of $3.891 per share. The Company did not receive cash for the issuance of these shares of Series E redeemable convertible preferred stock. The amount paid by the third-party investors in excess of the carrying value of Series A and Series C redeemable convertible preferred stock was considered a deemed dividend provided by the Company to the non-employee selling stockholders. The Company recorded a deemed dividend of $64.1 million in 2019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 There were no such transactions in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Conversion of Series A and Series C redeemable convertible preferred stock to common stock</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During August 2020, the Company converted 5,988,994 shares of Series A and Series C redeemable convertible preferred stock, owned by non-employee stockholders, for the same number of shares of common stock, at the request of the holders based on the conversion terms specified in the original agreements. The Company did not receive cash for the issuance of these shares of common stock. The carrying value of the converted Series A and Series C redeemable convertible preferred stock of $0.8 million was reclassified to common stock par value and additional paid-in-capital upon conversion. The shares of Series A and Series C redeemable convertible preferred stock that were converted were retired and have been removed from the authorized, issued and outstanding number of shares on the consolidated balance sheets and consolidated statements of redeemable convertible preferred stock and stockholders’ deficit as of December 31, 2020.</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redeemable convertible preferred stock at December 31, 2020 have various rights and preferences as follows:</w:t>
      </w:r>
    </w:p>
    <w:p>
      <w:pPr>
        <w:spacing w:after="0" w:line="225"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—The holders of redeemable convertible preferred stock have no voluntary rights to redeem shares. The redeemable convertible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 The Company recorded all shares of redeemable convertible preferred stock at their respective issuance price less issuance costs on the dates of issuance. Given the Company’s performance and financial condition, the Company currently does not believe a Liquidation Event is probable. The carrying values of the Company’s redeemable convertible preferred stock have not been accreted to their redemption values as the Liquidation Event is not considered probable of occurring. Subsequent adjustments of the carrying values to redemption values will be made only if and when it becomes probable the preferred shares will become redeemable.</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E-1, Series E, Series D-1,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D redeemable convertible preferred stock shall be entitled to receive a payout of $8.337, $3.891, $1.205, and $1.205 per share, respectively, plus any declared and unpaid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dividends, prior and in preference to any distributions made to the holders of Series C, Series B, and Series A redeemable convertible preferred stock and to the holders of common stock.</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the assets and funds distributed among the holders of the Series E-1,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E-1,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After the payment of the full liquidation preference of the Series E-1,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i w:val="1"/>
          <w:iCs w:val="1"/>
          <w:color w:val="auto"/>
        </w:rPr>
        <w:t>—</w:t>
      </w:r>
      <w:r>
        <w:rPr>
          <w:rFonts w:ascii="Arial" w:cs="Arial" w:eastAsia="Arial" w:hAnsi="Arial"/>
          <w:sz w:val="18"/>
          <w:szCs w:val="18"/>
          <w:color w:val="auto"/>
        </w:rPr>
        <w:t>Holders of Series E-1, Series E, Series D-1, and Series D redeemable convertible preferred stock, prior and in preference to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C, Series B, and Series A redeemable convertible preferred stock, are entitled to receive cash dividends at a rate of 8.0% of their original issue price.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E-1,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After the holders of the Series C, Series B, and Series A redeemable convertible preferred stock have received their full dividend preference, any remaining dividends shall be distributed among all holders of common stock and all holders of Series E-1,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ind w:left="440" w:right="20" w:firstLine="6"/>
        <w:spacing w:after="0" w:line="277" w:lineRule="auto"/>
        <w:tabs>
          <w:tab w:leader="none" w:pos="7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440"/>
        <w:spacing w:after="0" w:line="311" w:lineRule="auto"/>
        <w:rPr>
          <w:sz w:val="20"/>
          <w:szCs w:val="20"/>
          <w:color w:val="auto"/>
        </w:rPr>
      </w:pPr>
      <w:r>
        <w:rPr>
          <w:rFonts w:ascii="Arial" w:cs="Arial" w:eastAsia="Arial" w:hAnsi="Arial"/>
          <w:sz w:val="16"/>
          <w:szCs w:val="16"/>
          <w:color w:val="auto"/>
        </w:rPr>
        <w:t>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41" w:lineRule="exact"/>
        <w:rPr>
          <w:sz w:val="20"/>
          <w:szCs w:val="20"/>
          <w:color w:val="auto"/>
        </w:rPr>
      </w:pPr>
    </w:p>
    <w:p>
      <w:pPr>
        <w:jc w:val="both"/>
        <w:ind w:left="440" w:firstLine="6"/>
        <w:spacing w:after="0" w:line="254" w:lineRule="auto"/>
        <w:tabs>
          <w:tab w:leader="none" w:pos="7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(iii) with respect to the Series E redeemable convertible preferred stock only, the holders of a majority of the outstanding shares of Series E redeemable convertible preferred stock only, voting as a separate series and (iv) with respect to the Series E-1 convertible preferred stock only, the holders of a majority of the outstanding shares of Series E-1 redeemable convertible preferred stock, voting as a separate series.</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and 2020, the conversion prices per share for all series of redeemable convertible preferred stock were equal to the original issue prices, and the rate at which each share would convert into common stock was one-for-one.</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the Company was authorized to issue up to 897,047,950 of shares of its capital stock, of which 545,000,000 shares have been designated as common stock.</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Series E and Series E-1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as of: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7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58,204,440</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60,434,352</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28,734,078</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33,185,680</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66,824,303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20,989,756</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203,610</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1,602,414</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23,421,374</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4,430,336</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7,683,069</w:t>
            </w:r>
          </w:p>
        </w:tc>
        <w:tc>
          <w:tcPr>
            <w:tcW w:w="6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389,185,143</w:t>
            </w:r>
          </w:p>
        </w:tc>
      </w:tr>
      <w:tr>
        <w:trPr>
          <w:trHeight w:val="20"/>
        </w:trPr>
        <w:tc>
          <w:tcPr>
            <w:tcW w:w="9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to the reserved common stock shares above, the Company committed up to 360,000 common stock shares or equivalent in cash for future issuance to fund and support the Company’s social impact initiatives over the next ten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Company’s 2011 Plan, the board of directors may grant stock options, RSUs, and other share-related and performance awards that may be settled in cash, stock, or other property to employees, directors, and consultants. Under the Plan, up to 88,568,905 and 100,993,447 shares of common stock could be issued as of December 31, 2019 and 2020,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Price per</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Share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19,628,032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7.69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17,008,222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(8,529,478)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(2,947,365)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0.54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25,159,411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6,404,800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(6,084,183)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(2,058,654)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1.50</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23,421,374</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8.33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248,002</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6,820,497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0.21</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7.16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as of December 31, 2020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7,858,915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0.82</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7.59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440" w:hanging="324"/>
        <w:spacing w:after="0"/>
        <w:tabs>
          <w:tab w:leader="none" w:pos="4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these balances include all exercisable stock options regardless of vesting status.</w:t>
      </w:r>
    </w:p>
    <w:p>
      <w:pPr>
        <w:spacing w:after="0" w:line="23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 During the year ended December 31, 2020, share-based compensation recognized for employee stock options was $28.0 million, of which $10.7 million was related to stock option grants and $17.3 million was related to secondary market transactions between employees and certain economic interest holders.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2019 and 2020 was $1.73 and $1.81, respectively.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intrinsic value of options exercised during the years ended December 31, 2019 and 2020 was $21.2 million and $32.8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grant-date fair value of options vested during the year ended December 31, 2019 and 2020 was $5.2 million and $10.7 million, respectively.</w:t>
      </w:r>
    </w:p>
    <w:p>
      <w:pPr>
        <w:spacing w:after="0" w:line="23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unrecognized compensation costs related to unvested outstanding stock options was $25.7 million. These costs are expected to be recognized over a period of 3.5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44"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4660" w:type="dxa"/>
            <w:vAlign w:val="bottom"/>
            <w:gridSpan w:val="3"/>
          </w:tcPr>
          <w:p>
            <w:pPr>
              <w:jc w:val="right"/>
              <w:ind w:right="380"/>
              <w:spacing w:after="0"/>
              <w:rPr>
                <w:sz w:val="20"/>
                <w:szCs w:val="20"/>
                <w:color w:val="auto"/>
              </w:rPr>
            </w:pPr>
            <w:r>
              <w:rPr>
                <w:rFonts w:ascii="Arial" w:cs="Arial" w:eastAsia="Arial" w:hAnsi="Arial"/>
                <w:sz w:val="18"/>
                <w:szCs w:val="18"/>
                <w:color w:val="auto"/>
              </w:rPr>
              <w:t>43.7%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6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$3.27</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observed secondary sales of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46"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the Company has considered the impact on its valuation estimates from secondary transactions and given weighting to such transactions in its common stock fair value estimates. The Company considered the facts and circumstances of each secondary transaction including the different buyers and sellers, transaction volume, timing relative to the valuation date, and whether the transaction involved investors with access to the Company’s financial information.</w:t>
      </w:r>
    </w:p>
    <w:p>
      <w:pPr>
        <w:spacing w:after="0" w:line="18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options are expected to remain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84"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i w:val="1"/>
          <w:iCs w:val="1"/>
          <w:color w:val="auto"/>
        </w:rPr>
        <w:t>Dividends:</w:t>
      </w:r>
      <w:r>
        <w:rPr>
          <w:sz w:val="20"/>
          <w:szCs w:val="20"/>
          <w:color w:val="auto"/>
        </w:rPr>
        <w:tab/>
      </w:r>
      <w:r>
        <w:rPr>
          <w:rFonts w:ascii="Arial" w:cs="Arial" w:eastAsia="Arial" w:hAnsi="Arial"/>
          <w:sz w:val="16"/>
          <w:szCs w:val="16"/>
          <w:color w:val="auto"/>
        </w:rPr>
        <w:t>The Company does not anticipate paying any dividends in the foreseeable future and, therefore, uses an expected dividend yield of zero.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there was $0.5 million included in accrued expenses and other liabilities related to 723,210 exercised but unvested options.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During the years ended December 31, 2019 and 2020,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and $17.3 million during the years ended December 31, 2019 and 2020, respectively. The share-based compensation amount for the year ended December 31, 2019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Commencing in 2020, the Company granted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of the Company’s equity securities, as defined in such RSU agreements. As of December 31, 2020, no share-based compensation expense had been recognized for RSUs because the liquidity condition had not occurred. If a qualifying liquidity condition had occurred on December 31, 2020, the Company would have recognized $9.8 million of cumulative share-based compensation expense on that date and would have $15.7 million of unrecognized compensation cost that represents the grants that have not met the service condition as of December 31, 2020.</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RSUs activity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7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4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per</w:t>
            </w: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4,571,886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Canceled and forfeited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(141,550)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4,430,336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and no warrant shares vested.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In 2013 and 2014, in connection with prior loan agreements, the Company issued two warrants to the lender to purchase 101,805 and 101,805 shares of Series B redeemable convertible preferred stock, both at an exercise price of $0.295 per share. As of December 31, 2019 and 2020, both warrants are fully vested and exercisable and expire in 2023. The warrants are classified as a liability in the consolidated balance sheets. The Company remeasures the warrants at each balance sheet date using the Black-Scholes-Merton model and records any changes in fair value in other income (expense),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2015 and 2016, in connection with prior loan agreements, the Company issued two warrants to the lender to purchase 231,348 and 621,066 shares of common stock, both at an exercise price of $0.053 per share. As of December 31, 2020, the warrants were fully vested and exercisable and expire in 2025 and 2026, respectively. These warrants are classified as equity instruments.</w:t>
      </w:r>
    </w:p>
    <w:p>
      <w:pPr>
        <w:spacing w:after="0" w:line="184"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September 2020, the Company issued a warrant to a Customer to purchase up to 750,000 shares of the Company’s common stock over a period of five years, ending in September 2025, at an exercise price of $0.01 per share, for a total fair value of $5.7 million. The warrant becomes exercisable when the vesting conditions are met. Vesting is contingent on certain performance conditions, which include the Customer reaching certain processing volume thresholds over the five-year contract term. This warrant is classified as an equity instrument and expires in September 2025. It is treated as consideration payable to a Customer and recorded as a reduction to net revenue based on the vesting milestones and the grant date fair value of the warrant shares. As of December 31, 2020, 22,500 shares were vested and the Company recorded an immaterial amount as a reduction to net revenue during the year then ended. The fair value of the warrant was determined using the Black-Scholes-Merton model and the assumptions below as of the date of the grant: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48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term (in years)</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$7.61</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 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RSUs and common stock warrants to the extent these are dilutive.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581"/>
              <w:spacing w:after="0"/>
              <w:rPr>
                <w:sz w:val="20"/>
                <w:szCs w:val="20"/>
                <w:color w:val="auto"/>
              </w:rPr>
            </w:pPr>
            <w:r>
              <w:rPr>
                <w:rFonts w:ascii="Arial" w:cs="Arial" w:eastAsia="Arial" w:hAnsi="Arial"/>
                <w:sz w:val="18"/>
                <w:szCs w:val="18"/>
                <w:color w:val="auto"/>
              </w:rPr>
              <w:t>(58,200)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(47,695)</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(64,149)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(47,695)</w:t>
            </w:r>
          </w:p>
        </w:tc>
        <w:tc>
          <w:tcPr>
            <w:tcW w:w="1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18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 stockholders,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620" w:type="dxa"/>
            <w:vAlign w:val="bottom"/>
            <w:gridSpan w:val="2"/>
          </w:tcPr>
          <w:p>
            <w:pPr>
              <w:jc w:val="right"/>
              <w:ind w:right="641"/>
              <w:spacing w:after="0"/>
              <w:rPr>
                <w:sz w:val="20"/>
                <w:szCs w:val="20"/>
                <w:color w:val="auto"/>
              </w:rPr>
            </w:pPr>
            <w:r>
              <w:rPr>
                <w:rFonts w:ascii="Arial" w:cs="Arial" w:eastAsia="Arial" w:hAnsi="Arial"/>
                <w:sz w:val="18"/>
                <w:szCs w:val="18"/>
                <w:color w:val="auto"/>
                <w:w w:val="87"/>
              </w:rPr>
              <w:t>113,851,714</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122,932,556</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years ended December 31, 2019 and 2020. The following outstanding shares of potentially dilutive securities were excluded from the computation of diluted net loss per share because including them would have had an anti-dilutive effect as of:</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83,471,731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58,204,440</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58,204,440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62,114,648</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60,434,352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28,734,078</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28,734,078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33,185,680</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33,185,680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66,824,303</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66,824,303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Series E-1 redeemable convertible preferred stock</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20,989,756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203,610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203,610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3,852,414</w:t>
            </w: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1,602,414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25,159,411</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23,421,374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4,430,336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3,844,639</w:t>
            </w:r>
          </w:p>
        </w:tc>
        <w:tc>
          <w:tcPr>
            <w:tcW w:w="160" w:type="dxa"/>
            <w:vAlign w:val="bottom"/>
          </w:tcPr>
          <w:p>
            <w:pPr>
              <w:spacing w:after="0"/>
              <w:rPr>
                <w:sz w:val="18"/>
                <w:szCs w:val="18"/>
                <w:color w:val="auto"/>
              </w:rPr>
            </w:pPr>
          </w:p>
        </w:tc>
        <w:tc>
          <w:tcPr>
            <w:tcW w:w="1120" w:type="dxa"/>
            <w:vAlign w:val="bottom"/>
            <w:gridSpan w:val="5"/>
          </w:tcPr>
          <w:p>
            <w:pPr>
              <w:jc w:val="right"/>
              <w:ind w:right="80"/>
              <w:spacing w:after="0"/>
              <w:rPr>
                <w:sz w:val="20"/>
                <w:szCs w:val="20"/>
                <w:color w:val="auto"/>
              </w:rPr>
            </w:pPr>
            <w:r>
              <w:rPr>
                <w:rFonts w:ascii="Arial" w:cs="Arial" w:eastAsia="Arial" w:hAnsi="Arial"/>
                <w:sz w:val="18"/>
                <w:szCs w:val="18"/>
                <w:color w:val="auto"/>
              </w:rPr>
              <w:t>7,683,069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369,903,652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389,185,143</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14. Income Tax</w:t>
            </w: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0"/>
                <w:szCs w:val="20"/>
                <w:color w:val="auto"/>
              </w:rPr>
            </w:pPr>
            <w:r>
              <w:rPr>
                <w:rFonts w:ascii="Arial" w:cs="Arial" w:eastAsia="Arial" w:hAnsi="Arial"/>
                <w:sz w:val="18"/>
                <w:szCs w:val="18"/>
                <w:color w:val="auto"/>
              </w:rPr>
              <w:t>The components of loss before income taxes by tax jurisdiction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(58,985)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(47,911)</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(58,165)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(47,608)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340"/>
              <w:spacing w:after="0"/>
              <w:rPr>
                <w:sz w:val="20"/>
                <w:szCs w:val="20"/>
                <w:color w:val="auto"/>
              </w:rPr>
            </w:pPr>
            <w:r>
              <w:rPr>
                <w:rFonts w:ascii="Arial" w:cs="Arial" w:eastAsia="Arial" w:hAnsi="Arial"/>
                <w:sz w:val="18"/>
                <w:szCs w:val="18"/>
                <w:color w:val="auto"/>
              </w:rPr>
              <w:t>F-35</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tax expense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1500" w:type="dxa"/>
            <w:vAlign w:val="bottom"/>
            <w:gridSpan w:val="4"/>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permanent items</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500" w:type="dxa"/>
            <w:vAlign w:val="bottom"/>
            <w:gridSpan w:val="4"/>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80" w:type="dxa"/>
            <w:vAlign w:val="bottom"/>
          </w:tcPr>
          <w:p>
            <w:pPr>
              <w:ind w:left="5340"/>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24,299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27,269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5,210</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contract contingencies and processing errors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695</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4,458</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40,043</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(28,618)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(36,327)</w:t>
            </w: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19"/>
                <w:szCs w:val="19"/>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(3,590)</w:t>
            </w:r>
          </w:p>
        </w:tc>
        <w:tc>
          <w:tcPr>
            <w:tcW w:w="120" w:type="dxa"/>
            <w:vAlign w:val="bottom"/>
          </w:tcPr>
          <w:p>
            <w:pPr>
              <w:spacing w:after="0"/>
              <w:rPr>
                <w:sz w:val="20"/>
                <w:szCs w:val="20"/>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and 2020 included historical and projected future operating losses.</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Prior to 2019, the Company only filed state income tax returns in California and Florida. During 2019 and 2020, the Company completed an evaluation of its state-by-state business activities and determined to file state income tax returns in an additional fifteen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and increase of $0.3 million during the year ended December 31, 2020. The Company recorded a corresponding adjustment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December 31, 2020, the Company had net operating loss carryforwards of approximately $113.9 million and $54.4 million for federal and state tax purposes, respectively. If not utilized, these carryforwards will begin to expire in 2030. Of the Company’s federal net operating loss carryforwards as of December 31 2020, $66.3 million can be carried forward indefinitely. Under Section 382 of Internal Revenue Code of 1986, as amended, the Company’s ability to utilize net operating loss carryforwards or other tax attributes in any taxable year may be limited if the Company has experienced an ownership change. As of December 31, 2020,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7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2020, the Company’ federal tax returns for 2016 and earlier, and the state tax returns for 2015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earlier were no longer subject to examination by the taxing authorities. However, tax periods closed in a prior period may be subject to audit and re-examination by tax authorities for which tax carryforwards are utilized in subsequent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 and 2020.</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did not incur any interest expenses or penalties or have outstanding liabilities on the balance sheets associated with unrecognized tax benefits for the year ended December 31, 2020. The Company does not expect any significant increases or decreases to its unrecognized benefits within the next twelve months.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marketable securities, accounts receivable and unbilled customers’ receivable (collectively referred to as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as of December 31, 2019 and 2020 include $19.0 million and $203.6 million, respectively, of investments in three money market mutual funds which invest primarily in securities issued by the U.S. Government or U.S. Government agencies.</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2019, marketable securities were $95.2 million, and there were no concentration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2020, marketable securities were $149.9 million, and there were no concentration of securities of the same issuer with an aggregate fair value greater than 5% of the total balance, except for U.S. Treasuries, which amounted to $125.9 million, or 84%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years ended December 31, 2019 and 2020, approximately 97% and 96% of the Company’s TPV was settled through Sutton Bank, respectively.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The Company does not require collateral on accounts receivable balances and maintains allowances for potential credit losses when deemed necessary.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89"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Percent of Net Revenue for</w:t>
      </w:r>
    </w:p>
    <w:p>
      <w:pPr>
        <w:jc w:val="center"/>
        <w:ind w:left="7820"/>
        <w:spacing w:after="0" w:line="236" w:lineRule="auto"/>
        <w:rPr>
          <w:sz w:val="20"/>
          <w:szCs w:val="20"/>
          <w:color w:val="auto"/>
        </w:rPr>
      </w:pPr>
      <w:r>
        <w:rPr>
          <w:rFonts w:ascii="Arial" w:cs="Arial" w:eastAsia="Arial" w:hAnsi="Arial"/>
          <w:sz w:val="14"/>
          <w:szCs w:val="14"/>
          <w:b w:val="1"/>
          <w:bCs w:val="1"/>
          <w:color w:val="auto"/>
        </w:rPr>
        <w:t>the Year Ended</w:t>
      </w:r>
    </w:p>
    <w:tbl>
      <w:tblPr>
        <w:tblLayout w:type="fixed"/>
        <w:tblInd w:w="120" w:type="dxa"/>
        <w:tblCellMar>
          <w:top w:w="0" w:type="dxa"/>
          <w:left w:w="0" w:type="dxa"/>
          <w:bottom w:w="0" w:type="dxa"/>
          <w:right w:w="0" w:type="dxa"/>
        </w:tblCellMar>
      </w:tblPr>
      <w:tr>
        <w:trPr>
          <w:trHeight w:val="119"/>
        </w:trPr>
        <w:tc>
          <w:tcPr>
            <w:tcW w:w="8020" w:type="dxa"/>
            <w:vAlign w:val="bottom"/>
          </w:tcPr>
          <w:p>
            <w:pPr>
              <w:spacing w:after="0"/>
              <w:rPr>
                <w:sz w:val="10"/>
                <w:szCs w:val="10"/>
                <w:color w:val="auto"/>
              </w:rPr>
            </w:pPr>
          </w:p>
        </w:tc>
        <w:tc>
          <w:tcPr>
            <w:tcW w:w="1960" w:type="dxa"/>
            <w:vAlign w:val="bottom"/>
            <w:tcBorders>
              <w:top w:val="single" w:sz="8" w:color="auto"/>
            </w:tcBorders>
            <w:gridSpan w:val="2"/>
          </w:tcPr>
          <w:p>
            <w:pPr>
              <w:jc w:val="center"/>
              <w:ind w:right="1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Customer B</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440" w:hanging="324"/>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29"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Percent of Customers’</w:t>
      </w:r>
    </w:p>
    <w:p>
      <w:pPr>
        <w:jc w:val="center"/>
        <w:ind w:left="7820"/>
        <w:spacing w:after="0" w:line="236" w:lineRule="auto"/>
        <w:rPr>
          <w:sz w:val="20"/>
          <w:szCs w:val="20"/>
          <w:color w:val="auto"/>
        </w:rPr>
      </w:pPr>
      <w:r>
        <w:rPr>
          <w:rFonts w:ascii="Arial" w:cs="Arial" w:eastAsia="Arial" w:hAnsi="Arial"/>
          <w:sz w:val="14"/>
          <w:szCs w:val="14"/>
          <w:b w:val="1"/>
          <w:bCs w:val="1"/>
          <w:color w:val="auto"/>
        </w:rPr>
        <w:t>Receivables as of</w:t>
      </w:r>
    </w:p>
    <w:tbl>
      <w:tblPr>
        <w:tblLayout w:type="fixed"/>
        <w:tblInd w:w="120" w:type="dxa"/>
        <w:tblCellMar>
          <w:top w:w="0" w:type="dxa"/>
          <w:left w:w="0" w:type="dxa"/>
          <w:bottom w:w="0" w:type="dxa"/>
          <w:right w:w="0" w:type="dxa"/>
        </w:tblCellMar>
      </w:tblPr>
      <w:tr>
        <w:trPr>
          <w:trHeight w:val="119"/>
        </w:trPr>
        <w:tc>
          <w:tcPr>
            <w:tcW w:w="8020" w:type="dxa"/>
            <w:vAlign w:val="bottom"/>
          </w:tcPr>
          <w:p>
            <w:pPr>
              <w:spacing w:after="0"/>
              <w:rPr>
                <w:sz w:val="10"/>
                <w:szCs w:val="10"/>
                <w:color w:val="auto"/>
              </w:rPr>
            </w:pPr>
          </w:p>
        </w:tc>
        <w:tc>
          <w:tcPr>
            <w:tcW w:w="1960" w:type="dxa"/>
            <w:vAlign w:val="bottom"/>
            <w:tcBorders>
              <w:top w:val="single" w:sz="8" w:color="auto"/>
            </w:tcBorders>
            <w:gridSpan w:val="2"/>
          </w:tcPr>
          <w:p>
            <w:pPr>
              <w:jc w:val="center"/>
              <w:ind w:right="11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0"/>
                <w:szCs w:val="10"/>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9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Customer C</w:t>
            </w:r>
          </w:p>
        </w:tc>
        <w:tc>
          <w:tcPr>
            <w:tcW w:w="1960" w:type="dxa"/>
            <w:vAlign w:val="bottom"/>
            <w:gridSpan w:val="2"/>
          </w:tcPr>
          <w:p>
            <w:pPr>
              <w:jc w:val="right"/>
              <w:ind w:right="96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440" w:hanging="324"/>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25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 $3.891 per share, for an aggregate purchase price of $41.9 million, to certain investors in Series E redeemable convertible preferred stock financing, including entities affiliated with Vitruvian Partners, a holder of more than 5% of the Company’s outstanding capital stock, but none of which were directors or executive officers.</w:t>
      </w:r>
    </w:p>
    <w:p>
      <w:pPr>
        <w:spacing w:after="0" w:line="1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Company paid $14.4 million and $30.4 million in Card Network fees, net to PULSE Network LLC, an entity affiliated with DFS Services LLC, a holder of more than 5% of the Company’s outstanding capital stock, during the years ended December 31, 2019 and 2020,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Company has evaluated events through April 1, 2021, the date the consolidated financial statements as of and for the years ending December 31, 2019 and 2020 were available to be issued, to assess the need for potential recognition or disclosure in the financial statements.</w:t>
      </w:r>
    </w:p>
    <w:p>
      <w:pPr>
        <w:spacing w:after="0" w:line="14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2021 through the date the consolidated financial statements were available to be issued, the Company granted options for 4,056,994 shares of common stock with a weighted average exercise price of $10.48 per share to employees and directors, and which are subject to service-based vesting conditions. The aggregate fair value of these options is $49.6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January 1, 2021 through the date financial statements were available to be issued, the Company also issued 2,130,993 RSUs to its employees, subject to both service and liquidity vesting conditions. The aggregate fair value of these RSUs is $38.2 million.</w:t>
      </w:r>
    </w:p>
    <w:p>
      <w:pPr>
        <w:spacing w:after="0" w:line="170"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February and March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$5.9 million.</w:t>
      </w:r>
    </w:p>
    <w:p>
      <w:pPr>
        <w:spacing w:after="0" w:line="14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March 2021, the Company issued a warrant to a Customer to purchase up to 1,100,000 shares of the Company’s common stock over a period of four years, ending in April 2025, at an exercise price of $0.01 per share, for a total fair value of $25.2 million. The warrant becomes exercisable when the vesting conditions are met. Vesting is contingent on certain performance conditions, which include issuing a sufficient percentage of new cards on the Marqeta Platform over a three-year measurement period. The warrants are treated as consideration payable to a Customer and recorded as a reduction to net revenue based on the vesting milestones and the grant date fair value of the warrant shares.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94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917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KeyBanc Capital Markets</w:t>
      </w:r>
    </w:p>
    <w:p>
      <w:pPr>
        <w:spacing w:after="0" w:line="171" w:lineRule="exact"/>
        <w:rPr>
          <w:sz w:val="20"/>
          <w:szCs w:val="20"/>
          <w:color w:val="auto"/>
        </w:rPr>
      </w:pPr>
    </w:p>
    <w:p>
      <w:pPr>
        <w:sectPr>
          <w:pgSz w:w="11900" w:h="16838" w:orient="portrait"/>
          <w:cols w:equalWidth="0" w:num="4">
            <w:col w:w="2640" w:space="720"/>
            <w:col w:w="720" w:space="700"/>
            <w:col w:w="1780" w:space="720"/>
            <w:col w:w="3860"/>
          </w:cols>
          <w:pgMar w:left="320" w:top="459" w:right="439" w:bottom="1440" w:gutter="0" w:footer="0" w:header="0"/>
          <w:type w:val="continuous"/>
        </w:sectPr>
      </w:pPr>
    </w:p>
    <w:p>
      <w:pPr>
        <w:ind w:left="2460"/>
        <w:spacing w:after="0"/>
        <w:rPr>
          <w:sz w:val="20"/>
          <w:szCs w:val="20"/>
          <w:color w:val="auto"/>
        </w:rPr>
      </w:pPr>
      <w:r>
        <w:rPr>
          <w:rFonts w:ascii="Arial" w:cs="Arial" w:eastAsia="Arial" w:hAnsi="Arial"/>
          <w:sz w:val="19"/>
          <w:szCs w:val="19"/>
          <w:b w:val="1"/>
          <w:bCs w:val="1"/>
          <w:color w:val="auto"/>
        </w:rPr>
        <w:t>Nomura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2566035</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2617470</wp:posOffset>
            </wp:positionV>
            <wp:extent cx="699516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Siebert Williams Shank</w:t>
      </w:r>
    </w:p>
    <w:p>
      <w:pPr>
        <w:sectPr>
          <w:pgSz w:w="11900" w:h="16838" w:orient="portrait"/>
          <w:cols w:equalWidth="0" w:num="4">
            <w:col w:w="3180" w:space="440"/>
            <w:col w:w="540" w:space="400"/>
            <w:col w:w="1920" w:space="400"/>
            <w:col w:w="4260"/>
          </w:cols>
          <w:pgMar w:left="320" w:top="459" w:right="43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in connection with this offering. All amounts shown are estimates except for the SEC registration fee, the FINRA filing fee and the Nasdaq Global Select Market, or Nasdaq, listing fee.</w:t>
      </w:r>
    </w:p>
    <w:p>
      <w:pPr>
        <w:sectPr>
          <w:pgSz w:w="11900" w:h="16838" w:orient="portrait"/>
          <w:cols w:equalWidth="0" w:num="1">
            <w:col w:w="11140"/>
          </w:cols>
          <w:pgMar w:left="320" w:top="459" w:right="439" w:bottom="1440" w:gutter="0" w:footer="0" w:header="0"/>
        </w:sect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Transfer agent and registrar fees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715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23"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59"/>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739" w:hanging="739"/>
        <w:spacing w:after="0"/>
        <w:tabs>
          <w:tab w:leader="none" w:pos="7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3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22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2" w:lineRule="exact"/>
        <w:rPr>
          <w:sz w:val="20"/>
          <w:szCs w:val="20"/>
          <w:color w:val="auto"/>
        </w:rPr>
      </w:pPr>
    </w:p>
    <w:p>
      <w:pPr>
        <w:ind w:left="739" w:hanging="739"/>
        <w:spacing w:after="0"/>
        <w:tabs>
          <w:tab w:leader="none" w:pos="7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226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5226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9521" w:space="720"/>
            <w:col w:w="899"/>
          </w:cols>
          <w:pgMar w:left="320" w:top="459" w:right="439" w:bottom="1440" w:gutter="0" w:footer="0" w:header="0"/>
          <w:type w:val="continuous"/>
        </w:sectPr>
      </w:pPr>
    </w:p>
    <w:p>
      <w:pPr>
        <w:spacing w:after="0" w:line="161"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March 2018, we sold an aggregate of 33,185,680 shares of our Series D-1 redeemable convertible preferred stock to three accredited investors at a purchase price of $1.2053 per share, for an aggregate purchase price of $39,999,806.</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March 2019 through May 2019, we sold an aggregate of 38,552,483 shares of our Series E redeemable convertible preferred stock to six accredited investors at a purchase price of $3.8908 per share, for an aggregate purchase price of $150,000,001.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and September 2020, we sold an aggregate of 20,989,756 shares of our Series E-1 redeemable convertible preferred stock to two accredited investors at a purchase price of $8.3374 per share, for an aggregate purchase price of $174,999,992.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Restricted Stock Unit and Common Issuances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Since January 1, 2018, we granted to our employees, consultants and other service providers options to purchase an aggregate of 34,993,266 shares of common stock under our 2011 Equity Incentive Plan, or our 2011 Plan, at exercise prices ranging from $0.26 to $10.48 per share.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Since January 1, 2018, we granted to our employees, consultants and other service providers restricted stock units representing an aggregate of 6,702,879 shares of common stock under our 2011 Plan. We began granting restricted stock units in 2020.</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18,730,603 shares of common stock upon the exercise of options under our 2011 Plan at exercise prices ranging from $0.01 to $10.48 per share, for a weighted-average exercise price of $0.347.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On September 15, 2020, we granted Uber Technologies, Inc. a warrant to purchase up to 750,000 shares of common stock at an exercise price of $0.01 per share, 22,500 of which are currently exercisable and 727,500 of which are exercisable upon attaining certain milestones.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March 13, 2021, we granted Square, Inc. a warrant to purchase up to 1,100,000 shares of common stock at an exercise price of $0.01 per share, none of which are currently exercisable and all of which are exercisable upon attaining certain milestones.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March 31, 2021, we granted Ramp Business Corporation a warrant to purchase up to 50,000 shares of common stock at an exercise price of $0.01 per share, none of which are currently exercisable and all of which are exercisable upon attaining certain milestones.</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w:t>
      </w:r>
    </w:p>
    <w:p>
      <w:pPr>
        <w:spacing w:after="0" w:line="300"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1"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20" w:type="dxa"/>
            <w:vAlign w:val="bottom"/>
            <w:gridSpan w:val="3"/>
            <w:vMerge w:val="restart"/>
          </w:tcPr>
          <w:p>
            <w:pPr>
              <w:ind w:left="51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5200" w:type="dxa"/>
            <w:vAlign w:val="bottom"/>
          </w:tcPr>
          <w:p>
            <w:pPr>
              <w:ind w:left="640"/>
              <w:spacing w:after="0"/>
              <w:rPr>
                <w:sz w:val="20"/>
                <w:szCs w:val="20"/>
                <w:color w:val="auto"/>
              </w:rPr>
            </w:pPr>
            <w:r>
              <w:rPr>
                <w:rFonts w:ascii="Arial" w:cs="Arial" w:eastAsia="Arial" w:hAnsi="Arial"/>
                <w:sz w:val="18"/>
                <w:szCs w:val="18"/>
                <w:color w:val="auto"/>
              </w:rPr>
              <w:t>Form of Underwriting Agreement.</w:t>
            </w:r>
          </w:p>
        </w:tc>
        <w:tc>
          <w:tcPr>
            <w:tcW w:w="7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Amended and Restated Certificate of Incorporation of the Registrant, as amended, as currently in effect.</w:t>
            </w:r>
          </w:p>
        </w:tc>
        <w:tc>
          <w:tcPr>
            <w:tcW w:w="0" w:type="dxa"/>
            <w:vAlign w:val="bottom"/>
          </w:tcPr>
          <w:p>
            <w:pPr>
              <w:spacing w:after="0"/>
              <w:rPr>
                <w:sz w:val="1"/>
                <w:szCs w:val="1"/>
                <w:color w:val="auto"/>
              </w:rPr>
            </w:pPr>
          </w:p>
        </w:tc>
      </w:tr>
      <w:tr>
        <w:trPr>
          <w:trHeight w:val="310"/>
        </w:trPr>
        <w:tc>
          <w:tcPr>
            <w:tcW w:w="50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3"/>
              </w:rPr>
              <w:t>Form of Amended and Restated Certificate of Incorporation of the Registrant to be in effect immediately prior to the completion of this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080" w:type="dxa"/>
            <w:vAlign w:val="bottom"/>
          </w:tcPr>
          <w:p>
            <w:pPr>
              <w:spacing w:after="0"/>
              <w:rPr>
                <w:sz w:val="14"/>
                <w:szCs w:val="14"/>
                <w:color w:val="auto"/>
              </w:rPr>
            </w:pPr>
          </w:p>
        </w:tc>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00" w:type="dxa"/>
            <w:vAlign w:val="bottom"/>
          </w:tcPr>
          <w:p>
            <w:pPr>
              <w:jc w:val="center"/>
              <w:ind w:right="99"/>
              <w:spacing w:after="0"/>
              <w:rPr>
                <w:sz w:val="20"/>
                <w:szCs w:val="20"/>
                <w:color w:val="auto"/>
              </w:rPr>
            </w:pPr>
            <w:r>
              <w:rPr>
                <w:rFonts w:ascii="Arial" w:cs="Arial" w:eastAsia="Arial" w:hAnsi="Arial"/>
                <w:sz w:val="18"/>
                <w:szCs w:val="18"/>
                <w:color w:val="auto"/>
                <w:w w:val="99"/>
              </w:rPr>
              <w:t>3.3*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3.4*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1"/>
              </w:rPr>
              <w:t>Amended and Restated Investors Rights Agreement, dated May 27, 2020, by and among the Registrant and certain of its stockholders.</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Stock issued to Comerica Ventures Incorporated by the Registrant, dated October 11, 2013.</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Stock issued to Comerica Ventures Incorporated by the Registrant, dated August 1, 2014.</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4.5*</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Silicon Valley Bank by the Registrant, dated October 22, 2015.</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4.6*</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Silicon Valley Bank by the Registrant, dated September 26, 2016.</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4.7*</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4"/>
              </w:rPr>
              <w:t>Warrant to Purchase Common Stock issued to Uber Technologies, Inc. by the Registrant, dated September 15, 2020, as amended.</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Square, Inc. by the Registrant, dated March 13, 2021.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4.9*</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Warrant to Purchase Common Stock issued to Ramp Business Corporation by the Registrant, dated March 31, 2021.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5.1*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2011 Equity Incentive Plan, as amended,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2021 Stock Option and Incentive Plan,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10.5#*</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Senior Executive Incentive Bonus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10.6#*</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Executive Severance Plan.</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10.7#*</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10.8#*</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Jason Gardner dated June 6, 2011.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10.9#*</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Omri Dahan dated June 9, 2011.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Kevin Doerr dated February 25,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Separation Agreement and Release between the Registrant and Omri Dahan dated March 17, 2021.</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10.12*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Lease Agreement by and between the Registrant and MACH II 180 LLC, dated on or about March 1, 2016.</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Master Services Agreement, as amended, by and between the Registrant and Square, Inc., dated April 19, 2016.</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89"/>
              </w:rPr>
              <w:t>Amended and Restated Prepaid Card Program Manager Agreement, as amended, by and between the Registrant and Sutton Bank, dated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April 1, 2016.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360" w:type="dxa"/>
            <w:vAlign w:val="bottom"/>
            <w:gridSpan w:val="3"/>
            <w:vMerge w:val="restart"/>
          </w:tcPr>
          <w:p>
            <w:pPr>
              <w:ind w:left="51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21.1*</w:t>
            </w:r>
          </w:p>
        </w:tc>
        <w:tc>
          <w:tcPr>
            <w:tcW w:w="5200" w:type="dxa"/>
            <w:vAlign w:val="bottom"/>
          </w:tcPr>
          <w:p>
            <w:pPr>
              <w:ind w:left="640"/>
              <w:spacing w:after="0"/>
              <w:rPr>
                <w:sz w:val="20"/>
                <w:szCs w:val="20"/>
                <w:color w:val="auto"/>
              </w:rPr>
            </w:pPr>
            <w:r>
              <w:rPr>
                <w:rFonts w:ascii="Arial" w:cs="Arial" w:eastAsia="Arial" w:hAnsi="Arial"/>
                <w:sz w:val="18"/>
                <w:szCs w:val="18"/>
                <w:color w:val="auto"/>
              </w:rPr>
              <w:t>Subsidiaries of the Registrant.</w:t>
            </w: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360" w:type="dxa"/>
            <w:vAlign w:val="bottom"/>
            <w:gridSpan w:val="3"/>
          </w:tcPr>
          <w:p>
            <w:pPr>
              <w:ind w:left="640"/>
              <w:spacing w:after="0"/>
              <w:rPr>
                <w:sz w:val="20"/>
                <w:szCs w:val="20"/>
                <w:color w:val="auto"/>
              </w:rPr>
            </w:pPr>
            <w:r>
              <w:rPr>
                <w:rFonts w:ascii="Arial" w:cs="Arial" w:eastAsia="Arial" w:hAnsi="Arial"/>
                <w:sz w:val="18"/>
                <w:szCs w:val="18"/>
                <w:color w:val="auto"/>
                <w:w w:val="91"/>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360" w:type="dxa"/>
            <w:vAlign w:val="bottom"/>
            <w:gridSpan w:val="3"/>
          </w:tcPr>
          <w:p>
            <w:pPr>
              <w:ind w:left="64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360" w:type="dxa"/>
            <w:vAlign w:val="bottom"/>
            <w:gridSpan w:val="3"/>
          </w:tcPr>
          <w:p>
            <w:pPr>
              <w:ind w:left="640"/>
              <w:spacing w:after="0"/>
              <w:rPr>
                <w:sz w:val="20"/>
                <w:szCs w:val="20"/>
                <w:color w:val="auto"/>
              </w:rPr>
            </w:pPr>
            <w:r>
              <w:rPr>
                <w:rFonts w:ascii="Arial" w:cs="Arial" w:eastAsia="Arial" w:hAnsi="Arial"/>
                <w:sz w:val="18"/>
                <w:szCs w:val="18"/>
                <w:color w:val="auto"/>
                <w:w w:val="92"/>
              </w:rPr>
              <w:t>Power of Attorney (see page II-6 of this Registration Statement on Form 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19" w:lineRule="exact"/>
        <w:rPr>
          <w:sz w:val="20"/>
          <w:szCs w:val="20"/>
          <w:color w:val="auto"/>
        </w:rPr>
      </w:pPr>
    </w:p>
    <w:p>
      <w:pPr>
        <w:ind w:left="660" w:right="20" w:hanging="544"/>
        <w:spacing w:after="0" w:line="288"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is the type that the Registrant treats as private or confidential.</w:t>
      </w:r>
    </w:p>
    <w:p>
      <w:pPr>
        <w:spacing w:after="0" w:line="320"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300" w:right="20" w:hanging="644"/>
        <w:spacing w:after="0" w:line="259"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Index to Financial Statements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Oakland, California, on</w:t>
            </w:r>
          </w:p>
        </w:tc>
        <w:tc>
          <w:tcPr>
            <w:tcW w:w="4820" w:type="dxa"/>
            <w:vAlign w:val="bottom"/>
            <w:gridSpan w:val="2"/>
          </w:tcPr>
          <w:p>
            <w:pPr>
              <w:jc w:val="right"/>
              <w:ind w:right="3779"/>
              <w:spacing w:after="0"/>
              <w:rPr>
                <w:sz w:val="20"/>
                <w:szCs w:val="20"/>
                <w:color w:val="auto"/>
              </w:rPr>
            </w:pPr>
            <w:r>
              <w:rPr>
                <w:rFonts w:ascii="Arial" w:cs="Arial" w:eastAsia="Arial" w:hAnsi="Arial"/>
                <w:sz w:val="18"/>
                <w:szCs w:val="18"/>
                <w:color w:val="auto"/>
              </w:rPr>
              <w:t>, 2021.</w:t>
            </w:r>
          </w:p>
        </w:tc>
      </w:tr>
      <w:tr>
        <w:trPr>
          <w:trHeight w:val="445"/>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b w:val="1"/>
                <w:bCs w:val="1"/>
                <w:color w:val="auto"/>
              </w:rPr>
              <w:t>MARQETA, INC.</w:t>
            </w:r>
          </w:p>
        </w:tc>
      </w:tr>
      <w:tr>
        <w:trPr>
          <w:trHeight w:val="432"/>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191"/>
        </w:trPr>
        <w:tc>
          <w:tcPr>
            <w:tcW w:w="6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7"/>
              </w:rPr>
              <w:t>Jason Gardner</w:t>
            </w:r>
          </w:p>
        </w:tc>
      </w:tr>
      <w:tr>
        <w:trPr>
          <w:trHeight w:val="182"/>
        </w:trPr>
        <w:tc>
          <w:tcPr>
            <w:tcW w:w="6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i w:val="1"/>
                <w:iCs w:val="1"/>
                <w:color w:val="auto"/>
                <w:w w:val="94"/>
              </w:rPr>
              <w:t>Chief Executive Officer</w:t>
            </w:r>
          </w:p>
        </w:tc>
      </w:tr>
    </w:tbl>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Gardner, Philip Faix, and Seth Weissman, and each of them, as his or her true and lawful attorneys-in-fact and agents, with full power of substitution and resubstitution, for him or her and in his or her name, place and stead, in any and all capacities, to sign the Registration Statement on Form S-1 of Marqeta,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r>
      <w:tr>
        <w:trPr>
          <w:trHeight w:val="425"/>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Jason Gardner</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Philip Faix</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2"/>
              </w:rPr>
              <w:t>Martha Cummings</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3"/>
              </w:rPr>
              <w:t>Helen Riley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5"/>
              </w:rPr>
              <w:t>Arnon Dinur</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Judson Linville</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Christopher McKay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4240" w:type="dxa"/>
            <w:vAlign w:val="bottom"/>
          </w:tcPr>
          <w:p>
            <w:pPr>
              <w:ind w:left="1240"/>
              <w:spacing w:after="0"/>
              <w:rPr>
                <w:sz w:val="20"/>
                <w:szCs w:val="20"/>
                <w:color w:val="auto"/>
              </w:rPr>
            </w:pPr>
            <w:r>
              <w:rPr>
                <w:rFonts w:ascii="Arial" w:cs="Arial" w:eastAsia="Arial" w:hAnsi="Arial"/>
                <w:sz w:val="18"/>
                <w:szCs w:val="18"/>
                <w:color w:val="auto"/>
              </w:rPr>
              <w:t>II-6</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2"/>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lvl w:ilvl="1">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2"/>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lvl w:ilvl="1">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lvl w:ilvl="1">
      <w:lvlJc w:val="left"/>
      <w:lvlText w:val="•"/>
      <w:numFmt w:val="bullet"/>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3"/>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4"/>
      <w:numFmt w:val="bullet"/>
      <w:start w:val="1"/>
    </w:lvl>
  </w:abstractNum>
  <w:abstractNum w:abstractNumId="45">
    <w:nsid w:val="661E3F1E"/>
    <w:multiLevelType w:val="hybridMultilevel"/>
    <w:lvl w:ilvl="0">
      <w:lvlJc w:val="left"/>
      <w:lvlText w:val="•"/>
      <w:numFmt w:val="bullet"/>
      <w:start w:val="1"/>
    </w:lvl>
    <w:lvl w:ilvl="1">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decimal"/>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2"/>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upperLetter"/>
      <w:start w:val="1"/>
    </w:lvl>
  </w:abstractNum>
  <w:abstractNum w:abstractNumId="85">
    <w:nsid w:val="43F18422"/>
    <w:multiLevelType w:val="hybridMultilevel"/>
    <w:lvl w:ilvl="0">
      <w:lvlJc w:val="left"/>
      <w:lvlText w:val="(%1)"/>
      <w:numFmt w:val="upperLetter"/>
      <w:start w:val="2"/>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lowerLetter"/>
      <w:start w:val="2"/>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2021-05-14T23:06:29Z</dcterms:created>
  <dcterms:modified xsi:type="dcterms:W3CDTF">2021-05-14T23:06:29Z</dcterms:modified>
</cp:coreProperties>
</file>