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78181.xml.htm"/>
      <w:bookmarkStart w:id="1" w:name="kswkform4_178847818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Pollak Todd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 GRAND AVENUE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OAKLAND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Marqeta, Inc.</w:t>
              </w:r>
            </w:hyperlink>
            <w:r>
              <w:rPr/>
              <w:t xml:space="preserve"> [ </w:t>
            </w:r>
            <w:r>
              <w:rPr>
                <w:rFonts w:ascii="Times;serif" w:hAnsi="Times;serif"/>
                <w:color w:val="0000FF"/>
                <w:sz w:val="24"/>
                <w:shd w:fill="FFFFFF" w:val="clear"/>
              </w:rPr>
              <w:t>MQ</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Revenue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12,591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197,599</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6,910</w:t>
            </w:r>
            <w:r>
              <w:rPr>
                <w:rFonts w:ascii="Times;serif" w:hAnsi="Times;serif"/>
                <w:color w:val="008000"/>
                <w:position w:val="7"/>
                <w:sz w:val="16"/>
                <w:sz w:val="20"/>
                <w:shd w:fill="FFFFFF" w:val="clear"/>
              </w:rPr>
              <w:t>(2)</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16.17</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190,689</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8,062</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198,751</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4,425</w:t>
            </w:r>
            <w:r>
              <w:rPr>
                <w:rFonts w:ascii="Times;serif" w:hAnsi="Times;serif"/>
                <w:color w:val="008000"/>
                <w:position w:val="7"/>
                <w:sz w:val="16"/>
                <w:sz w:val="20"/>
                <w:shd w:fill="FFFFFF" w:val="clear"/>
              </w:rPr>
              <w:t>(2)</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16.17</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194,326</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8,786</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203,112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4,822</w:t>
            </w:r>
            <w:r>
              <w:rPr>
                <w:rFonts w:ascii="Times;serif" w:hAnsi="Times;serif"/>
                <w:color w:val="008000"/>
                <w:position w:val="7"/>
                <w:sz w:val="16"/>
                <w:sz w:val="20"/>
                <w:shd w:fill="FFFFFF" w:val="clear"/>
              </w:rPr>
              <w:t>(2)</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16.17</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198,290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14,453</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212,743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7,932</w:t>
            </w:r>
            <w:r>
              <w:rPr>
                <w:rFonts w:ascii="Times;serif" w:hAnsi="Times;serif"/>
                <w:color w:val="008000"/>
                <w:position w:val="7"/>
                <w:sz w:val="16"/>
                <w:sz w:val="20"/>
                <w:shd w:fill="FFFFFF" w:val="clear"/>
              </w:rPr>
              <w:t>(2)</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16.17</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204,811</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2,390</w:t>
            </w:r>
            <w:r>
              <w:rPr>
                <w:rFonts w:ascii="Times;serif" w:hAnsi="Times;serif"/>
                <w:color w:val="008000"/>
                <w:position w:val="7"/>
                <w:sz w:val="16"/>
                <w:sz w:val="20"/>
                <w:shd w:fill="FFFFFF" w:val="clear"/>
              </w:rPr>
              <w:t>(3)</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207,201</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1,312</w:t>
            </w:r>
            <w:r>
              <w:rPr>
                <w:rFonts w:ascii="Times;serif" w:hAnsi="Times;serif"/>
                <w:color w:val="008000"/>
                <w:position w:val="7"/>
                <w:sz w:val="16"/>
                <w:sz w:val="20"/>
                <w:shd w:fill="FFFFFF" w:val="clear"/>
              </w:rPr>
              <w:t>(2)</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16.17</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205,889</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1,339</w:t>
            </w:r>
            <w:r>
              <w:rPr>
                <w:rFonts w:ascii="Times;serif" w:hAnsi="Times;serif"/>
                <w:color w:val="008000"/>
                <w:position w:val="7"/>
                <w:sz w:val="16"/>
                <w:sz w:val="20"/>
                <w:shd w:fill="FFFFFF" w:val="clear"/>
              </w:rPr>
              <w:t>(4)</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207,228</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735</w:t>
            </w:r>
            <w:r>
              <w:rPr>
                <w:rFonts w:ascii="Times;serif" w:hAnsi="Times;serif"/>
                <w:color w:val="008000"/>
                <w:position w:val="7"/>
                <w:sz w:val="16"/>
                <w:sz w:val="20"/>
                <w:shd w:fill="FFFFFF" w:val="clear"/>
              </w:rPr>
              <w:t>(2)</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16.17</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206,493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2,870</w:t>
            </w:r>
            <w:r>
              <w:rPr>
                <w:rFonts w:ascii="Times;serif" w:hAnsi="Times;serif"/>
                <w:color w:val="008000"/>
                <w:position w:val="7"/>
                <w:sz w:val="16"/>
                <w:sz w:val="20"/>
                <w:shd w:fill="FFFFFF" w:val="clear"/>
              </w:rPr>
              <w:t>(5)</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209,363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1,575</w:t>
            </w:r>
            <w:r>
              <w:rPr>
                <w:rFonts w:ascii="Times;serif" w:hAnsi="Times;serif"/>
                <w:color w:val="008000"/>
                <w:position w:val="7"/>
                <w:sz w:val="16"/>
                <w:sz w:val="20"/>
                <w:shd w:fill="FFFFFF" w:val="clear"/>
              </w:rPr>
              <w:t>(2)</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16.17</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207,788</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2,260</w:t>
            </w:r>
            <w:r>
              <w:rPr>
                <w:rFonts w:ascii="Times;serif" w:hAnsi="Times;serif"/>
                <w:color w:val="008000"/>
                <w:position w:val="7"/>
                <w:sz w:val="16"/>
                <w:sz w:val="20"/>
                <w:shd w:fill="FFFFFF" w:val="clear"/>
              </w:rPr>
              <w:t>(6)</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210,048</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1,241</w:t>
            </w:r>
            <w:r>
              <w:rPr>
                <w:rFonts w:ascii="Times;serif" w:hAnsi="Times;serif"/>
                <w:color w:val="008000"/>
                <w:position w:val="7"/>
                <w:sz w:val="16"/>
                <w:sz w:val="20"/>
                <w:shd w:fill="FFFFFF" w:val="clear"/>
              </w:rPr>
              <w:t>(2)</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16.17</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208,807</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12,591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12,591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12,592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8,062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8,062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16,126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8,786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8,786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52,716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14,453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14,453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144,532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 (Gross Profit)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2,419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36,467</w:t>
            </w:r>
            <w:r>
              <w:rPr>
                <w:rFonts w:ascii="Times;serif" w:hAnsi="Times;serif"/>
                <w:color w:val="008000"/>
                <w:position w:val="7"/>
                <w:sz w:val="16"/>
                <w:sz w:val="20"/>
                <w:shd w:fill="FFFFFF" w:val="clear"/>
              </w:rPr>
              <w:t>(13)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 (Adjusted EBITDA)</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15,628</w:t>
            </w:r>
            <w:r>
              <w:rPr>
                <w:rFonts w:ascii="Times;serif" w:hAnsi="Times;serif"/>
                <w:color w:val="008000"/>
                <w:position w:val="7"/>
                <w:sz w:val="16"/>
                <w:sz w:val="20"/>
                <w:shd w:fill="FFFFFF" w:val="clear"/>
              </w:rPr>
              <w:t>(14)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 (Gross Profit)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2,636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15,814</w:t>
            </w:r>
            <w:r>
              <w:rPr>
                <w:rFonts w:ascii="Times;serif" w:hAnsi="Times;serif"/>
                <w:color w:val="008000"/>
                <w:position w:val="7"/>
                <w:sz w:val="16"/>
                <w:sz w:val="20"/>
                <w:shd w:fill="FFFFFF" w:val="clear"/>
              </w:rPr>
              <w:t>(13)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 (Adjusted EBITDA)</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1,130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6,777</w:t>
            </w:r>
            <w:r>
              <w:rPr>
                <w:rFonts w:ascii="Times;serif" w:hAnsi="Times;serif"/>
                <w:color w:val="008000"/>
                <w:position w:val="7"/>
                <w:sz w:val="16"/>
                <w:sz w:val="20"/>
                <w:shd w:fill="FFFFFF" w:val="clear"/>
              </w:rPr>
              <w:t>(14)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exempt from Section 16(b) of the Securities Exchange Act of 1934 (the "Act") pursuant to Rule 16b-6(b) promulgated under the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that have been withheld by the Issuer to satisfy tax withholding and remittance obligations in connection with the net settlement of vested restricted stock units and not a market transaction. Transaction exempt from Section 16(b) of the Act pursuant to Rule 16b-3(e) promulgated under the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vesting of shares upon the determination of the Board of Directors of the Issuer that the performance conditions were met with respect to the performance share awards granted to the Reporting Person on March 15, 2024, and includes 29 fewer shares acquired for performance at less than 100%.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vesting of shares upon the determination of the Board of Directors of the Issuer that the performance conditions were met with respect to the performance share awards granted to the Reporting Person on March 15, 2024, and includes 302 additional shares acquired for performance at more than 100%.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the vesting of shares upon the determination of the Board of Directors of the Issuer that the performance conditions were met with respect to the performance share awards granted to the Reporting Person on March 15, 2025, and includes 234 additional shares acquired for performance at more than 100%.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the vesting of shares upon the determination of the Board of Directors of the Issuer that the performance conditions were met with respect to the performance share awards granted to the Reporting Person on March 15, 2025, and includes 1,130 additional shares acquired for performance at more than 100%.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Each restricted stock unit is convertible into one share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One-fourth (1/4th) of the restricted stock units vested on December 1, 2023, and one-sixteenth (1/16th) of the restricted stock units vest on each March 1, June 1, September 1, and December 1 thereafter until fully vested, subject to the Reporting Person's continued service with the Issuer as of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One-twelfth (1/12th) of the restricted stock units vested on June 1, 2024, and one-twelfth (1/12th) of the restricted stock units vest on each September 1, December 1, March 1 and June 1 thereafter until fully vested, subject to the Reporting Person's continued service with the Issuer as of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One-twelfth (1/12th) of the restricted stock units vest on June 1, 2025 and one-twelfth (1/12th) of the remaining restricted stock units vest quarterly on each September 1, December 1, March 1 and June 1 thereafter until fully vested, subject to the Reporting Person's continued service to the Issuer as of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One-twelfth (1/12th) of the restricted stock units vested on June 1, 2026 and one-twelfth (1/12th) of the remaining restricted stock units vest quarterly on each September 1, December 1, March 1, and June 1 thereafter until fully vested, subject to the Reporting Person's continued service to the Issuer as of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Represents the disposition of shares upon the determination of the Board of Directors of the Issuer that the performance conditions were met with respect to the performance share awards granted to the Reporting Person on March 15,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Represents the number of shares which may be issued at target under the performance stock unit ("PSU") over a period of time following achievement of certain profit targets as set forth in the PSU agreement, subject to the Reporting Person's continued service to the Issuer as of each vesting date. At maximum achievement, 200% of the target number of shares would vest.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Represents the number of shares which may be issued at target under the PSU over a period of time following achievement of certain adjusted EBITDA targets as set forth in the PSU agreement, subject to the Reporting Person's continued service to the Issuer as of each vesting date. At maximum achievement, 200% of the target number of shares would vest.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Represents the disposition of shares upon the determination of the Board of Directors of the Issuer that the performance conditions were met with respect to the performance share awards granted to the Reporting Person on March 15, 2025.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Tracy Foard,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4406" TargetMode="External"/><Relationship Id="rId5" Type="http://schemas.openxmlformats.org/officeDocument/2006/relationships/hyperlink" Target="http://www.sec.gov/cgi-bin/browse-edgar?action=getcompany&amp;CIK=00015225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1579</Words>
  <Characters>8201</Characters>
  <CharactersWithSpaces>9481</CharactersWithSpaces>
  <Paragraphs>327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